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A9D50" w14:textId="648157BE" w:rsidR="00BF4CB5" w:rsidRPr="00885494" w:rsidRDefault="00BF4CB5" w:rsidP="00885494">
      <w:pPr>
        <w:spacing w:line="259" w:lineRule="auto"/>
        <w:jc w:val="center"/>
        <w:rPr>
          <w:rFonts w:cs="Times New Roman"/>
          <w:b/>
          <w:bCs/>
          <w:sz w:val="22"/>
          <w:szCs w:val="28"/>
        </w:rPr>
      </w:pPr>
      <w:r w:rsidRPr="00885494">
        <w:rPr>
          <w:rFonts w:cs="Times New Roman"/>
          <w:b/>
          <w:bCs/>
          <w:sz w:val="22"/>
          <w:szCs w:val="28"/>
        </w:rPr>
        <w:t xml:space="preserve">Supplemental Materials </w:t>
      </w:r>
      <w:r w:rsidR="003A2711" w:rsidRPr="00885494">
        <w:rPr>
          <w:rFonts w:cs="Times New Roman"/>
          <w:b/>
          <w:bCs/>
          <w:sz w:val="22"/>
          <w:szCs w:val="28"/>
        </w:rPr>
        <w:t>for</w:t>
      </w:r>
    </w:p>
    <w:p w14:paraId="55134EFC" w14:textId="0E7B1400" w:rsidR="000929A1" w:rsidRPr="00885494" w:rsidRDefault="000929A1" w:rsidP="00885494">
      <w:pPr>
        <w:spacing w:line="240" w:lineRule="auto"/>
        <w:jc w:val="center"/>
        <w:rPr>
          <w:rFonts w:cs="Times New Roman"/>
          <w:b/>
          <w:bCs/>
          <w:sz w:val="24"/>
          <w:szCs w:val="32"/>
        </w:rPr>
      </w:pPr>
      <w:r w:rsidRPr="00885494">
        <w:rPr>
          <w:rFonts w:cs="Times New Roman"/>
          <w:b/>
          <w:bCs/>
          <w:sz w:val="24"/>
          <w:szCs w:val="32"/>
        </w:rPr>
        <w:t xml:space="preserve">Cost-Effectiveness of Community-Based Interventions for Reducing Opioid Overdose </w:t>
      </w:r>
      <w:r w:rsidR="001C5DDD">
        <w:rPr>
          <w:rFonts w:cs="Times New Roman"/>
          <w:b/>
          <w:bCs/>
          <w:sz w:val="24"/>
          <w:szCs w:val="32"/>
        </w:rPr>
        <w:t xml:space="preserve">and Non-Overdose </w:t>
      </w:r>
      <w:r w:rsidRPr="00885494">
        <w:rPr>
          <w:rFonts w:cs="Times New Roman"/>
          <w:b/>
          <w:bCs/>
          <w:sz w:val="24"/>
          <w:szCs w:val="32"/>
        </w:rPr>
        <w:t xml:space="preserve">Deaths: </w:t>
      </w:r>
      <w:r w:rsidR="003D4931">
        <w:rPr>
          <w:rFonts w:cs="Times New Roman"/>
          <w:b/>
          <w:bCs/>
          <w:sz w:val="24"/>
          <w:szCs w:val="32"/>
        </w:rPr>
        <w:t xml:space="preserve">Simulation </w:t>
      </w:r>
      <w:r w:rsidRPr="00885494">
        <w:rPr>
          <w:rFonts w:cs="Times New Roman"/>
          <w:b/>
          <w:bCs/>
          <w:sz w:val="24"/>
          <w:szCs w:val="32"/>
        </w:rPr>
        <w:t>Modeling of HEALing Communities Study</w:t>
      </w:r>
    </w:p>
    <w:p w14:paraId="3E02784E" w14:textId="77777777" w:rsidR="00FB4BB9" w:rsidRPr="00D2239A" w:rsidRDefault="00FB4BB9" w:rsidP="007C3D4E">
      <w:pPr>
        <w:spacing w:line="259" w:lineRule="auto"/>
        <w:jc w:val="center"/>
        <w:rPr>
          <w:rFonts w:cs="Times New Roman"/>
          <w:b/>
          <w:bCs/>
        </w:rPr>
      </w:pPr>
    </w:p>
    <w:sdt>
      <w:sdtPr>
        <w:rPr>
          <w:rFonts w:ascii="Times New Roman" w:eastAsiaTheme="minorEastAsia" w:hAnsi="Times New Roman" w:cstheme="minorBidi"/>
          <w:kern w:val="2"/>
          <w:sz w:val="24"/>
          <w:szCs w:val="24"/>
          <w14:ligatures w14:val="standardContextual"/>
        </w:rPr>
        <w:id w:val="-165399960"/>
        <w:docPartObj>
          <w:docPartGallery w:val="Table of Contents"/>
          <w:docPartUnique/>
        </w:docPartObj>
      </w:sdtPr>
      <w:sdtEndPr>
        <w:rPr>
          <w:b/>
          <w:bCs/>
          <w:noProof/>
          <w:sz w:val="20"/>
          <w:szCs w:val="20"/>
        </w:rPr>
      </w:sdtEndPr>
      <w:sdtContent>
        <w:p w14:paraId="35CBBEAB" w14:textId="669EF465" w:rsidR="00970FF6" w:rsidRPr="00D2239A" w:rsidRDefault="00970FF6" w:rsidP="00363E8B">
          <w:pPr>
            <w:pStyle w:val="TOCHeading"/>
          </w:pPr>
          <w:r w:rsidRPr="00D2239A">
            <w:t>Table of Contents</w:t>
          </w:r>
        </w:p>
        <w:p w14:paraId="1CA19BE4" w14:textId="570B92BC" w:rsidR="00DE473B" w:rsidRDefault="00970FF6">
          <w:pPr>
            <w:pStyle w:val="TOC1"/>
            <w:rPr>
              <w:rFonts w:asciiTheme="minorHAnsi" w:hAnsiTheme="minorHAnsi"/>
              <w:noProof/>
              <w:sz w:val="24"/>
            </w:rPr>
          </w:pPr>
          <w:r w:rsidRPr="00D2239A">
            <w:rPr>
              <w:rFonts w:cs="Times New Roman"/>
            </w:rPr>
            <w:fldChar w:fldCharType="begin"/>
          </w:r>
          <w:r w:rsidRPr="00D2239A">
            <w:rPr>
              <w:rFonts w:cs="Times New Roman"/>
            </w:rPr>
            <w:instrText xml:space="preserve"> TOC \o "1-3" \h \z \u </w:instrText>
          </w:r>
          <w:r w:rsidRPr="00D2239A">
            <w:rPr>
              <w:rFonts w:cs="Times New Roman"/>
            </w:rPr>
            <w:fldChar w:fldCharType="separate"/>
          </w:r>
          <w:hyperlink w:anchor="_Toc226020671" w:history="1">
            <w:r w:rsidR="00DE473B" w:rsidRPr="001859E1">
              <w:rPr>
                <w:rStyle w:val="Hyperlink"/>
                <w:noProof/>
              </w:rPr>
              <w:t>Supplement S1. Supplementary methods</w:t>
            </w:r>
            <w:r w:rsidR="00DE473B">
              <w:rPr>
                <w:noProof/>
                <w:webHidden/>
              </w:rPr>
              <w:tab/>
            </w:r>
            <w:r w:rsidR="00DE473B">
              <w:rPr>
                <w:noProof/>
                <w:webHidden/>
              </w:rPr>
              <w:fldChar w:fldCharType="begin"/>
            </w:r>
            <w:r w:rsidR="00DE473B">
              <w:rPr>
                <w:noProof/>
                <w:webHidden/>
              </w:rPr>
              <w:instrText xml:space="preserve"> PAGEREF _Toc226020671 \h </w:instrText>
            </w:r>
            <w:r w:rsidR="00DE473B">
              <w:rPr>
                <w:noProof/>
                <w:webHidden/>
              </w:rPr>
            </w:r>
            <w:r w:rsidR="00DE473B">
              <w:rPr>
                <w:noProof/>
                <w:webHidden/>
              </w:rPr>
              <w:fldChar w:fldCharType="separate"/>
            </w:r>
            <w:r w:rsidR="00DE473B">
              <w:rPr>
                <w:noProof/>
                <w:webHidden/>
              </w:rPr>
              <w:t>3</w:t>
            </w:r>
            <w:r w:rsidR="00DE473B">
              <w:rPr>
                <w:noProof/>
                <w:webHidden/>
              </w:rPr>
              <w:fldChar w:fldCharType="end"/>
            </w:r>
          </w:hyperlink>
        </w:p>
        <w:p w14:paraId="7EE62F53" w14:textId="6465F639" w:rsidR="00DE473B" w:rsidRDefault="00DE473B">
          <w:pPr>
            <w:pStyle w:val="TOC1"/>
            <w:rPr>
              <w:rFonts w:asciiTheme="minorHAnsi" w:hAnsiTheme="minorHAnsi"/>
              <w:noProof/>
              <w:sz w:val="24"/>
            </w:rPr>
          </w:pPr>
          <w:hyperlink w:anchor="_Toc226020672" w:history="1">
            <w:r w:rsidRPr="001859E1">
              <w:rPr>
                <w:rStyle w:val="Hyperlink"/>
                <w:noProof/>
              </w:rPr>
              <w:t>S1.1. Model structure and simulation setup</w:t>
            </w:r>
            <w:r>
              <w:rPr>
                <w:noProof/>
                <w:webHidden/>
              </w:rPr>
              <w:tab/>
            </w:r>
            <w:r>
              <w:rPr>
                <w:noProof/>
                <w:webHidden/>
              </w:rPr>
              <w:fldChar w:fldCharType="begin"/>
            </w:r>
            <w:r>
              <w:rPr>
                <w:noProof/>
                <w:webHidden/>
              </w:rPr>
              <w:instrText xml:space="preserve"> PAGEREF _Toc226020672 \h </w:instrText>
            </w:r>
            <w:r>
              <w:rPr>
                <w:noProof/>
                <w:webHidden/>
              </w:rPr>
            </w:r>
            <w:r>
              <w:rPr>
                <w:noProof/>
                <w:webHidden/>
              </w:rPr>
              <w:fldChar w:fldCharType="separate"/>
            </w:r>
            <w:r>
              <w:rPr>
                <w:noProof/>
                <w:webHidden/>
              </w:rPr>
              <w:t>3</w:t>
            </w:r>
            <w:r>
              <w:rPr>
                <w:noProof/>
                <w:webHidden/>
              </w:rPr>
              <w:fldChar w:fldCharType="end"/>
            </w:r>
          </w:hyperlink>
        </w:p>
        <w:p w14:paraId="5FB27784" w14:textId="48FD0663" w:rsidR="00DE473B" w:rsidRDefault="00DE473B">
          <w:pPr>
            <w:pStyle w:val="TOC2"/>
            <w:tabs>
              <w:tab w:val="right" w:leader="dot" w:pos="9350"/>
            </w:tabs>
            <w:rPr>
              <w:rFonts w:asciiTheme="minorHAnsi" w:hAnsiTheme="minorHAnsi"/>
              <w:noProof/>
              <w:sz w:val="24"/>
            </w:rPr>
          </w:pPr>
          <w:hyperlink w:anchor="_Toc226020673" w:history="1">
            <w:r w:rsidRPr="001859E1">
              <w:rPr>
                <w:rStyle w:val="Hyperlink"/>
                <w:rFonts w:cs="Times New Roman"/>
                <w:noProof/>
              </w:rPr>
              <w:t>S1.1.1. Health states</w:t>
            </w:r>
            <w:r>
              <w:rPr>
                <w:noProof/>
                <w:webHidden/>
              </w:rPr>
              <w:tab/>
            </w:r>
            <w:r>
              <w:rPr>
                <w:noProof/>
                <w:webHidden/>
              </w:rPr>
              <w:fldChar w:fldCharType="begin"/>
            </w:r>
            <w:r>
              <w:rPr>
                <w:noProof/>
                <w:webHidden/>
              </w:rPr>
              <w:instrText xml:space="preserve"> PAGEREF _Toc226020673 \h </w:instrText>
            </w:r>
            <w:r>
              <w:rPr>
                <w:noProof/>
                <w:webHidden/>
              </w:rPr>
            </w:r>
            <w:r>
              <w:rPr>
                <w:noProof/>
                <w:webHidden/>
              </w:rPr>
              <w:fldChar w:fldCharType="separate"/>
            </w:r>
            <w:r>
              <w:rPr>
                <w:noProof/>
                <w:webHidden/>
              </w:rPr>
              <w:t>3</w:t>
            </w:r>
            <w:r>
              <w:rPr>
                <w:noProof/>
                <w:webHidden/>
              </w:rPr>
              <w:fldChar w:fldCharType="end"/>
            </w:r>
          </w:hyperlink>
        </w:p>
        <w:p w14:paraId="5C9FE03D" w14:textId="249CCCE9" w:rsidR="00DE473B" w:rsidRDefault="00DE473B">
          <w:pPr>
            <w:pStyle w:val="TOC2"/>
            <w:tabs>
              <w:tab w:val="right" w:leader="dot" w:pos="9350"/>
            </w:tabs>
            <w:rPr>
              <w:rFonts w:asciiTheme="minorHAnsi" w:hAnsiTheme="minorHAnsi"/>
              <w:noProof/>
              <w:sz w:val="24"/>
            </w:rPr>
          </w:pPr>
          <w:hyperlink w:anchor="_Toc226020674" w:history="1">
            <w:r w:rsidRPr="001859E1">
              <w:rPr>
                <w:rStyle w:val="Hyperlink"/>
                <w:rFonts w:cs="Times New Roman"/>
                <w:noProof/>
              </w:rPr>
              <w:t>S.1.1.2. Model initialization</w:t>
            </w:r>
            <w:r>
              <w:rPr>
                <w:noProof/>
                <w:webHidden/>
              </w:rPr>
              <w:tab/>
            </w:r>
            <w:r>
              <w:rPr>
                <w:noProof/>
                <w:webHidden/>
              </w:rPr>
              <w:fldChar w:fldCharType="begin"/>
            </w:r>
            <w:r>
              <w:rPr>
                <w:noProof/>
                <w:webHidden/>
              </w:rPr>
              <w:instrText xml:space="preserve"> PAGEREF _Toc226020674 \h </w:instrText>
            </w:r>
            <w:r>
              <w:rPr>
                <w:noProof/>
                <w:webHidden/>
              </w:rPr>
            </w:r>
            <w:r>
              <w:rPr>
                <w:noProof/>
                <w:webHidden/>
              </w:rPr>
              <w:fldChar w:fldCharType="separate"/>
            </w:r>
            <w:r>
              <w:rPr>
                <w:noProof/>
                <w:webHidden/>
              </w:rPr>
              <w:t>3</w:t>
            </w:r>
            <w:r>
              <w:rPr>
                <w:noProof/>
                <w:webHidden/>
              </w:rPr>
              <w:fldChar w:fldCharType="end"/>
            </w:r>
          </w:hyperlink>
        </w:p>
        <w:p w14:paraId="7C6A6377" w14:textId="431F8235" w:rsidR="00DE473B" w:rsidRDefault="00DE473B">
          <w:pPr>
            <w:pStyle w:val="TOC2"/>
            <w:tabs>
              <w:tab w:val="right" w:leader="dot" w:pos="9350"/>
            </w:tabs>
            <w:rPr>
              <w:rFonts w:asciiTheme="minorHAnsi" w:hAnsiTheme="minorHAnsi"/>
              <w:noProof/>
              <w:sz w:val="24"/>
            </w:rPr>
          </w:pPr>
          <w:hyperlink w:anchor="_Toc226020675" w:history="1">
            <w:r w:rsidRPr="001859E1">
              <w:rPr>
                <w:rStyle w:val="Hyperlink"/>
                <w:rFonts w:cs="Times New Roman"/>
                <w:noProof/>
              </w:rPr>
              <w:t>S1.1.3. State transitions and simulation events</w:t>
            </w:r>
            <w:r>
              <w:rPr>
                <w:noProof/>
                <w:webHidden/>
              </w:rPr>
              <w:tab/>
            </w:r>
            <w:r>
              <w:rPr>
                <w:noProof/>
                <w:webHidden/>
              </w:rPr>
              <w:fldChar w:fldCharType="begin"/>
            </w:r>
            <w:r>
              <w:rPr>
                <w:noProof/>
                <w:webHidden/>
              </w:rPr>
              <w:instrText xml:space="preserve"> PAGEREF _Toc226020675 \h </w:instrText>
            </w:r>
            <w:r>
              <w:rPr>
                <w:noProof/>
                <w:webHidden/>
              </w:rPr>
            </w:r>
            <w:r>
              <w:rPr>
                <w:noProof/>
                <w:webHidden/>
              </w:rPr>
              <w:fldChar w:fldCharType="separate"/>
            </w:r>
            <w:r>
              <w:rPr>
                <w:noProof/>
                <w:webHidden/>
              </w:rPr>
              <w:t>3</w:t>
            </w:r>
            <w:r>
              <w:rPr>
                <w:noProof/>
                <w:webHidden/>
              </w:rPr>
              <w:fldChar w:fldCharType="end"/>
            </w:r>
          </w:hyperlink>
        </w:p>
        <w:p w14:paraId="1876CE3C" w14:textId="7EC760BF" w:rsidR="00DE473B" w:rsidRDefault="00DE473B">
          <w:pPr>
            <w:pStyle w:val="TOC1"/>
            <w:rPr>
              <w:rFonts w:asciiTheme="minorHAnsi" w:hAnsiTheme="minorHAnsi"/>
              <w:noProof/>
              <w:sz w:val="24"/>
            </w:rPr>
          </w:pPr>
          <w:hyperlink w:anchor="_Toc226020676" w:history="1">
            <w:r w:rsidRPr="001859E1">
              <w:rPr>
                <w:rStyle w:val="Hyperlink"/>
                <w:noProof/>
              </w:rPr>
              <w:t>S1.2. Estimation of prevalence for opioid use health states</w:t>
            </w:r>
            <w:r>
              <w:rPr>
                <w:noProof/>
                <w:webHidden/>
              </w:rPr>
              <w:tab/>
            </w:r>
            <w:r>
              <w:rPr>
                <w:noProof/>
                <w:webHidden/>
              </w:rPr>
              <w:fldChar w:fldCharType="begin"/>
            </w:r>
            <w:r>
              <w:rPr>
                <w:noProof/>
                <w:webHidden/>
              </w:rPr>
              <w:instrText xml:space="preserve"> PAGEREF _Toc226020676 \h </w:instrText>
            </w:r>
            <w:r>
              <w:rPr>
                <w:noProof/>
                <w:webHidden/>
              </w:rPr>
            </w:r>
            <w:r>
              <w:rPr>
                <w:noProof/>
                <w:webHidden/>
              </w:rPr>
              <w:fldChar w:fldCharType="separate"/>
            </w:r>
            <w:r>
              <w:rPr>
                <w:noProof/>
                <w:webHidden/>
              </w:rPr>
              <w:t>5</w:t>
            </w:r>
            <w:r>
              <w:rPr>
                <w:noProof/>
                <w:webHidden/>
              </w:rPr>
              <w:fldChar w:fldCharType="end"/>
            </w:r>
          </w:hyperlink>
        </w:p>
        <w:p w14:paraId="20D28CF8" w14:textId="02779EEB" w:rsidR="00DE473B" w:rsidRDefault="00DE473B">
          <w:pPr>
            <w:pStyle w:val="TOC2"/>
            <w:tabs>
              <w:tab w:val="right" w:leader="dot" w:pos="9350"/>
            </w:tabs>
            <w:rPr>
              <w:rFonts w:asciiTheme="minorHAnsi" w:hAnsiTheme="minorHAnsi"/>
              <w:noProof/>
              <w:sz w:val="24"/>
            </w:rPr>
          </w:pPr>
          <w:hyperlink w:anchor="_Toc226020677" w:history="1">
            <w:r w:rsidRPr="001859E1">
              <w:rPr>
                <w:rStyle w:val="Hyperlink"/>
                <w:rFonts w:cs="Times New Roman"/>
                <w:noProof/>
              </w:rPr>
              <w:t>S1.2.1. Prevalence of OUD</w:t>
            </w:r>
            <w:r>
              <w:rPr>
                <w:noProof/>
                <w:webHidden/>
              </w:rPr>
              <w:tab/>
            </w:r>
            <w:r>
              <w:rPr>
                <w:noProof/>
                <w:webHidden/>
              </w:rPr>
              <w:fldChar w:fldCharType="begin"/>
            </w:r>
            <w:r>
              <w:rPr>
                <w:noProof/>
                <w:webHidden/>
              </w:rPr>
              <w:instrText xml:space="preserve"> PAGEREF _Toc226020677 \h </w:instrText>
            </w:r>
            <w:r>
              <w:rPr>
                <w:noProof/>
                <w:webHidden/>
              </w:rPr>
            </w:r>
            <w:r>
              <w:rPr>
                <w:noProof/>
                <w:webHidden/>
              </w:rPr>
              <w:fldChar w:fldCharType="separate"/>
            </w:r>
            <w:r>
              <w:rPr>
                <w:noProof/>
                <w:webHidden/>
              </w:rPr>
              <w:t>5</w:t>
            </w:r>
            <w:r>
              <w:rPr>
                <w:noProof/>
                <w:webHidden/>
              </w:rPr>
              <w:fldChar w:fldCharType="end"/>
            </w:r>
          </w:hyperlink>
        </w:p>
        <w:p w14:paraId="4876D046" w14:textId="39558CD8" w:rsidR="00DE473B" w:rsidRDefault="00DE473B">
          <w:pPr>
            <w:pStyle w:val="TOC2"/>
            <w:tabs>
              <w:tab w:val="right" w:leader="dot" w:pos="9350"/>
            </w:tabs>
            <w:rPr>
              <w:rFonts w:asciiTheme="minorHAnsi" w:hAnsiTheme="minorHAnsi"/>
              <w:noProof/>
              <w:sz w:val="24"/>
            </w:rPr>
          </w:pPr>
          <w:hyperlink w:anchor="_Toc226020678" w:history="1">
            <w:r w:rsidRPr="001859E1">
              <w:rPr>
                <w:rStyle w:val="Hyperlink"/>
                <w:rFonts w:cs="Times New Roman"/>
                <w:bCs/>
                <w:noProof/>
              </w:rPr>
              <w:t>S1.2.2. Prevalence of prescription opioid misuse and illicit opioid use (without OUD)</w:t>
            </w:r>
            <w:r>
              <w:rPr>
                <w:noProof/>
                <w:webHidden/>
              </w:rPr>
              <w:tab/>
            </w:r>
            <w:r>
              <w:rPr>
                <w:noProof/>
                <w:webHidden/>
              </w:rPr>
              <w:fldChar w:fldCharType="begin"/>
            </w:r>
            <w:r>
              <w:rPr>
                <w:noProof/>
                <w:webHidden/>
              </w:rPr>
              <w:instrText xml:space="preserve"> PAGEREF _Toc226020678 \h </w:instrText>
            </w:r>
            <w:r>
              <w:rPr>
                <w:noProof/>
                <w:webHidden/>
              </w:rPr>
            </w:r>
            <w:r>
              <w:rPr>
                <w:noProof/>
                <w:webHidden/>
              </w:rPr>
              <w:fldChar w:fldCharType="separate"/>
            </w:r>
            <w:r>
              <w:rPr>
                <w:noProof/>
                <w:webHidden/>
              </w:rPr>
              <w:t>6</w:t>
            </w:r>
            <w:r>
              <w:rPr>
                <w:noProof/>
                <w:webHidden/>
              </w:rPr>
              <w:fldChar w:fldCharType="end"/>
            </w:r>
          </w:hyperlink>
        </w:p>
        <w:p w14:paraId="1120E087" w14:textId="50827633" w:rsidR="00DE473B" w:rsidRDefault="00DE473B">
          <w:pPr>
            <w:pStyle w:val="TOC2"/>
            <w:tabs>
              <w:tab w:val="right" w:leader="dot" w:pos="9350"/>
            </w:tabs>
            <w:rPr>
              <w:rFonts w:asciiTheme="minorHAnsi" w:hAnsiTheme="minorHAnsi"/>
              <w:noProof/>
              <w:sz w:val="24"/>
            </w:rPr>
          </w:pPr>
          <w:hyperlink w:anchor="_Toc226020679" w:history="1">
            <w:r w:rsidRPr="001859E1">
              <w:rPr>
                <w:rStyle w:val="Hyperlink"/>
                <w:rFonts w:cs="Times New Roman"/>
                <w:bCs/>
                <w:noProof/>
              </w:rPr>
              <w:t>S1.2.3. Sex and age distributions of persons with non-medical opioid use</w:t>
            </w:r>
            <w:r>
              <w:rPr>
                <w:noProof/>
                <w:webHidden/>
              </w:rPr>
              <w:tab/>
            </w:r>
            <w:r>
              <w:rPr>
                <w:noProof/>
                <w:webHidden/>
              </w:rPr>
              <w:fldChar w:fldCharType="begin"/>
            </w:r>
            <w:r>
              <w:rPr>
                <w:noProof/>
                <w:webHidden/>
              </w:rPr>
              <w:instrText xml:space="preserve"> PAGEREF _Toc226020679 \h </w:instrText>
            </w:r>
            <w:r>
              <w:rPr>
                <w:noProof/>
                <w:webHidden/>
              </w:rPr>
            </w:r>
            <w:r>
              <w:rPr>
                <w:noProof/>
                <w:webHidden/>
              </w:rPr>
              <w:fldChar w:fldCharType="separate"/>
            </w:r>
            <w:r>
              <w:rPr>
                <w:noProof/>
                <w:webHidden/>
              </w:rPr>
              <w:t>9</w:t>
            </w:r>
            <w:r>
              <w:rPr>
                <w:noProof/>
                <w:webHidden/>
              </w:rPr>
              <w:fldChar w:fldCharType="end"/>
            </w:r>
          </w:hyperlink>
        </w:p>
        <w:p w14:paraId="35525F61" w14:textId="0EAD89BC" w:rsidR="00DE473B" w:rsidRDefault="00DE473B">
          <w:pPr>
            <w:pStyle w:val="TOC1"/>
            <w:rPr>
              <w:rFonts w:asciiTheme="minorHAnsi" w:hAnsiTheme="minorHAnsi"/>
              <w:noProof/>
              <w:sz w:val="24"/>
            </w:rPr>
          </w:pPr>
          <w:hyperlink w:anchor="_Toc226020680" w:history="1">
            <w:r w:rsidRPr="001859E1">
              <w:rPr>
                <w:rStyle w:val="Hyperlink"/>
                <w:noProof/>
              </w:rPr>
              <w:t>S1.3. Modeling of MOUD treatment and recovery</w:t>
            </w:r>
            <w:r>
              <w:rPr>
                <w:noProof/>
                <w:webHidden/>
              </w:rPr>
              <w:tab/>
            </w:r>
            <w:r>
              <w:rPr>
                <w:noProof/>
                <w:webHidden/>
              </w:rPr>
              <w:fldChar w:fldCharType="begin"/>
            </w:r>
            <w:r>
              <w:rPr>
                <w:noProof/>
                <w:webHidden/>
              </w:rPr>
              <w:instrText xml:space="preserve"> PAGEREF _Toc226020680 \h </w:instrText>
            </w:r>
            <w:r>
              <w:rPr>
                <w:noProof/>
                <w:webHidden/>
              </w:rPr>
            </w:r>
            <w:r>
              <w:rPr>
                <w:noProof/>
                <w:webHidden/>
              </w:rPr>
              <w:fldChar w:fldCharType="separate"/>
            </w:r>
            <w:r>
              <w:rPr>
                <w:noProof/>
                <w:webHidden/>
              </w:rPr>
              <w:t>12</w:t>
            </w:r>
            <w:r>
              <w:rPr>
                <w:noProof/>
                <w:webHidden/>
              </w:rPr>
              <w:fldChar w:fldCharType="end"/>
            </w:r>
          </w:hyperlink>
        </w:p>
        <w:p w14:paraId="3421D8E4" w14:textId="6903E940" w:rsidR="00DE473B" w:rsidRDefault="00DE473B">
          <w:pPr>
            <w:pStyle w:val="TOC2"/>
            <w:tabs>
              <w:tab w:val="right" w:leader="dot" w:pos="9350"/>
            </w:tabs>
            <w:rPr>
              <w:rFonts w:asciiTheme="minorHAnsi" w:hAnsiTheme="minorHAnsi"/>
              <w:noProof/>
              <w:sz w:val="24"/>
            </w:rPr>
          </w:pPr>
          <w:hyperlink w:anchor="_Toc226020681" w:history="1">
            <w:r w:rsidRPr="001859E1">
              <w:rPr>
                <w:rStyle w:val="Hyperlink"/>
                <w:rFonts w:cs="Times New Roman"/>
                <w:noProof/>
              </w:rPr>
              <w:t>S1.3.1. Treatment retention</w:t>
            </w:r>
            <w:r>
              <w:rPr>
                <w:noProof/>
                <w:webHidden/>
              </w:rPr>
              <w:tab/>
            </w:r>
            <w:r>
              <w:rPr>
                <w:noProof/>
                <w:webHidden/>
              </w:rPr>
              <w:fldChar w:fldCharType="begin"/>
            </w:r>
            <w:r>
              <w:rPr>
                <w:noProof/>
                <w:webHidden/>
              </w:rPr>
              <w:instrText xml:space="preserve"> PAGEREF _Toc226020681 \h </w:instrText>
            </w:r>
            <w:r>
              <w:rPr>
                <w:noProof/>
                <w:webHidden/>
              </w:rPr>
            </w:r>
            <w:r>
              <w:rPr>
                <w:noProof/>
                <w:webHidden/>
              </w:rPr>
              <w:fldChar w:fldCharType="separate"/>
            </w:r>
            <w:r>
              <w:rPr>
                <w:noProof/>
                <w:webHidden/>
              </w:rPr>
              <w:t>12</w:t>
            </w:r>
            <w:r>
              <w:rPr>
                <w:noProof/>
                <w:webHidden/>
              </w:rPr>
              <w:fldChar w:fldCharType="end"/>
            </w:r>
          </w:hyperlink>
        </w:p>
        <w:p w14:paraId="118A75B4" w14:textId="77CBE2BA" w:rsidR="00DE473B" w:rsidRDefault="00DE473B">
          <w:pPr>
            <w:pStyle w:val="TOC2"/>
            <w:tabs>
              <w:tab w:val="right" w:leader="dot" w:pos="9350"/>
            </w:tabs>
            <w:rPr>
              <w:rFonts w:asciiTheme="minorHAnsi" w:hAnsiTheme="minorHAnsi"/>
              <w:noProof/>
              <w:sz w:val="24"/>
            </w:rPr>
          </w:pPr>
          <w:hyperlink w:anchor="_Toc226020682" w:history="1">
            <w:r w:rsidRPr="001859E1">
              <w:rPr>
                <w:rStyle w:val="Hyperlink"/>
                <w:rFonts w:cs="Times New Roman"/>
                <w:noProof/>
              </w:rPr>
              <w:t>S1.3.2. HCS data for MOUD treatment</w:t>
            </w:r>
            <w:r>
              <w:rPr>
                <w:noProof/>
                <w:webHidden/>
              </w:rPr>
              <w:tab/>
            </w:r>
            <w:r>
              <w:rPr>
                <w:noProof/>
                <w:webHidden/>
              </w:rPr>
              <w:fldChar w:fldCharType="begin"/>
            </w:r>
            <w:r>
              <w:rPr>
                <w:noProof/>
                <w:webHidden/>
              </w:rPr>
              <w:instrText xml:space="preserve"> PAGEREF _Toc226020682 \h </w:instrText>
            </w:r>
            <w:r>
              <w:rPr>
                <w:noProof/>
                <w:webHidden/>
              </w:rPr>
            </w:r>
            <w:r>
              <w:rPr>
                <w:noProof/>
                <w:webHidden/>
              </w:rPr>
              <w:fldChar w:fldCharType="separate"/>
            </w:r>
            <w:r>
              <w:rPr>
                <w:noProof/>
                <w:webHidden/>
              </w:rPr>
              <w:t>12</w:t>
            </w:r>
            <w:r>
              <w:rPr>
                <w:noProof/>
                <w:webHidden/>
              </w:rPr>
              <w:fldChar w:fldCharType="end"/>
            </w:r>
          </w:hyperlink>
        </w:p>
        <w:p w14:paraId="07D229D3" w14:textId="3D007332" w:rsidR="00DE473B" w:rsidRDefault="00DE473B">
          <w:pPr>
            <w:pStyle w:val="TOC2"/>
            <w:tabs>
              <w:tab w:val="right" w:leader="dot" w:pos="9350"/>
            </w:tabs>
            <w:rPr>
              <w:rFonts w:asciiTheme="minorHAnsi" w:hAnsiTheme="minorHAnsi"/>
              <w:noProof/>
              <w:sz w:val="24"/>
            </w:rPr>
          </w:pPr>
          <w:hyperlink w:anchor="_Toc226020683" w:history="1">
            <w:r w:rsidRPr="001859E1">
              <w:rPr>
                <w:rStyle w:val="Hyperlink"/>
                <w:rFonts w:cs="Times New Roman"/>
                <w:noProof/>
              </w:rPr>
              <w:t>S1.3.3. Recovery and relapse</w:t>
            </w:r>
            <w:r>
              <w:rPr>
                <w:noProof/>
                <w:webHidden/>
              </w:rPr>
              <w:tab/>
            </w:r>
            <w:r>
              <w:rPr>
                <w:noProof/>
                <w:webHidden/>
              </w:rPr>
              <w:fldChar w:fldCharType="begin"/>
            </w:r>
            <w:r>
              <w:rPr>
                <w:noProof/>
                <w:webHidden/>
              </w:rPr>
              <w:instrText xml:space="preserve"> PAGEREF _Toc226020683 \h </w:instrText>
            </w:r>
            <w:r>
              <w:rPr>
                <w:noProof/>
                <w:webHidden/>
              </w:rPr>
            </w:r>
            <w:r>
              <w:rPr>
                <w:noProof/>
                <w:webHidden/>
              </w:rPr>
              <w:fldChar w:fldCharType="separate"/>
            </w:r>
            <w:r>
              <w:rPr>
                <w:noProof/>
                <w:webHidden/>
              </w:rPr>
              <w:t>13</w:t>
            </w:r>
            <w:r>
              <w:rPr>
                <w:noProof/>
                <w:webHidden/>
              </w:rPr>
              <w:fldChar w:fldCharType="end"/>
            </w:r>
          </w:hyperlink>
        </w:p>
        <w:p w14:paraId="249B364E" w14:textId="7B74F58B" w:rsidR="00DE473B" w:rsidRDefault="00DE473B">
          <w:pPr>
            <w:pStyle w:val="TOC1"/>
            <w:rPr>
              <w:rFonts w:asciiTheme="minorHAnsi" w:hAnsiTheme="minorHAnsi"/>
              <w:noProof/>
              <w:sz w:val="24"/>
            </w:rPr>
          </w:pPr>
          <w:hyperlink w:anchor="_Toc226020684" w:history="1">
            <w:r w:rsidRPr="001859E1">
              <w:rPr>
                <w:rStyle w:val="Hyperlink"/>
                <w:noProof/>
              </w:rPr>
              <w:t>S1.4. Mortality estimates</w:t>
            </w:r>
            <w:r>
              <w:rPr>
                <w:noProof/>
                <w:webHidden/>
              </w:rPr>
              <w:tab/>
            </w:r>
            <w:r>
              <w:rPr>
                <w:noProof/>
                <w:webHidden/>
              </w:rPr>
              <w:fldChar w:fldCharType="begin"/>
            </w:r>
            <w:r>
              <w:rPr>
                <w:noProof/>
                <w:webHidden/>
              </w:rPr>
              <w:instrText xml:space="preserve"> PAGEREF _Toc226020684 \h </w:instrText>
            </w:r>
            <w:r>
              <w:rPr>
                <w:noProof/>
                <w:webHidden/>
              </w:rPr>
            </w:r>
            <w:r>
              <w:rPr>
                <w:noProof/>
                <w:webHidden/>
              </w:rPr>
              <w:fldChar w:fldCharType="separate"/>
            </w:r>
            <w:r>
              <w:rPr>
                <w:noProof/>
                <w:webHidden/>
              </w:rPr>
              <w:t>13</w:t>
            </w:r>
            <w:r>
              <w:rPr>
                <w:noProof/>
                <w:webHidden/>
              </w:rPr>
              <w:fldChar w:fldCharType="end"/>
            </w:r>
          </w:hyperlink>
        </w:p>
        <w:p w14:paraId="717F2014" w14:textId="0EAD650E" w:rsidR="00DE473B" w:rsidRDefault="00DE473B">
          <w:pPr>
            <w:pStyle w:val="TOC2"/>
            <w:tabs>
              <w:tab w:val="right" w:leader="dot" w:pos="9350"/>
            </w:tabs>
            <w:rPr>
              <w:rFonts w:asciiTheme="minorHAnsi" w:hAnsiTheme="minorHAnsi"/>
              <w:noProof/>
              <w:sz w:val="24"/>
            </w:rPr>
          </w:pPr>
          <w:hyperlink w:anchor="_Toc226020685" w:history="1">
            <w:r w:rsidRPr="001859E1">
              <w:rPr>
                <w:rStyle w:val="Hyperlink"/>
                <w:rFonts w:cs="Times New Roman"/>
                <w:noProof/>
                <w:lang w:eastAsia="zh-CN"/>
              </w:rPr>
              <w:t>S1.4.1. Opioid overdose mortality</w:t>
            </w:r>
            <w:r>
              <w:rPr>
                <w:noProof/>
                <w:webHidden/>
              </w:rPr>
              <w:tab/>
            </w:r>
            <w:r>
              <w:rPr>
                <w:noProof/>
                <w:webHidden/>
              </w:rPr>
              <w:fldChar w:fldCharType="begin"/>
            </w:r>
            <w:r>
              <w:rPr>
                <w:noProof/>
                <w:webHidden/>
              </w:rPr>
              <w:instrText xml:space="preserve"> PAGEREF _Toc226020685 \h </w:instrText>
            </w:r>
            <w:r>
              <w:rPr>
                <w:noProof/>
                <w:webHidden/>
              </w:rPr>
            </w:r>
            <w:r>
              <w:rPr>
                <w:noProof/>
                <w:webHidden/>
              </w:rPr>
              <w:fldChar w:fldCharType="separate"/>
            </w:r>
            <w:r>
              <w:rPr>
                <w:noProof/>
                <w:webHidden/>
              </w:rPr>
              <w:t>13</w:t>
            </w:r>
            <w:r>
              <w:rPr>
                <w:noProof/>
                <w:webHidden/>
              </w:rPr>
              <w:fldChar w:fldCharType="end"/>
            </w:r>
          </w:hyperlink>
        </w:p>
        <w:p w14:paraId="34FEA5FD" w14:textId="0917D11D" w:rsidR="00DE473B" w:rsidRDefault="00DE473B">
          <w:pPr>
            <w:pStyle w:val="TOC2"/>
            <w:tabs>
              <w:tab w:val="right" w:leader="dot" w:pos="9350"/>
            </w:tabs>
            <w:rPr>
              <w:rFonts w:asciiTheme="minorHAnsi" w:hAnsiTheme="minorHAnsi"/>
              <w:noProof/>
              <w:sz w:val="24"/>
            </w:rPr>
          </w:pPr>
          <w:hyperlink w:anchor="_Toc226020686" w:history="1">
            <w:r w:rsidRPr="001859E1">
              <w:rPr>
                <w:rStyle w:val="Hyperlink"/>
                <w:rFonts w:cs="Times New Roman"/>
                <w:noProof/>
              </w:rPr>
              <w:t>S1.4.2. Modeling the impact of naloxone availability on overdose mortality</w:t>
            </w:r>
            <w:r>
              <w:rPr>
                <w:noProof/>
                <w:webHidden/>
              </w:rPr>
              <w:tab/>
            </w:r>
            <w:r>
              <w:rPr>
                <w:noProof/>
                <w:webHidden/>
              </w:rPr>
              <w:fldChar w:fldCharType="begin"/>
            </w:r>
            <w:r>
              <w:rPr>
                <w:noProof/>
                <w:webHidden/>
              </w:rPr>
              <w:instrText xml:space="preserve"> PAGEREF _Toc226020686 \h </w:instrText>
            </w:r>
            <w:r>
              <w:rPr>
                <w:noProof/>
                <w:webHidden/>
              </w:rPr>
            </w:r>
            <w:r>
              <w:rPr>
                <w:noProof/>
                <w:webHidden/>
              </w:rPr>
              <w:fldChar w:fldCharType="separate"/>
            </w:r>
            <w:r>
              <w:rPr>
                <w:noProof/>
                <w:webHidden/>
              </w:rPr>
              <w:t>14</w:t>
            </w:r>
            <w:r>
              <w:rPr>
                <w:noProof/>
                <w:webHidden/>
              </w:rPr>
              <w:fldChar w:fldCharType="end"/>
            </w:r>
          </w:hyperlink>
        </w:p>
        <w:p w14:paraId="2832A52A" w14:textId="21068E41" w:rsidR="00DE473B" w:rsidRDefault="00DE473B">
          <w:pPr>
            <w:pStyle w:val="TOC2"/>
            <w:tabs>
              <w:tab w:val="right" w:leader="dot" w:pos="9350"/>
            </w:tabs>
            <w:rPr>
              <w:rFonts w:asciiTheme="minorHAnsi" w:hAnsiTheme="minorHAnsi"/>
              <w:noProof/>
              <w:sz w:val="24"/>
            </w:rPr>
          </w:pPr>
          <w:hyperlink w:anchor="_Toc226020687" w:history="1">
            <w:r w:rsidRPr="001859E1">
              <w:rPr>
                <w:rStyle w:val="Hyperlink"/>
                <w:rFonts w:cs="Times New Roman"/>
                <w:noProof/>
              </w:rPr>
              <w:t>S1.4.3. Opioid-related non-overdose mortality and other-cause mortality</w:t>
            </w:r>
            <w:r>
              <w:rPr>
                <w:noProof/>
                <w:webHidden/>
              </w:rPr>
              <w:tab/>
            </w:r>
            <w:r>
              <w:rPr>
                <w:noProof/>
                <w:webHidden/>
              </w:rPr>
              <w:fldChar w:fldCharType="begin"/>
            </w:r>
            <w:r>
              <w:rPr>
                <w:noProof/>
                <w:webHidden/>
              </w:rPr>
              <w:instrText xml:space="preserve"> PAGEREF _Toc226020687 \h </w:instrText>
            </w:r>
            <w:r>
              <w:rPr>
                <w:noProof/>
                <w:webHidden/>
              </w:rPr>
            </w:r>
            <w:r>
              <w:rPr>
                <w:noProof/>
                <w:webHidden/>
              </w:rPr>
              <w:fldChar w:fldCharType="separate"/>
            </w:r>
            <w:r>
              <w:rPr>
                <w:noProof/>
                <w:webHidden/>
              </w:rPr>
              <w:t>15</w:t>
            </w:r>
            <w:r>
              <w:rPr>
                <w:noProof/>
                <w:webHidden/>
              </w:rPr>
              <w:fldChar w:fldCharType="end"/>
            </w:r>
          </w:hyperlink>
        </w:p>
        <w:p w14:paraId="39F71653" w14:textId="00713294" w:rsidR="00DE473B" w:rsidRDefault="00DE473B">
          <w:pPr>
            <w:pStyle w:val="TOC1"/>
            <w:rPr>
              <w:rFonts w:asciiTheme="minorHAnsi" w:hAnsiTheme="minorHAnsi"/>
              <w:noProof/>
              <w:sz w:val="24"/>
            </w:rPr>
          </w:pPr>
          <w:hyperlink w:anchor="_Toc226020688" w:history="1">
            <w:r w:rsidRPr="001859E1">
              <w:rPr>
                <w:rStyle w:val="Hyperlink"/>
                <w:noProof/>
              </w:rPr>
              <w:t>S1.5. Model calibration</w:t>
            </w:r>
            <w:r>
              <w:rPr>
                <w:noProof/>
                <w:webHidden/>
              </w:rPr>
              <w:tab/>
            </w:r>
            <w:r>
              <w:rPr>
                <w:noProof/>
                <w:webHidden/>
              </w:rPr>
              <w:fldChar w:fldCharType="begin"/>
            </w:r>
            <w:r>
              <w:rPr>
                <w:noProof/>
                <w:webHidden/>
              </w:rPr>
              <w:instrText xml:space="preserve"> PAGEREF _Toc226020688 \h </w:instrText>
            </w:r>
            <w:r>
              <w:rPr>
                <w:noProof/>
                <w:webHidden/>
              </w:rPr>
            </w:r>
            <w:r>
              <w:rPr>
                <w:noProof/>
                <w:webHidden/>
              </w:rPr>
              <w:fldChar w:fldCharType="separate"/>
            </w:r>
            <w:r>
              <w:rPr>
                <w:noProof/>
                <w:webHidden/>
              </w:rPr>
              <w:t>17</w:t>
            </w:r>
            <w:r>
              <w:rPr>
                <w:noProof/>
                <w:webHidden/>
              </w:rPr>
              <w:fldChar w:fldCharType="end"/>
            </w:r>
          </w:hyperlink>
        </w:p>
        <w:p w14:paraId="57202E5D" w14:textId="5EFD43A8" w:rsidR="00DE473B" w:rsidRDefault="00DE473B">
          <w:pPr>
            <w:pStyle w:val="TOC1"/>
            <w:rPr>
              <w:rFonts w:asciiTheme="minorHAnsi" w:hAnsiTheme="minorHAnsi"/>
              <w:noProof/>
              <w:sz w:val="24"/>
            </w:rPr>
          </w:pPr>
          <w:hyperlink w:anchor="_Toc226020689" w:history="1">
            <w:r w:rsidRPr="001859E1">
              <w:rPr>
                <w:rStyle w:val="Hyperlink"/>
                <w:noProof/>
              </w:rPr>
              <w:t>S1.6. Model input tables</w:t>
            </w:r>
            <w:r>
              <w:rPr>
                <w:noProof/>
                <w:webHidden/>
              </w:rPr>
              <w:tab/>
            </w:r>
            <w:r>
              <w:rPr>
                <w:noProof/>
                <w:webHidden/>
              </w:rPr>
              <w:fldChar w:fldCharType="begin"/>
            </w:r>
            <w:r>
              <w:rPr>
                <w:noProof/>
                <w:webHidden/>
              </w:rPr>
              <w:instrText xml:space="preserve"> PAGEREF _Toc226020689 \h </w:instrText>
            </w:r>
            <w:r>
              <w:rPr>
                <w:noProof/>
                <w:webHidden/>
              </w:rPr>
            </w:r>
            <w:r>
              <w:rPr>
                <w:noProof/>
                <w:webHidden/>
              </w:rPr>
              <w:fldChar w:fldCharType="separate"/>
            </w:r>
            <w:r>
              <w:rPr>
                <w:noProof/>
                <w:webHidden/>
              </w:rPr>
              <w:t>21</w:t>
            </w:r>
            <w:r>
              <w:rPr>
                <w:noProof/>
                <w:webHidden/>
              </w:rPr>
              <w:fldChar w:fldCharType="end"/>
            </w:r>
          </w:hyperlink>
        </w:p>
        <w:p w14:paraId="089F992E" w14:textId="2D7024E7" w:rsidR="00DE473B" w:rsidRDefault="00DE473B">
          <w:pPr>
            <w:pStyle w:val="TOC1"/>
            <w:rPr>
              <w:rFonts w:asciiTheme="minorHAnsi" w:hAnsiTheme="minorHAnsi"/>
              <w:noProof/>
              <w:sz w:val="24"/>
            </w:rPr>
          </w:pPr>
          <w:hyperlink w:anchor="_Toc226020690" w:history="1">
            <w:r w:rsidRPr="001859E1">
              <w:rPr>
                <w:rStyle w:val="Hyperlink"/>
                <w:noProof/>
              </w:rPr>
              <w:t>S1.7. Probabilistic sensitivity analysis</w:t>
            </w:r>
            <w:r>
              <w:rPr>
                <w:noProof/>
                <w:webHidden/>
              </w:rPr>
              <w:tab/>
            </w:r>
            <w:r>
              <w:rPr>
                <w:noProof/>
                <w:webHidden/>
              </w:rPr>
              <w:fldChar w:fldCharType="begin"/>
            </w:r>
            <w:r>
              <w:rPr>
                <w:noProof/>
                <w:webHidden/>
              </w:rPr>
              <w:instrText xml:space="preserve"> PAGEREF _Toc226020690 \h </w:instrText>
            </w:r>
            <w:r>
              <w:rPr>
                <w:noProof/>
                <w:webHidden/>
              </w:rPr>
            </w:r>
            <w:r>
              <w:rPr>
                <w:noProof/>
                <w:webHidden/>
              </w:rPr>
              <w:fldChar w:fldCharType="separate"/>
            </w:r>
            <w:r>
              <w:rPr>
                <w:noProof/>
                <w:webHidden/>
              </w:rPr>
              <w:t>24</w:t>
            </w:r>
            <w:r>
              <w:rPr>
                <w:noProof/>
                <w:webHidden/>
              </w:rPr>
              <w:fldChar w:fldCharType="end"/>
            </w:r>
          </w:hyperlink>
        </w:p>
        <w:p w14:paraId="6DC422B2" w14:textId="57FAC272" w:rsidR="00DE473B" w:rsidRDefault="00DE473B">
          <w:pPr>
            <w:pStyle w:val="TOC1"/>
            <w:rPr>
              <w:rFonts w:asciiTheme="minorHAnsi" w:hAnsiTheme="minorHAnsi"/>
              <w:noProof/>
              <w:sz w:val="24"/>
            </w:rPr>
          </w:pPr>
          <w:hyperlink w:anchor="_Toc226020691" w:history="1">
            <w:r w:rsidRPr="001859E1">
              <w:rPr>
                <w:rStyle w:val="Hyperlink"/>
                <w:noProof/>
              </w:rPr>
              <w:t>Supplement S2. Simulation scenarios</w:t>
            </w:r>
            <w:r>
              <w:rPr>
                <w:noProof/>
                <w:webHidden/>
              </w:rPr>
              <w:tab/>
            </w:r>
            <w:r>
              <w:rPr>
                <w:noProof/>
                <w:webHidden/>
              </w:rPr>
              <w:fldChar w:fldCharType="begin"/>
            </w:r>
            <w:r>
              <w:rPr>
                <w:noProof/>
                <w:webHidden/>
              </w:rPr>
              <w:instrText xml:space="preserve"> PAGEREF _Toc226020691 \h </w:instrText>
            </w:r>
            <w:r>
              <w:rPr>
                <w:noProof/>
                <w:webHidden/>
              </w:rPr>
            </w:r>
            <w:r>
              <w:rPr>
                <w:noProof/>
                <w:webHidden/>
              </w:rPr>
              <w:fldChar w:fldCharType="separate"/>
            </w:r>
            <w:r>
              <w:rPr>
                <w:noProof/>
                <w:webHidden/>
              </w:rPr>
              <w:t>26</w:t>
            </w:r>
            <w:r>
              <w:rPr>
                <w:noProof/>
                <w:webHidden/>
              </w:rPr>
              <w:fldChar w:fldCharType="end"/>
            </w:r>
          </w:hyperlink>
        </w:p>
        <w:p w14:paraId="1873EE38" w14:textId="5975B552" w:rsidR="00DE473B" w:rsidRDefault="00DE473B">
          <w:pPr>
            <w:pStyle w:val="TOC1"/>
            <w:rPr>
              <w:rFonts w:asciiTheme="minorHAnsi" w:hAnsiTheme="minorHAnsi"/>
              <w:noProof/>
              <w:sz w:val="24"/>
            </w:rPr>
          </w:pPr>
          <w:hyperlink w:anchor="_Toc226020692" w:history="1">
            <w:r w:rsidRPr="001859E1">
              <w:rPr>
                <w:rStyle w:val="Hyperlink"/>
                <w:noProof/>
              </w:rPr>
              <w:t>Supplement S3. Ec</w:t>
            </w:r>
            <w:r w:rsidRPr="001859E1">
              <w:rPr>
                <w:rStyle w:val="Hyperlink"/>
                <w:noProof/>
              </w:rPr>
              <w:t>o</w:t>
            </w:r>
            <w:r w:rsidRPr="001859E1">
              <w:rPr>
                <w:rStyle w:val="Hyperlink"/>
                <w:noProof/>
              </w:rPr>
              <w:t>nomic inputs</w:t>
            </w:r>
            <w:r>
              <w:rPr>
                <w:noProof/>
                <w:webHidden/>
              </w:rPr>
              <w:tab/>
            </w:r>
            <w:r>
              <w:rPr>
                <w:noProof/>
                <w:webHidden/>
              </w:rPr>
              <w:fldChar w:fldCharType="begin"/>
            </w:r>
            <w:r>
              <w:rPr>
                <w:noProof/>
                <w:webHidden/>
              </w:rPr>
              <w:instrText xml:space="preserve"> PAGEREF _Toc226020692 \h </w:instrText>
            </w:r>
            <w:r>
              <w:rPr>
                <w:noProof/>
                <w:webHidden/>
              </w:rPr>
            </w:r>
            <w:r>
              <w:rPr>
                <w:noProof/>
                <w:webHidden/>
              </w:rPr>
              <w:fldChar w:fldCharType="separate"/>
            </w:r>
            <w:r>
              <w:rPr>
                <w:noProof/>
                <w:webHidden/>
              </w:rPr>
              <w:t>27</w:t>
            </w:r>
            <w:r>
              <w:rPr>
                <w:noProof/>
                <w:webHidden/>
              </w:rPr>
              <w:fldChar w:fldCharType="end"/>
            </w:r>
          </w:hyperlink>
        </w:p>
        <w:p w14:paraId="32868F05" w14:textId="5CA4903F" w:rsidR="00DE473B" w:rsidRDefault="00DE473B">
          <w:pPr>
            <w:pStyle w:val="TOC1"/>
            <w:rPr>
              <w:rFonts w:asciiTheme="minorHAnsi" w:hAnsiTheme="minorHAnsi"/>
              <w:noProof/>
              <w:sz w:val="24"/>
            </w:rPr>
          </w:pPr>
          <w:hyperlink w:anchor="_Toc226020693" w:history="1">
            <w:r w:rsidRPr="001859E1">
              <w:rPr>
                <w:rStyle w:val="Hyperlink"/>
                <w:noProof/>
              </w:rPr>
              <w:t>Supplement S4. Supplementary results</w:t>
            </w:r>
            <w:r>
              <w:rPr>
                <w:noProof/>
                <w:webHidden/>
              </w:rPr>
              <w:tab/>
            </w:r>
            <w:r>
              <w:rPr>
                <w:noProof/>
                <w:webHidden/>
              </w:rPr>
              <w:fldChar w:fldCharType="begin"/>
            </w:r>
            <w:r>
              <w:rPr>
                <w:noProof/>
                <w:webHidden/>
              </w:rPr>
              <w:instrText xml:space="preserve"> PAGEREF _Toc226020693 \h </w:instrText>
            </w:r>
            <w:r>
              <w:rPr>
                <w:noProof/>
                <w:webHidden/>
              </w:rPr>
            </w:r>
            <w:r>
              <w:rPr>
                <w:noProof/>
                <w:webHidden/>
              </w:rPr>
              <w:fldChar w:fldCharType="separate"/>
            </w:r>
            <w:r>
              <w:rPr>
                <w:noProof/>
                <w:webHidden/>
              </w:rPr>
              <w:t>32</w:t>
            </w:r>
            <w:r>
              <w:rPr>
                <w:noProof/>
                <w:webHidden/>
              </w:rPr>
              <w:fldChar w:fldCharType="end"/>
            </w:r>
          </w:hyperlink>
        </w:p>
        <w:p w14:paraId="6F2980E4" w14:textId="6EDF0AED" w:rsidR="00DE473B" w:rsidRDefault="00DE473B">
          <w:pPr>
            <w:pStyle w:val="TOC1"/>
            <w:rPr>
              <w:rFonts w:asciiTheme="minorHAnsi" w:hAnsiTheme="minorHAnsi"/>
              <w:noProof/>
              <w:sz w:val="24"/>
            </w:rPr>
          </w:pPr>
          <w:hyperlink w:anchor="_Toc226020694" w:history="1">
            <w:r w:rsidRPr="001859E1">
              <w:rPr>
                <w:rStyle w:val="Hyperlink"/>
                <w:noProof/>
              </w:rPr>
              <w:t>References</w:t>
            </w:r>
            <w:r>
              <w:rPr>
                <w:noProof/>
                <w:webHidden/>
              </w:rPr>
              <w:tab/>
            </w:r>
            <w:r>
              <w:rPr>
                <w:noProof/>
                <w:webHidden/>
              </w:rPr>
              <w:fldChar w:fldCharType="begin"/>
            </w:r>
            <w:r>
              <w:rPr>
                <w:noProof/>
                <w:webHidden/>
              </w:rPr>
              <w:instrText xml:space="preserve"> PAGEREF _Toc226020694 \h </w:instrText>
            </w:r>
            <w:r>
              <w:rPr>
                <w:noProof/>
                <w:webHidden/>
              </w:rPr>
            </w:r>
            <w:r>
              <w:rPr>
                <w:noProof/>
                <w:webHidden/>
              </w:rPr>
              <w:fldChar w:fldCharType="separate"/>
            </w:r>
            <w:r>
              <w:rPr>
                <w:noProof/>
                <w:webHidden/>
              </w:rPr>
              <w:t>45</w:t>
            </w:r>
            <w:r>
              <w:rPr>
                <w:noProof/>
                <w:webHidden/>
              </w:rPr>
              <w:fldChar w:fldCharType="end"/>
            </w:r>
          </w:hyperlink>
        </w:p>
        <w:p w14:paraId="645E6954" w14:textId="26428F02" w:rsidR="00970FF6" w:rsidRPr="00D2239A" w:rsidRDefault="00970FF6">
          <w:pPr>
            <w:rPr>
              <w:rFonts w:cs="Times New Roman"/>
            </w:rPr>
          </w:pPr>
          <w:r w:rsidRPr="00D2239A">
            <w:rPr>
              <w:rFonts w:cs="Times New Roman"/>
              <w:b/>
              <w:bCs/>
              <w:noProof/>
            </w:rPr>
            <w:fldChar w:fldCharType="end"/>
          </w:r>
        </w:p>
      </w:sdtContent>
    </w:sdt>
    <w:p w14:paraId="27B27492" w14:textId="77777777" w:rsidR="004D0E3D" w:rsidRPr="00D2239A" w:rsidRDefault="004D0E3D" w:rsidP="00BF4CB5">
      <w:pPr>
        <w:spacing w:line="259" w:lineRule="auto"/>
        <w:rPr>
          <w:rFonts w:cs="Times New Roman"/>
          <w:b/>
          <w:bCs/>
        </w:rPr>
      </w:pPr>
    </w:p>
    <w:p w14:paraId="3A7EC5F3" w14:textId="77777777" w:rsidR="00885494" w:rsidRDefault="00885494" w:rsidP="00BF4CB5">
      <w:pPr>
        <w:spacing w:line="259" w:lineRule="auto"/>
        <w:rPr>
          <w:rFonts w:cs="Times New Roman"/>
          <w:b/>
          <w:bCs/>
        </w:rPr>
      </w:pPr>
      <w:r>
        <w:rPr>
          <w:rFonts w:cs="Times New Roman"/>
          <w:b/>
          <w:bCs/>
        </w:rPr>
        <w:br w:type="page"/>
      </w:r>
    </w:p>
    <w:p w14:paraId="66D80D45" w14:textId="59D4243B" w:rsidR="00BF4CB5" w:rsidRPr="00D2239A" w:rsidRDefault="00BF4CB5" w:rsidP="00BF4CB5">
      <w:pPr>
        <w:spacing w:line="259" w:lineRule="auto"/>
        <w:rPr>
          <w:rFonts w:cs="Times New Roman"/>
          <w:b/>
          <w:bCs/>
        </w:rPr>
      </w:pPr>
      <w:r w:rsidRPr="00D2239A">
        <w:rPr>
          <w:rFonts w:cs="Times New Roman"/>
          <w:b/>
          <w:bCs/>
        </w:rPr>
        <w:lastRenderedPageBreak/>
        <w:t>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8180"/>
      </w:tblGrid>
      <w:tr w:rsidR="00A264D8" w:rsidRPr="00D2239A" w14:paraId="309DBE84" w14:textId="77777777" w:rsidTr="00542574">
        <w:trPr>
          <w:trHeight w:val="20"/>
        </w:trPr>
        <w:tc>
          <w:tcPr>
            <w:tcW w:w="1170" w:type="dxa"/>
          </w:tcPr>
          <w:p w14:paraId="0C046CF9" w14:textId="14E07B6F" w:rsidR="00A264D8" w:rsidRPr="00D2239A" w:rsidRDefault="00A264D8" w:rsidP="004933B9">
            <w:pPr>
              <w:spacing w:after="60"/>
              <w:rPr>
                <w:rFonts w:cs="Times New Roman"/>
                <w:sz w:val="22"/>
                <w:szCs w:val="22"/>
              </w:rPr>
            </w:pPr>
            <w:r w:rsidRPr="00D2239A">
              <w:rPr>
                <w:rFonts w:cs="Times New Roman"/>
                <w:sz w:val="22"/>
                <w:szCs w:val="22"/>
              </w:rPr>
              <w:t>AIC</w:t>
            </w:r>
          </w:p>
        </w:tc>
        <w:tc>
          <w:tcPr>
            <w:tcW w:w="8180" w:type="dxa"/>
          </w:tcPr>
          <w:p w14:paraId="20D543FB" w14:textId="6A0A9EC5" w:rsidR="00A264D8" w:rsidRPr="00D2239A" w:rsidRDefault="00A264D8" w:rsidP="004933B9">
            <w:pPr>
              <w:spacing w:after="60"/>
              <w:rPr>
                <w:rFonts w:cs="Times New Roman"/>
                <w:sz w:val="22"/>
                <w:szCs w:val="22"/>
              </w:rPr>
            </w:pPr>
            <w:r w:rsidRPr="00D2239A">
              <w:rPr>
                <w:rFonts w:cs="Times New Roman"/>
                <w:sz w:val="22"/>
                <w:szCs w:val="22"/>
              </w:rPr>
              <w:t>Akaike information criterion</w:t>
            </w:r>
          </w:p>
        </w:tc>
      </w:tr>
      <w:tr w:rsidR="00A264D8" w:rsidRPr="00D2239A" w14:paraId="52D86254" w14:textId="77777777" w:rsidTr="00542574">
        <w:trPr>
          <w:trHeight w:val="20"/>
        </w:trPr>
        <w:tc>
          <w:tcPr>
            <w:tcW w:w="1170" w:type="dxa"/>
          </w:tcPr>
          <w:p w14:paraId="0E886A7C" w14:textId="1096C9A4" w:rsidR="00A264D8" w:rsidRPr="00D2239A" w:rsidRDefault="00A264D8" w:rsidP="004933B9">
            <w:pPr>
              <w:spacing w:after="60"/>
              <w:rPr>
                <w:rFonts w:cs="Times New Roman"/>
                <w:sz w:val="22"/>
                <w:szCs w:val="22"/>
              </w:rPr>
            </w:pPr>
            <w:r w:rsidRPr="00D2239A">
              <w:rPr>
                <w:rFonts w:cs="Times New Roman"/>
                <w:sz w:val="22"/>
                <w:szCs w:val="22"/>
              </w:rPr>
              <w:t>BIC</w:t>
            </w:r>
          </w:p>
        </w:tc>
        <w:tc>
          <w:tcPr>
            <w:tcW w:w="8180" w:type="dxa"/>
          </w:tcPr>
          <w:p w14:paraId="2269E08E" w14:textId="142911B7" w:rsidR="00A264D8" w:rsidRPr="00D2239A" w:rsidRDefault="00A264D8" w:rsidP="004933B9">
            <w:pPr>
              <w:spacing w:after="60"/>
              <w:rPr>
                <w:rFonts w:cs="Times New Roman"/>
                <w:sz w:val="22"/>
                <w:szCs w:val="22"/>
              </w:rPr>
            </w:pPr>
            <w:r w:rsidRPr="00D2239A">
              <w:rPr>
                <w:rFonts w:cs="Times New Roman"/>
                <w:sz w:val="22"/>
                <w:szCs w:val="22"/>
              </w:rPr>
              <w:t>Bayesian information criterion</w:t>
            </w:r>
          </w:p>
        </w:tc>
      </w:tr>
      <w:tr w:rsidR="00BE2C6C" w:rsidRPr="00D2239A" w14:paraId="213FEFAD" w14:textId="77777777" w:rsidTr="00542574">
        <w:trPr>
          <w:trHeight w:val="20"/>
        </w:trPr>
        <w:tc>
          <w:tcPr>
            <w:tcW w:w="1170" w:type="dxa"/>
          </w:tcPr>
          <w:p w14:paraId="71F06CBD" w14:textId="0F694783" w:rsidR="00BE2C6C" w:rsidRPr="00D2239A" w:rsidRDefault="00BE2C6C" w:rsidP="004933B9">
            <w:pPr>
              <w:spacing w:after="60"/>
              <w:rPr>
                <w:rFonts w:cs="Times New Roman"/>
                <w:sz w:val="22"/>
                <w:szCs w:val="22"/>
              </w:rPr>
            </w:pPr>
            <w:r w:rsidRPr="00D2239A">
              <w:rPr>
                <w:rFonts w:cs="Times New Roman"/>
                <w:sz w:val="22"/>
                <w:szCs w:val="22"/>
              </w:rPr>
              <w:t>BUP</w:t>
            </w:r>
          </w:p>
        </w:tc>
        <w:tc>
          <w:tcPr>
            <w:tcW w:w="8180" w:type="dxa"/>
          </w:tcPr>
          <w:p w14:paraId="2F8876BD" w14:textId="2CF72AB9" w:rsidR="00BE2C6C" w:rsidRPr="00D2239A" w:rsidRDefault="00BE2C6C" w:rsidP="004933B9">
            <w:pPr>
              <w:spacing w:after="60"/>
              <w:rPr>
                <w:rFonts w:cs="Times New Roman"/>
                <w:sz w:val="22"/>
                <w:szCs w:val="22"/>
              </w:rPr>
            </w:pPr>
            <w:r w:rsidRPr="00D2239A">
              <w:rPr>
                <w:rFonts w:cs="Times New Roman"/>
                <w:sz w:val="22"/>
                <w:szCs w:val="22"/>
              </w:rPr>
              <w:t>Buprenorphine</w:t>
            </w:r>
          </w:p>
        </w:tc>
      </w:tr>
      <w:tr w:rsidR="003B63DD" w:rsidRPr="00D2239A" w14:paraId="6801ACE6" w14:textId="77777777" w:rsidTr="00542574">
        <w:trPr>
          <w:trHeight w:val="20"/>
        </w:trPr>
        <w:tc>
          <w:tcPr>
            <w:tcW w:w="1170" w:type="dxa"/>
          </w:tcPr>
          <w:p w14:paraId="2A9104CD" w14:textId="401BD473" w:rsidR="003B63DD" w:rsidRPr="00D2239A" w:rsidRDefault="003B63DD" w:rsidP="004933B9">
            <w:pPr>
              <w:spacing w:after="60"/>
              <w:rPr>
                <w:rFonts w:cs="Times New Roman"/>
                <w:sz w:val="22"/>
                <w:szCs w:val="22"/>
              </w:rPr>
            </w:pPr>
            <w:r w:rsidRPr="00D2239A">
              <w:rPr>
                <w:rFonts w:cs="Times New Roman"/>
                <w:sz w:val="22"/>
                <w:szCs w:val="22"/>
              </w:rPr>
              <w:t>DSM-5</w:t>
            </w:r>
          </w:p>
        </w:tc>
        <w:tc>
          <w:tcPr>
            <w:tcW w:w="8180" w:type="dxa"/>
          </w:tcPr>
          <w:p w14:paraId="1871FCF3" w14:textId="0E128599" w:rsidR="003B63DD" w:rsidRPr="00D2239A" w:rsidRDefault="003B63DD" w:rsidP="009B63EA">
            <w:pPr>
              <w:pStyle w:val="Default"/>
              <w:rPr>
                <w:rFonts w:ascii="Times New Roman" w:hAnsi="Times New Roman" w:cs="Times New Roman"/>
                <w:sz w:val="22"/>
                <w:szCs w:val="22"/>
              </w:rPr>
            </w:pPr>
            <w:r w:rsidRPr="00D2239A">
              <w:rPr>
                <w:rFonts w:ascii="Times New Roman" w:hAnsi="Times New Roman" w:cs="Times New Roman"/>
                <w:i/>
                <w:iCs/>
                <w:sz w:val="22"/>
                <w:szCs w:val="22"/>
              </w:rPr>
              <w:t>Diagnostic and Statistical Manual of Mental Disorders</w:t>
            </w:r>
            <w:r w:rsidRPr="00D2239A">
              <w:rPr>
                <w:rFonts w:ascii="Times New Roman" w:hAnsi="Times New Roman" w:cs="Times New Roman"/>
                <w:sz w:val="22"/>
                <w:szCs w:val="22"/>
              </w:rPr>
              <w:t>, 5th edition</w:t>
            </w:r>
          </w:p>
        </w:tc>
      </w:tr>
      <w:tr w:rsidR="00262CBB" w:rsidRPr="00D2239A" w14:paraId="12BB1AFB" w14:textId="77777777" w:rsidTr="00542574">
        <w:trPr>
          <w:trHeight w:val="20"/>
        </w:trPr>
        <w:tc>
          <w:tcPr>
            <w:tcW w:w="1170" w:type="dxa"/>
          </w:tcPr>
          <w:p w14:paraId="4EB9498D" w14:textId="4D4F93BB" w:rsidR="00262CBB" w:rsidRPr="00D2239A" w:rsidRDefault="00262CBB" w:rsidP="004933B9">
            <w:pPr>
              <w:spacing w:after="60"/>
              <w:rPr>
                <w:rFonts w:cs="Times New Roman"/>
                <w:sz w:val="22"/>
                <w:szCs w:val="22"/>
              </w:rPr>
            </w:pPr>
            <w:r w:rsidRPr="00D2239A">
              <w:rPr>
                <w:rFonts w:cs="Times New Roman"/>
                <w:sz w:val="22"/>
                <w:szCs w:val="22"/>
              </w:rPr>
              <w:t>EBP</w:t>
            </w:r>
          </w:p>
        </w:tc>
        <w:tc>
          <w:tcPr>
            <w:tcW w:w="8180" w:type="dxa"/>
          </w:tcPr>
          <w:p w14:paraId="35477E0A" w14:textId="3138488B" w:rsidR="00262CBB" w:rsidRPr="00D2239A" w:rsidRDefault="00262CBB" w:rsidP="004933B9">
            <w:pPr>
              <w:spacing w:after="60"/>
              <w:rPr>
                <w:rFonts w:cs="Times New Roman"/>
                <w:sz w:val="22"/>
                <w:szCs w:val="22"/>
              </w:rPr>
            </w:pPr>
            <w:r w:rsidRPr="00D2239A">
              <w:rPr>
                <w:rFonts w:cs="Times New Roman"/>
                <w:sz w:val="22"/>
                <w:szCs w:val="22"/>
              </w:rPr>
              <w:t>Evidence-based practices</w:t>
            </w:r>
          </w:p>
        </w:tc>
      </w:tr>
      <w:tr w:rsidR="004933B9" w:rsidRPr="00D2239A" w14:paraId="31FD8903" w14:textId="77777777" w:rsidTr="00542574">
        <w:trPr>
          <w:trHeight w:val="20"/>
        </w:trPr>
        <w:tc>
          <w:tcPr>
            <w:tcW w:w="1170" w:type="dxa"/>
          </w:tcPr>
          <w:p w14:paraId="214F93A9" w14:textId="33FCED83" w:rsidR="004933B9" w:rsidRPr="00D2239A" w:rsidRDefault="004933B9" w:rsidP="004933B9">
            <w:pPr>
              <w:spacing w:after="60"/>
              <w:rPr>
                <w:rFonts w:cs="Times New Roman"/>
                <w:sz w:val="22"/>
                <w:szCs w:val="22"/>
              </w:rPr>
            </w:pPr>
            <w:r w:rsidRPr="00D2239A">
              <w:rPr>
                <w:rFonts w:cs="Times New Roman"/>
                <w:sz w:val="22"/>
                <w:szCs w:val="22"/>
              </w:rPr>
              <w:t>HCS</w:t>
            </w:r>
          </w:p>
        </w:tc>
        <w:tc>
          <w:tcPr>
            <w:tcW w:w="8180" w:type="dxa"/>
          </w:tcPr>
          <w:p w14:paraId="04E07538" w14:textId="27F76EEB" w:rsidR="004933B9" w:rsidRPr="00D2239A" w:rsidRDefault="004933B9" w:rsidP="004933B9">
            <w:pPr>
              <w:spacing w:after="60"/>
              <w:rPr>
                <w:rFonts w:cs="Times New Roman"/>
                <w:sz w:val="22"/>
                <w:szCs w:val="22"/>
              </w:rPr>
            </w:pPr>
            <w:r w:rsidRPr="00D2239A">
              <w:rPr>
                <w:rFonts w:cs="Times New Roman"/>
                <w:sz w:val="22"/>
                <w:szCs w:val="22"/>
              </w:rPr>
              <w:t>HEALing Communities Study</w:t>
            </w:r>
          </w:p>
        </w:tc>
      </w:tr>
      <w:tr w:rsidR="004933B9" w:rsidRPr="00D2239A" w14:paraId="04B52CEC" w14:textId="77777777" w:rsidTr="00542574">
        <w:trPr>
          <w:trHeight w:val="20"/>
        </w:trPr>
        <w:tc>
          <w:tcPr>
            <w:tcW w:w="1170" w:type="dxa"/>
          </w:tcPr>
          <w:p w14:paraId="667DFD3F" w14:textId="3C02A602" w:rsidR="004933B9" w:rsidRPr="00D2239A" w:rsidRDefault="004933B9" w:rsidP="004933B9">
            <w:pPr>
              <w:spacing w:after="60"/>
              <w:rPr>
                <w:rFonts w:cs="Times New Roman"/>
                <w:sz w:val="22"/>
                <w:szCs w:val="22"/>
              </w:rPr>
            </w:pPr>
            <w:r w:rsidRPr="00D2239A">
              <w:rPr>
                <w:rFonts w:cs="Times New Roman"/>
                <w:sz w:val="22"/>
                <w:szCs w:val="22"/>
              </w:rPr>
              <w:t>HEAL</w:t>
            </w:r>
          </w:p>
        </w:tc>
        <w:tc>
          <w:tcPr>
            <w:tcW w:w="8180" w:type="dxa"/>
          </w:tcPr>
          <w:p w14:paraId="0A694CD5" w14:textId="4D7DA3E0" w:rsidR="004933B9" w:rsidRPr="00D2239A" w:rsidRDefault="004933B9" w:rsidP="004933B9">
            <w:pPr>
              <w:spacing w:after="60"/>
              <w:rPr>
                <w:rFonts w:cs="Times New Roman"/>
                <w:sz w:val="22"/>
                <w:szCs w:val="22"/>
              </w:rPr>
            </w:pPr>
            <w:r w:rsidRPr="00D2239A">
              <w:rPr>
                <w:rFonts w:cs="Times New Roman"/>
                <w:sz w:val="22"/>
                <w:szCs w:val="22"/>
              </w:rPr>
              <w:t>Helping to End Addiction Long-term</w:t>
            </w:r>
          </w:p>
        </w:tc>
      </w:tr>
      <w:tr w:rsidR="004933B9" w:rsidRPr="00D2239A" w14:paraId="64C13429" w14:textId="77777777" w:rsidTr="00542574">
        <w:trPr>
          <w:trHeight w:val="20"/>
        </w:trPr>
        <w:tc>
          <w:tcPr>
            <w:tcW w:w="1170" w:type="dxa"/>
          </w:tcPr>
          <w:p w14:paraId="35890D49" w14:textId="16037BD1" w:rsidR="004933B9" w:rsidRPr="00D2239A" w:rsidRDefault="004933B9" w:rsidP="004933B9">
            <w:pPr>
              <w:spacing w:after="60"/>
              <w:rPr>
                <w:rFonts w:cs="Times New Roman"/>
                <w:sz w:val="22"/>
                <w:szCs w:val="22"/>
              </w:rPr>
            </w:pPr>
            <w:r w:rsidRPr="00D2239A">
              <w:rPr>
                <w:rFonts w:cs="Times New Roman"/>
                <w:sz w:val="22"/>
                <w:szCs w:val="22"/>
              </w:rPr>
              <w:t>HR</w:t>
            </w:r>
          </w:p>
        </w:tc>
        <w:tc>
          <w:tcPr>
            <w:tcW w:w="8180" w:type="dxa"/>
          </w:tcPr>
          <w:p w14:paraId="65CF8228" w14:textId="2539E45F" w:rsidR="004933B9" w:rsidRPr="00D2239A" w:rsidRDefault="004933B9" w:rsidP="004933B9">
            <w:pPr>
              <w:spacing w:after="60"/>
              <w:rPr>
                <w:rFonts w:cs="Times New Roman"/>
                <w:sz w:val="22"/>
                <w:szCs w:val="22"/>
              </w:rPr>
            </w:pPr>
            <w:r w:rsidRPr="00D2239A">
              <w:rPr>
                <w:rFonts w:cs="Times New Roman"/>
                <w:sz w:val="22"/>
                <w:szCs w:val="22"/>
              </w:rPr>
              <w:t>Hazard ratio</w:t>
            </w:r>
          </w:p>
        </w:tc>
      </w:tr>
      <w:tr w:rsidR="004933B9" w:rsidRPr="00D2239A" w14:paraId="0C0B1AE8" w14:textId="77777777" w:rsidTr="00542574">
        <w:trPr>
          <w:trHeight w:val="20"/>
        </w:trPr>
        <w:tc>
          <w:tcPr>
            <w:tcW w:w="1170" w:type="dxa"/>
          </w:tcPr>
          <w:p w14:paraId="62FAFDDB" w14:textId="0BE67CEA" w:rsidR="004933B9" w:rsidRPr="00D2239A" w:rsidRDefault="004933B9" w:rsidP="004933B9">
            <w:pPr>
              <w:spacing w:after="60"/>
              <w:rPr>
                <w:rFonts w:cs="Times New Roman"/>
                <w:sz w:val="22"/>
                <w:szCs w:val="22"/>
              </w:rPr>
            </w:pPr>
            <w:r w:rsidRPr="00D2239A">
              <w:rPr>
                <w:rFonts w:cs="Times New Roman"/>
                <w:sz w:val="22"/>
                <w:szCs w:val="22"/>
              </w:rPr>
              <w:t>HUD</w:t>
            </w:r>
          </w:p>
        </w:tc>
        <w:tc>
          <w:tcPr>
            <w:tcW w:w="8180" w:type="dxa"/>
          </w:tcPr>
          <w:p w14:paraId="51E9A927" w14:textId="1A6DBBB1" w:rsidR="004933B9" w:rsidRPr="00D2239A" w:rsidRDefault="004933B9" w:rsidP="004933B9">
            <w:pPr>
              <w:spacing w:after="60"/>
              <w:rPr>
                <w:rFonts w:cs="Times New Roman"/>
                <w:sz w:val="22"/>
                <w:szCs w:val="22"/>
              </w:rPr>
            </w:pPr>
            <w:r w:rsidRPr="00D2239A">
              <w:rPr>
                <w:rFonts w:cs="Times New Roman"/>
                <w:sz w:val="22"/>
                <w:szCs w:val="22"/>
              </w:rPr>
              <w:t>Heroin use disorder</w:t>
            </w:r>
          </w:p>
        </w:tc>
      </w:tr>
      <w:tr w:rsidR="00BE2C6C" w:rsidRPr="00D2239A" w14:paraId="3953193A" w14:textId="77777777" w:rsidTr="00542574">
        <w:trPr>
          <w:trHeight w:val="20"/>
        </w:trPr>
        <w:tc>
          <w:tcPr>
            <w:tcW w:w="1170" w:type="dxa"/>
          </w:tcPr>
          <w:p w14:paraId="250FE857" w14:textId="37E3F5F0" w:rsidR="00BE2C6C" w:rsidRPr="00D2239A" w:rsidRDefault="00BE2C6C" w:rsidP="004933B9">
            <w:pPr>
              <w:spacing w:after="60"/>
              <w:rPr>
                <w:rFonts w:cs="Times New Roman"/>
                <w:sz w:val="22"/>
                <w:szCs w:val="22"/>
              </w:rPr>
            </w:pPr>
            <w:r w:rsidRPr="00D2239A">
              <w:rPr>
                <w:rFonts w:cs="Times New Roman"/>
                <w:sz w:val="22"/>
                <w:szCs w:val="22"/>
              </w:rPr>
              <w:t>MET</w:t>
            </w:r>
          </w:p>
        </w:tc>
        <w:tc>
          <w:tcPr>
            <w:tcW w:w="8180" w:type="dxa"/>
          </w:tcPr>
          <w:p w14:paraId="6E51205A" w14:textId="698C2B05" w:rsidR="00BE2C6C" w:rsidRPr="00D2239A" w:rsidRDefault="00BE2C6C" w:rsidP="004933B9">
            <w:pPr>
              <w:spacing w:after="60"/>
              <w:rPr>
                <w:rFonts w:cs="Times New Roman"/>
                <w:sz w:val="22"/>
                <w:szCs w:val="22"/>
              </w:rPr>
            </w:pPr>
            <w:r w:rsidRPr="00D2239A">
              <w:rPr>
                <w:rFonts w:cs="Times New Roman"/>
                <w:sz w:val="22"/>
                <w:szCs w:val="22"/>
              </w:rPr>
              <w:t>Methadone</w:t>
            </w:r>
          </w:p>
        </w:tc>
      </w:tr>
      <w:tr w:rsidR="004933B9" w:rsidRPr="00D2239A" w14:paraId="0BF16E88" w14:textId="77777777" w:rsidTr="00542574">
        <w:trPr>
          <w:trHeight w:val="20"/>
        </w:trPr>
        <w:tc>
          <w:tcPr>
            <w:tcW w:w="1170" w:type="dxa"/>
          </w:tcPr>
          <w:p w14:paraId="70A23C20" w14:textId="482A08B5" w:rsidR="004933B9" w:rsidRPr="00D2239A" w:rsidRDefault="004933B9" w:rsidP="004933B9">
            <w:pPr>
              <w:spacing w:after="60"/>
              <w:rPr>
                <w:rFonts w:cs="Times New Roman"/>
                <w:sz w:val="22"/>
                <w:szCs w:val="22"/>
              </w:rPr>
            </w:pPr>
            <w:r w:rsidRPr="00D2239A">
              <w:rPr>
                <w:rFonts w:cs="Times New Roman"/>
                <w:sz w:val="22"/>
                <w:szCs w:val="22"/>
              </w:rPr>
              <w:t>MOUD</w:t>
            </w:r>
          </w:p>
        </w:tc>
        <w:tc>
          <w:tcPr>
            <w:tcW w:w="8180" w:type="dxa"/>
          </w:tcPr>
          <w:p w14:paraId="1AE9871F" w14:textId="0F9CF587" w:rsidR="004933B9" w:rsidRPr="00D2239A" w:rsidRDefault="004933B9" w:rsidP="004933B9">
            <w:pPr>
              <w:spacing w:after="60"/>
              <w:rPr>
                <w:rFonts w:cs="Times New Roman"/>
                <w:sz w:val="22"/>
                <w:szCs w:val="22"/>
              </w:rPr>
            </w:pPr>
            <w:r w:rsidRPr="00D2239A">
              <w:rPr>
                <w:rFonts w:cs="Times New Roman"/>
                <w:sz w:val="22"/>
                <w:szCs w:val="22"/>
              </w:rPr>
              <w:t>Medications for opioid use disorder, including buprenorphine, methadone, and naltrexone</w:t>
            </w:r>
          </w:p>
        </w:tc>
      </w:tr>
      <w:tr w:rsidR="00BE2C6C" w:rsidRPr="00D2239A" w14:paraId="0A6171A3" w14:textId="77777777" w:rsidTr="00542574">
        <w:trPr>
          <w:trHeight w:val="20"/>
        </w:trPr>
        <w:tc>
          <w:tcPr>
            <w:tcW w:w="1170" w:type="dxa"/>
          </w:tcPr>
          <w:p w14:paraId="552F1311" w14:textId="18D318BC" w:rsidR="00BE2C6C" w:rsidRPr="00D2239A" w:rsidRDefault="00BE2C6C" w:rsidP="004933B9">
            <w:pPr>
              <w:spacing w:after="60"/>
              <w:rPr>
                <w:rFonts w:cs="Times New Roman"/>
                <w:sz w:val="22"/>
                <w:szCs w:val="22"/>
              </w:rPr>
            </w:pPr>
            <w:r w:rsidRPr="00D2239A">
              <w:rPr>
                <w:rFonts w:cs="Times New Roman"/>
                <w:sz w:val="22"/>
                <w:szCs w:val="22"/>
              </w:rPr>
              <w:t>NAL</w:t>
            </w:r>
          </w:p>
        </w:tc>
        <w:tc>
          <w:tcPr>
            <w:tcW w:w="8180" w:type="dxa"/>
          </w:tcPr>
          <w:p w14:paraId="09FB57BC" w14:textId="6EBFB95C" w:rsidR="00BE2C6C" w:rsidRPr="00D2239A" w:rsidRDefault="00BE2C6C" w:rsidP="004933B9">
            <w:pPr>
              <w:spacing w:after="60"/>
              <w:rPr>
                <w:rFonts w:cs="Times New Roman"/>
                <w:sz w:val="22"/>
                <w:szCs w:val="22"/>
              </w:rPr>
            </w:pPr>
            <w:r w:rsidRPr="00D2239A">
              <w:rPr>
                <w:rFonts w:cs="Times New Roman"/>
                <w:sz w:val="22"/>
                <w:szCs w:val="22"/>
              </w:rPr>
              <w:t>Naltrexone</w:t>
            </w:r>
          </w:p>
        </w:tc>
      </w:tr>
      <w:tr w:rsidR="004933B9" w:rsidRPr="00D2239A" w14:paraId="2ED5F3D7" w14:textId="77777777" w:rsidTr="00542574">
        <w:trPr>
          <w:trHeight w:val="20"/>
        </w:trPr>
        <w:tc>
          <w:tcPr>
            <w:tcW w:w="1170" w:type="dxa"/>
          </w:tcPr>
          <w:p w14:paraId="320FB982" w14:textId="60F8392C" w:rsidR="004933B9" w:rsidRPr="00D2239A" w:rsidRDefault="004933B9" w:rsidP="004933B9">
            <w:pPr>
              <w:spacing w:after="60"/>
              <w:rPr>
                <w:rFonts w:cs="Times New Roman"/>
                <w:sz w:val="22"/>
                <w:szCs w:val="22"/>
              </w:rPr>
            </w:pPr>
            <w:r w:rsidRPr="00D2239A">
              <w:rPr>
                <w:rFonts w:cs="Times New Roman"/>
                <w:sz w:val="22"/>
                <w:szCs w:val="22"/>
              </w:rPr>
              <w:t>NIDA</w:t>
            </w:r>
          </w:p>
        </w:tc>
        <w:tc>
          <w:tcPr>
            <w:tcW w:w="8180" w:type="dxa"/>
          </w:tcPr>
          <w:p w14:paraId="204C6BF2" w14:textId="2DB6446C" w:rsidR="004933B9" w:rsidRPr="00D2239A" w:rsidRDefault="004933B9" w:rsidP="004933B9">
            <w:pPr>
              <w:spacing w:after="60"/>
              <w:rPr>
                <w:rFonts w:cs="Times New Roman"/>
                <w:sz w:val="22"/>
                <w:szCs w:val="22"/>
              </w:rPr>
            </w:pPr>
            <w:r w:rsidRPr="00D2239A">
              <w:rPr>
                <w:rFonts w:cs="Times New Roman"/>
                <w:sz w:val="22"/>
                <w:szCs w:val="22"/>
              </w:rPr>
              <w:t>National Institute on Drug Abuse</w:t>
            </w:r>
          </w:p>
        </w:tc>
      </w:tr>
      <w:tr w:rsidR="004933B9" w:rsidRPr="00D2239A" w14:paraId="1FB6F643" w14:textId="77777777" w:rsidTr="00542574">
        <w:trPr>
          <w:trHeight w:val="20"/>
        </w:trPr>
        <w:tc>
          <w:tcPr>
            <w:tcW w:w="1170" w:type="dxa"/>
          </w:tcPr>
          <w:p w14:paraId="03B995D1" w14:textId="491229C1" w:rsidR="004933B9" w:rsidRPr="00D2239A" w:rsidRDefault="004933B9" w:rsidP="004933B9">
            <w:pPr>
              <w:spacing w:after="60"/>
              <w:rPr>
                <w:rFonts w:cs="Times New Roman"/>
                <w:sz w:val="22"/>
                <w:szCs w:val="22"/>
              </w:rPr>
            </w:pPr>
            <w:r w:rsidRPr="00D2239A">
              <w:rPr>
                <w:rFonts w:cs="Times New Roman"/>
                <w:sz w:val="22"/>
                <w:szCs w:val="22"/>
              </w:rPr>
              <w:t>NSDUH</w:t>
            </w:r>
          </w:p>
        </w:tc>
        <w:tc>
          <w:tcPr>
            <w:tcW w:w="8180" w:type="dxa"/>
          </w:tcPr>
          <w:p w14:paraId="01B534CB" w14:textId="58D8B18B" w:rsidR="004933B9" w:rsidRPr="00D2239A" w:rsidRDefault="004933B9" w:rsidP="004933B9">
            <w:pPr>
              <w:spacing w:after="60"/>
              <w:rPr>
                <w:rFonts w:cs="Times New Roman"/>
                <w:sz w:val="22"/>
                <w:szCs w:val="22"/>
              </w:rPr>
            </w:pPr>
            <w:r w:rsidRPr="00D2239A">
              <w:rPr>
                <w:rFonts w:cs="Times New Roman"/>
                <w:sz w:val="22"/>
                <w:szCs w:val="22"/>
              </w:rPr>
              <w:t>National Survey on Drug Use and Health</w:t>
            </w:r>
          </w:p>
        </w:tc>
      </w:tr>
      <w:tr w:rsidR="00262CBB" w:rsidRPr="00D2239A" w14:paraId="484BA04B" w14:textId="77777777" w:rsidTr="00542574">
        <w:trPr>
          <w:trHeight w:val="20"/>
        </w:trPr>
        <w:tc>
          <w:tcPr>
            <w:tcW w:w="1170" w:type="dxa"/>
          </w:tcPr>
          <w:p w14:paraId="6BC56336" w14:textId="3D4C1634" w:rsidR="00262CBB" w:rsidRPr="00D2239A" w:rsidRDefault="00262CBB" w:rsidP="004933B9">
            <w:pPr>
              <w:spacing w:after="60"/>
              <w:rPr>
                <w:rFonts w:cs="Times New Roman"/>
                <w:sz w:val="22"/>
                <w:szCs w:val="22"/>
              </w:rPr>
            </w:pPr>
            <w:r w:rsidRPr="00D2239A">
              <w:rPr>
                <w:rFonts w:cs="Times New Roman"/>
                <w:sz w:val="22"/>
                <w:szCs w:val="22"/>
              </w:rPr>
              <w:t>OOD</w:t>
            </w:r>
          </w:p>
        </w:tc>
        <w:tc>
          <w:tcPr>
            <w:tcW w:w="8180" w:type="dxa"/>
          </w:tcPr>
          <w:p w14:paraId="0E7C0EAC" w14:textId="53D6EC00" w:rsidR="00262CBB" w:rsidRPr="00D2239A" w:rsidRDefault="00262CBB" w:rsidP="004933B9">
            <w:pPr>
              <w:spacing w:after="60"/>
              <w:rPr>
                <w:rFonts w:cs="Times New Roman"/>
                <w:sz w:val="22"/>
                <w:szCs w:val="22"/>
              </w:rPr>
            </w:pPr>
            <w:r w:rsidRPr="00D2239A">
              <w:rPr>
                <w:rFonts w:cs="Times New Roman"/>
                <w:sz w:val="22"/>
                <w:szCs w:val="22"/>
              </w:rPr>
              <w:t>Opioid overdose deaths</w:t>
            </w:r>
          </w:p>
        </w:tc>
      </w:tr>
      <w:tr w:rsidR="004933B9" w:rsidRPr="00D2239A" w14:paraId="447C68A9" w14:textId="77777777" w:rsidTr="00542574">
        <w:trPr>
          <w:trHeight w:val="20"/>
        </w:trPr>
        <w:tc>
          <w:tcPr>
            <w:tcW w:w="1170" w:type="dxa"/>
          </w:tcPr>
          <w:p w14:paraId="514EC435" w14:textId="73C807AA" w:rsidR="004933B9" w:rsidRPr="00D2239A" w:rsidRDefault="004933B9" w:rsidP="004933B9">
            <w:pPr>
              <w:spacing w:after="60"/>
              <w:rPr>
                <w:rFonts w:cs="Times New Roman"/>
                <w:sz w:val="22"/>
                <w:szCs w:val="22"/>
              </w:rPr>
            </w:pPr>
            <w:r w:rsidRPr="00D2239A">
              <w:rPr>
                <w:rFonts w:cs="Times New Roman"/>
                <w:sz w:val="22"/>
                <w:szCs w:val="22"/>
              </w:rPr>
              <w:t>OPSiM</w:t>
            </w:r>
          </w:p>
        </w:tc>
        <w:tc>
          <w:tcPr>
            <w:tcW w:w="8180" w:type="dxa"/>
          </w:tcPr>
          <w:p w14:paraId="55CA145F" w14:textId="5BDAF0A7" w:rsidR="004933B9" w:rsidRPr="00D2239A" w:rsidRDefault="004933B9" w:rsidP="004933B9">
            <w:pPr>
              <w:spacing w:after="60"/>
              <w:rPr>
                <w:rFonts w:cs="Times New Roman"/>
                <w:sz w:val="22"/>
                <w:szCs w:val="22"/>
              </w:rPr>
            </w:pPr>
            <w:r w:rsidRPr="00D2239A">
              <w:rPr>
                <w:rFonts w:cs="Times New Roman"/>
                <w:sz w:val="22"/>
                <w:szCs w:val="22"/>
              </w:rPr>
              <w:t>Opioid Policy Simulation Model</w:t>
            </w:r>
          </w:p>
        </w:tc>
      </w:tr>
      <w:tr w:rsidR="004933B9" w:rsidRPr="00D2239A" w14:paraId="4C4714C1" w14:textId="77777777" w:rsidTr="00542574">
        <w:trPr>
          <w:trHeight w:val="20"/>
        </w:trPr>
        <w:tc>
          <w:tcPr>
            <w:tcW w:w="1170" w:type="dxa"/>
          </w:tcPr>
          <w:p w14:paraId="5E4D9D9A" w14:textId="5DF404B5" w:rsidR="004933B9" w:rsidRPr="00D2239A" w:rsidRDefault="004933B9" w:rsidP="004933B9">
            <w:pPr>
              <w:spacing w:after="60"/>
              <w:rPr>
                <w:rFonts w:cs="Times New Roman"/>
                <w:sz w:val="22"/>
                <w:szCs w:val="22"/>
              </w:rPr>
            </w:pPr>
            <w:r w:rsidRPr="00D2239A">
              <w:rPr>
                <w:rFonts w:cs="Times New Roman"/>
                <w:sz w:val="22"/>
                <w:szCs w:val="22"/>
              </w:rPr>
              <w:t>OTP</w:t>
            </w:r>
          </w:p>
        </w:tc>
        <w:tc>
          <w:tcPr>
            <w:tcW w:w="8180" w:type="dxa"/>
          </w:tcPr>
          <w:p w14:paraId="62A4185A" w14:textId="7565705D" w:rsidR="004933B9" w:rsidRPr="00D2239A" w:rsidRDefault="004933B9" w:rsidP="004933B9">
            <w:pPr>
              <w:spacing w:after="60"/>
              <w:rPr>
                <w:rFonts w:cs="Times New Roman"/>
                <w:sz w:val="22"/>
                <w:szCs w:val="22"/>
              </w:rPr>
            </w:pPr>
            <w:r w:rsidRPr="00D2239A">
              <w:rPr>
                <w:rFonts w:cs="Times New Roman"/>
                <w:sz w:val="22"/>
                <w:szCs w:val="22"/>
              </w:rPr>
              <w:t>Opioid treatment program</w:t>
            </w:r>
          </w:p>
        </w:tc>
      </w:tr>
      <w:tr w:rsidR="004933B9" w:rsidRPr="00D2239A" w14:paraId="18220678" w14:textId="77777777" w:rsidTr="00542574">
        <w:trPr>
          <w:trHeight w:val="20"/>
        </w:trPr>
        <w:tc>
          <w:tcPr>
            <w:tcW w:w="1170" w:type="dxa"/>
          </w:tcPr>
          <w:p w14:paraId="4D1996F1" w14:textId="6C5ED92C" w:rsidR="004933B9" w:rsidRPr="00D2239A" w:rsidRDefault="004933B9" w:rsidP="004933B9">
            <w:pPr>
              <w:spacing w:after="60"/>
              <w:rPr>
                <w:rFonts w:cs="Times New Roman"/>
                <w:sz w:val="22"/>
                <w:szCs w:val="22"/>
              </w:rPr>
            </w:pPr>
            <w:r w:rsidRPr="00D2239A">
              <w:rPr>
                <w:rFonts w:cs="Times New Roman"/>
                <w:sz w:val="22"/>
                <w:szCs w:val="22"/>
              </w:rPr>
              <w:t>OUD</w:t>
            </w:r>
          </w:p>
        </w:tc>
        <w:tc>
          <w:tcPr>
            <w:tcW w:w="8180" w:type="dxa"/>
          </w:tcPr>
          <w:p w14:paraId="69C07A55" w14:textId="0DBE53F0" w:rsidR="004933B9" w:rsidRPr="00D2239A" w:rsidRDefault="004933B9" w:rsidP="004933B9">
            <w:pPr>
              <w:spacing w:after="60"/>
              <w:rPr>
                <w:rFonts w:cs="Times New Roman"/>
                <w:sz w:val="22"/>
                <w:szCs w:val="22"/>
              </w:rPr>
            </w:pPr>
            <w:r w:rsidRPr="00D2239A">
              <w:rPr>
                <w:rFonts w:cs="Times New Roman"/>
                <w:sz w:val="22"/>
                <w:szCs w:val="22"/>
              </w:rPr>
              <w:t>Opioid use disorder</w:t>
            </w:r>
          </w:p>
        </w:tc>
      </w:tr>
      <w:tr w:rsidR="004933B9" w:rsidRPr="00D2239A" w14:paraId="141CC595" w14:textId="77777777" w:rsidTr="00542574">
        <w:trPr>
          <w:trHeight w:val="20"/>
        </w:trPr>
        <w:tc>
          <w:tcPr>
            <w:tcW w:w="1170" w:type="dxa"/>
          </w:tcPr>
          <w:p w14:paraId="23DA1CFD" w14:textId="2ED4AD96" w:rsidR="004933B9" w:rsidRPr="00D2239A" w:rsidRDefault="004933B9" w:rsidP="004933B9">
            <w:pPr>
              <w:spacing w:after="60"/>
              <w:rPr>
                <w:rFonts w:cs="Times New Roman"/>
                <w:sz w:val="22"/>
                <w:szCs w:val="22"/>
              </w:rPr>
            </w:pPr>
            <w:r w:rsidRPr="00D2239A">
              <w:rPr>
                <w:rFonts w:cs="Times New Roman"/>
                <w:sz w:val="22"/>
                <w:szCs w:val="22"/>
              </w:rPr>
              <w:t>PDMP</w:t>
            </w:r>
          </w:p>
        </w:tc>
        <w:tc>
          <w:tcPr>
            <w:tcW w:w="8180" w:type="dxa"/>
          </w:tcPr>
          <w:p w14:paraId="0196E005" w14:textId="30142B46" w:rsidR="004933B9" w:rsidRPr="00D2239A" w:rsidRDefault="004933B9" w:rsidP="004933B9">
            <w:pPr>
              <w:spacing w:after="60"/>
              <w:rPr>
                <w:rFonts w:cs="Times New Roman"/>
                <w:sz w:val="22"/>
                <w:szCs w:val="22"/>
              </w:rPr>
            </w:pPr>
            <w:r w:rsidRPr="00D2239A">
              <w:rPr>
                <w:rFonts w:cs="Times New Roman"/>
                <w:sz w:val="22"/>
                <w:szCs w:val="22"/>
              </w:rPr>
              <w:t>Prescription drug monitoring program</w:t>
            </w:r>
          </w:p>
        </w:tc>
      </w:tr>
      <w:tr w:rsidR="004933B9" w:rsidRPr="00D2239A" w14:paraId="4F1E28BB" w14:textId="77777777" w:rsidTr="00542574">
        <w:trPr>
          <w:trHeight w:val="20"/>
        </w:trPr>
        <w:tc>
          <w:tcPr>
            <w:tcW w:w="1170" w:type="dxa"/>
          </w:tcPr>
          <w:p w14:paraId="4858E8AF" w14:textId="530D715D" w:rsidR="004933B9" w:rsidRPr="00D2239A" w:rsidRDefault="004933B9" w:rsidP="004933B9">
            <w:pPr>
              <w:spacing w:after="60"/>
              <w:rPr>
                <w:rFonts w:cs="Times New Roman"/>
                <w:sz w:val="22"/>
                <w:szCs w:val="22"/>
              </w:rPr>
            </w:pPr>
            <w:r w:rsidRPr="00D2239A">
              <w:rPr>
                <w:rFonts w:cs="Times New Roman"/>
                <w:sz w:val="22"/>
                <w:szCs w:val="22"/>
              </w:rPr>
              <w:t>PRUD</w:t>
            </w:r>
          </w:p>
        </w:tc>
        <w:tc>
          <w:tcPr>
            <w:tcW w:w="8180" w:type="dxa"/>
          </w:tcPr>
          <w:p w14:paraId="15E36173" w14:textId="45C2D80C" w:rsidR="004933B9" w:rsidRPr="00D2239A" w:rsidRDefault="004933B9" w:rsidP="004933B9">
            <w:pPr>
              <w:spacing w:after="60"/>
              <w:rPr>
                <w:rFonts w:cs="Times New Roman"/>
                <w:sz w:val="22"/>
                <w:szCs w:val="22"/>
              </w:rPr>
            </w:pPr>
            <w:r w:rsidRPr="00D2239A">
              <w:rPr>
                <w:rFonts w:cs="Times New Roman"/>
                <w:sz w:val="22"/>
                <w:szCs w:val="22"/>
              </w:rPr>
              <w:t>Pain reliever use disorder</w:t>
            </w:r>
          </w:p>
        </w:tc>
      </w:tr>
      <w:tr w:rsidR="004933B9" w:rsidRPr="00D2239A" w14:paraId="68B11E5A" w14:textId="77777777" w:rsidTr="00542574">
        <w:trPr>
          <w:trHeight w:val="20"/>
        </w:trPr>
        <w:tc>
          <w:tcPr>
            <w:tcW w:w="1170" w:type="dxa"/>
          </w:tcPr>
          <w:p w14:paraId="0F326095" w14:textId="6DE640CE" w:rsidR="004933B9" w:rsidRPr="00D2239A" w:rsidRDefault="004933B9" w:rsidP="004933B9">
            <w:pPr>
              <w:spacing w:after="60"/>
              <w:rPr>
                <w:rFonts w:cs="Times New Roman"/>
                <w:sz w:val="22"/>
                <w:szCs w:val="22"/>
              </w:rPr>
            </w:pPr>
            <w:r w:rsidRPr="00D2239A">
              <w:rPr>
                <w:rFonts w:cs="Times New Roman"/>
                <w:sz w:val="22"/>
                <w:szCs w:val="22"/>
              </w:rPr>
              <w:t>RR</w:t>
            </w:r>
          </w:p>
        </w:tc>
        <w:tc>
          <w:tcPr>
            <w:tcW w:w="8180" w:type="dxa"/>
          </w:tcPr>
          <w:p w14:paraId="1AAFE356" w14:textId="3550FE12" w:rsidR="004933B9" w:rsidRPr="00D2239A" w:rsidRDefault="004933B9" w:rsidP="004933B9">
            <w:pPr>
              <w:spacing w:after="60"/>
              <w:rPr>
                <w:rFonts w:cs="Times New Roman"/>
                <w:sz w:val="22"/>
                <w:szCs w:val="22"/>
              </w:rPr>
            </w:pPr>
            <w:r w:rsidRPr="00D2239A">
              <w:rPr>
                <w:rFonts w:cs="Times New Roman"/>
                <w:sz w:val="22"/>
                <w:szCs w:val="22"/>
              </w:rPr>
              <w:t>Relative risk</w:t>
            </w:r>
          </w:p>
        </w:tc>
      </w:tr>
      <w:tr w:rsidR="004933B9" w:rsidRPr="00D2239A" w14:paraId="6277B594" w14:textId="77777777" w:rsidTr="00542574">
        <w:trPr>
          <w:trHeight w:val="20"/>
        </w:trPr>
        <w:tc>
          <w:tcPr>
            <w:tcW w:w="1170" w:type="dxa"/>
          </w:tcPr>
          <w:p w14:paraId="115D379F" w14:textId="257DCF93" w:rsidR="004933B9" w:rsidRPr="00D2239A" w:rsidRDefault="004933B9" w:rsidP="004933B9">
            <w:pPr>
              <w:spacing w:after="60"/>
              <w:rPr>
                <w:rFonts w:cs="Times New Roman"/>
                <w:sz w:val="22"/>
                <w:szCs w:val="22"/>
              </w:rPr>
            </w:pPr>
            <w:r w:rsidRPr="00D2239A">
              <w:rPr>
                <w:rFonts w:cs="Times New Roman"/>
                <w:sz w:val="22"/>
                <w:szCs w:val="22"/>
              </w:rPr>
              <w:t>SAMHSA</w:t>
            </w:r>
          </w:p>
        </w:tc>
        <w:tc>
          <w:tcPr>
            <w:tcW w:w="8180" w:type="dxa"/>
          </w:tcPr>
          <w:p w14:paraId="402B9173" w14:textId="669107F3" w:rsidR="004933B9" w:rsidRPr="00D2239A" w:rsidRDefault="004933B9" w:rsidP="004933B9">
            <w:pPr>
              <w:spacing w:after="60"/>
              <w:rPr>
                <w:rFonts w:cs="Times New Roman"/>
                <w:sz w:val="22"/>
                <w:szCs w:val="22"/>
              </w:rPr>
            </w:pPr>
            <w:r w:rsidRPr="00D2239A">
              <w:rPr>
                <w:rFonts w:cs="Times New Roman"/>
                <w:sz w:val="22"/>
                <w:szCs w:val="22"/>
              </w:rPr>
              <w:t>Substance Abuse and Mental Health Services Administration</w:t>
            </w:r>
          </w:p>
        </w:tc>
      </w:tr>
      <w:tr w:rsidR="004933B9" w:rsidRPr="00D2239A" w14:paraId="7B2A5DBE" w14:textId="77777777" w:rsidTr="00542574">
        <w:trPr>
          <w:trHeight w:val="20"/>
        </w:trPr>
        <w:tc>
          <w:tcPr>
            <w:tcW w:w="1170" w:type="dxa"/>
          </w:tcPr>
          <w:p w14:paraId="2909AF8F" w14:textId="235B491F" w:rsidR="004933B9" w:rsidRPr="00D2239A" w:rsidRDefault="004933B9" w:rsidP="004933B9">
            <w:pPr>
              <w:spacing w:after="60"/>
              <w:rPr>
                <w:rFonts w:cs="Times New Roman"/>
                <w:sz w:val="22"/>
                <w:szCs w:val="22"/>
              </w:rPr>
            </w:pPr>
            <w:r w:rsidRPr="00D2239A">
              <w:rPr>
                <w:rFonts w:cs="Times New Roman"/>
                <w:sz w:val="22"/>
                <w:szCs w:val="22"/>
              </w:rPr>
              <w:t>SMR</w:t>
            </w:r>
          </w:p>
        </w:tc>
        <w:tc>
          <w:tcPr>
            <w:tcW w:w="8180" w:type="dxa"/>
          </w:tcPr>
          <w:p w14:paraId="73A0CECC" w14:textId="0010F0EC" w:rsidR="004933B9" w:rsidRPr="00D2239A" w:rsidRDefault="004933B9" w:rsidP="004933B9">
            <w:pPr>
              <w:spacing w:after="60"/>
              <w:rPr>
                <w:rFonts w:cs="Times New Roman"/>
                <w:sz w:val="22"/>
                <w:szCs w:val="22"/>
              </w:rPr>
            </w:pPr>
            <w:r w:rsidRPr="00D2239A">
              <w:rPr>
                <w:rFonts w:cs="Times New Roman"/>
                <w:sz w:val="22"/>
                <w:szCs w:val="22"/>
              </w:rPr>
              <w:t>Standardized mortality ratio</w:t>
            </w:r>
          </w:p>
        </w:tc>
      </w:tr>
    </w:tbl>
    <w:p w14:paraId="02A75112" w14:textId="77777777" w:rsidR="00BF4CB5" w:rsidRPr="00D2239A" w:rsidRDefault="00BF4CB5">
      <w:pPr>
        <w:rPr>
          <w:rFonts w:cs="Times New Roman"/>
          <w:b/>
          <w:bCs/>
        </w:rPr>
      </w:pPr>
      <w:r w:rsidRPr="00D2239A">
        <w:rPr>
          <w:rFonts w:cs="Times New Roman"/>
          <w:b/>
          <w:bCs/>
        </w:rPr>
        <w:br w:type="page"/>
      </w:r>
    </w:p>
    <w:p w14:paraId="3252F73A" w14:textId="35A375BC" w:rsidR="00EA7D9E" w:rsidRPr="00D2239A" w:rsidRDefault="00EA7D9E" w:rsidP="00363E8B">
      <w:pPr>
        <w:pStyle w:val="Heading1"/>
      </w:pPr>
      <w:bookmarkStart w:id="0" w:name="_Ref164251811"/>
      <w:bookmarkStart w:id="1" w:name="_Toc206680981"/>
      <w:bookmarkStart w:id="2" w:name="_Toc226020671"/>
      <w:r w:rsidRPr="00D2239A">
        <w:lastRenderedPageBreak/>
        <w:t xml:space="preserve">Supplement S1. </w:t>
      </w:r>
      <w:r w:rsidR="00AE5C1F">
        <w:t>Supplementary methods</w:t>
      </w:r>
      <w:bookmarkEnd w:id="0"/>
      <w:bookmarkEnd w:id="1"/>
      <w:bookmarkEnd w:id="2"/>
    </w:p>
    <w:p w14:paraId="34A04939" w14:textId="5840B9C6" w:rsidR="00696A93" w:rsidRPr="00D2239A" w:rsidRDefault="00696A93" w:rsidP="00363E8B">
      <w:pPr>
        <w:pStyle w:val="Heading1"/>
      </w:pPr>
      <w:bookmarkStart w:id="3" w:name="_Toc206680982"/>
      <w:bookmarkStart w:id="4" w:name="_Toc226020672"/>
      <w:r w:rsidRPr="00D2239A">
        <w:t>S1.1</w:t>
      </w:r>
      <w:r w:rsidR="005135AC">
        <w:t>.</w:t>
      </w:r>
      <w:r w:rsidRPr="00D2239A">
        <w:t xml:space="preserve"> </w:t>
      </w:r>
      <w:r w:rsidR="00946A18" w:rsidRPr="00D2239A">
        <w:t>M</w:t>
      </w:r>
      <w:r w:rsidR="0083782C" w:rsidRPr="00D2239A">
        <w:t xml:space="preserve">odel </w:t>
      </w:r>
      <w:r w:rsidR="00F33591">
        <w:t>s</w:t>
      </w:r>
      <w:r w:rsidR="0083782C" w:rsidRPr="00FC06EB">
        <w:t>tructure</w:t>
      </w:r>
      <w:r w:rsidR="00946A18" w:rsidRPr="00D2239A">
        <w:t xml:space="preserve"> and </w:t>
      </w:r>
      <w:r w:rsidR="00F33591">
        <w:t>s</w:t>
      </w:r>
      <w:r w:rsidR="00946A18" w:rsidRPr="00D2239A">
        <w:t xml:space="preserve">imulation </w:t>
      </w:r>
      <w:r w:rsidR="00F33591">
        <w:t>s</w:t>
      </w:r>
      <w:r w:rsidR="00946A18" w:rsidRPr="00D2239A">
        <w:t>etup</w:t>
      </w:r>
      <w:bookmarkEnd w:id="3"/>
      <w:bookmarkEnd w:id="4"/>
    </w:p>
    <w:p w14:paraId="52A06FC7" w14:textId="74BAE89C" w:rsidR="006E764B" w:rsidRPr="006E764B" w:rsidRDefault="005169B7" w:rsidP="00FC06EB">
      <w:pPr>
        <w:pStyle w:val="BodyText"/>
        <w:rPr>
          <w:vertAlign w:val="superscript"/>
        </w:rPr>
      </w:pPr>
      <w:r w:rsidRPr="00FC06EB">
        <w:t xml:space="preserve">The </w:t>
      </w:r>
      <w:r w:rsidR="00EF61B0" w:rsidRPr="00FC06EB">
        <w:t xml:space="preserve">Opioid Policy Simulation Model (OPSiM) is a microsimulation model that </w:t>
      </w:r>
      <w:r w:rsidR="00AC531B" w:rsidRPr="00FC06EB">
        <w:t>simulate</w:t>
      </w:r>
      <w:r w:rsidR="00FF6EC6" w:rsidRPr="00FC06EB">
        <w:t>s</w:t>
      </w:r>
      <w:r w:rsidR="00AC531B" w:rsidRPr="00FC06EB">
        <w:t xml:space="preserve"> </w:t>
      </w:r>
      <w:r w:rsidR="00EF61B0" w:rsidRPr="00FC06EB">
        <w:t>the course</w:t>
      </w:r>
      <w:r w:rsidR="00F945DC" w:rsidRPr="00FC06EB">
        <w:t xml:space="preserve"> and outcomes</w:t>
      </w:r>
      <w:r w:rsidR="00EF61B0" w:rsidRPr="00FC06EB">
        <w:t xml:space="preserve"> of </w:t>
      </w:r>
      <w:r w:rsidR="00D7002D" w:rsidRPr="00FC06EB">
        <w:t xml:space="preserve">non-medical </w:t>
      </w:r>
      <w:r w:rsidR="00EF61B0" w:rsidRPr="00FC06EB">
        <w:t xml:space="preserve">opioid use at </w:t>
      </w:r>
      <w:r w:rsidR="00F945DC" w:rsidRPr="00FC06EB">
        <w:t xml:space="preserve">the </w:t>
      </w:r>
      <w:r w:rsidR="00EF61B0" w:rsidRPr="00FC06EB">
        <w:t>individual level</w:t>
      </w:r>
      <w:r w:rsidR="00D7002D" w:rsidRPr="00FC06EB">
        <w:t>. It was</w:t>
      </w:r>
      <w:r w:rsidR="00EF61B0" w:rsidRPr="00FC06EB">
        <w:t xml:space="preserve"> </w:t>
      </w:r>
      <w:r w:rsidR="000A3F43" w:rsidRPr="00FC06EB">
        <w:t xml:space="preserve">calibrated </w:t>
      </w:r>
      <w:r w:rsidR="007C190F" w:rsidRPr="00FC06EB">
        <w:t>to</w:t>
      </w:r>
      <w:r w:rsidR="000A3F43" w:rsidRPr="00FC06EB">
        <w:t xml:space="preserve"> </w:t>
      </w:r>
      <w:r w:rsidR="007C190F" w:rsidRPr="00FC06EB">
        <w:t xml:space="preserve">community-level </w:t>
      </w:r>
      <w:r w:rsidR="000A3F43" w:rsidRPr="00FC06EB">
        <w:t xml:space="preserve">data from </w:t>
      </w:r>
      <w:r w:rsidRPr="00FC06EB">
        <w:t>the HEALing Communities Study</w:t>
      </w:r>
      <w:r w:rsidR="003A2711" w:rsidRPr="006E764B">
        <w:rPr>
          <w:vertAlign w:val="superscript"/>
        </w:rPr>
        <w:fldChar w:fldCharType="begin"/>
      </w:r>
      <w:r w:rsidR="006E3B8B" w:rsidRPr="006E764B">
        <w:rPr>
          <w:vertAlign w:val="superscript"/>
        </w:rPr>
        <w:instrText xml:space="preserve"> ADDIN EN.CITE &lt;EndNote&gt;&lt;Cite&gt;&lt;Author&gt;HEALing Communities Study Consortium&lt;/Author&gt;&lt;Year&gt;2020&lt;/Year&gt;&lt;RecNum&gt;15&lt;/RecNum&gt;&lt;DisplayText&gt;&lt;style face="superscript"&gt;1&lt;/style&gt;&lt;/DisplayText&gt;&lt;record&gt;&lt;rec-number&gt;15&lt;/rec-number&gt;&lt;foreign-keys&gt;&lt;key app="EN" db-id="ffv9f0td1taf24ev0z1paazh2dx55xvtwsv9" timestamp="1705003969"&gt;15&lt;/key&gt;&lt;/foreign-keys&gt;&lt;ref-type name="Journal Article"&gt;17&lt;/ref-type&gt;&lt;contributors&gt;&lt;authors&gt;&lt;author&gt;HEALing Communities Study Consortium,&lt;/author&gt;&lt;/authors&gt;&lt;/contributors&gt;&lt;titles&gt;&lt;title&gt;The HEALing (Helping to End Addiction Long-term (SM)) Communities Study: Protocol for a cluster randomized trial at the community level to reduce opioid overdose deaths through implementation of an integrated set of evidence-based practices&lt;/title&gt;&lt;secondary-title&gt;Drug Alcohol Depend&lt;/secondary-title&gt;&lt;alt-title&gt;Drug and alcohol dependence&lt;/alt-title&gt;&lt;/titles&gt;&lt;periodical&gt;&lt;full-title&gt;Drug Alcohol Depend&lt;/full-title&gt;&lt;abbr-1&gt;Drug and alcohol dependence&lt;/abbr-1&gt;&lt;/periodical&gt;&lt;alt-periodical&gt;&lt;full-title&gt;Drug Alcohol Depend&lt;/full-title&gt;&lt;abbr-1&gt;Drug and alcohol dependence&lt;/abbr-1&gt;&lt;/alt-periodical&gt;&lt;pages&gt;108335&lt;/pages&gt;&lt;volume&gt;217&lt;/volume&gt;&lt;edition&gt;2020/11/29&lt;/edition&gt;&lt;keywords&gt;&lt;keyword&gt;Behavior, Addictive&lt;/keyword&gt;&lt;keyword&gt;*Clinical Trial Protocols as Topic&lt;/keyword&gt;&lt;keyword&gt;Drug Overdose/prevention &amp;amp; control&lt;/keyword&gt;&lt;keyword&gt;Evidence-Based Practice/*methods&lt;/keyword&gt;&lt;keyword&gt;Humans&lt;/keyword&gt;&lt;keyword&gt;Massachusetts&lt;/keyword&gt;&lt;keyword&gt;New York&lt;/keyword&gt;&lt;keyword&gt;Ohio&lt;/keyword&gt;&lt;keyword&gt;Opiate Overdose/mortality/*prevention &amp;amp; control&lt;/keyword&gt;&lt;keyword&gt;Opioid-Related Disorders/drug therapy&lt;/keyword&gt;&lt;keyword&gt;Randomized Controlled Trials as Topic&lt;/keyword&gt;&lt;/keywords&gt;&lt;dates&gt;&lt;year&gt;2020&lt;/year&gt;&lt;pub-dates&gt;&lt;date&gt;Dec 1&lt;/date&gt;&lt;/pub-dates&gt;&lt;/dates&gt;&lt;isbn&gt;0376-8716 (Print)&amp;#xD;0376-8716&lt;/isbn&gt;&lt;accession-num&gt;33248391&lt;/accession-num&gt;&lt;urls&gt;&lt;/urls&gt;&lt;custom2&gt;Pmc7568493&lt;/custom2&gt;&lt;electronic-resource-num&gt;10.1016/j.drugalcdep.2020.108335&lt;/electronic-resource-num&gt;&lt;remote-database-provider&gt;Nlm&lt;/remote-database-provider&gt;&lt;language&gt;eng&lt;/language&gt;&lt;/record&gt;&lt;/Cite&gt;&lt;/EndNote&gt;</w:instrText>
      </w:r>
      <w:r w:rsidR="003A2711" w:rsidRPr="006E764B">
        <w:rPr>
          <w:vertAlign w:val="superscript"/>
        </w:rPr>
        <w:fldChar w:fldCharType="separate"/>
      </w:r>
      <w:r w:rsidR="003A2711" w:rsidRPr="006E764B">
        <w:rPr>
          <w:vertAlign w:val="superscript"/>
        </w:rPr>
        <w:t>1</w:t>
      </w:r>
      <w:r w:rsidR="003A2711" w:rsidRPr="006E764B">
        <w:rPr>
          <w:vertAlign w:val="superscript"/>
        </w:rPr>
        <w:fldChar w:fldCharType="end"/>
      </w:r>
      <w:r w:rsidR="006E764B" w:rsidRPr="00FC06EB">
        <w:t>.</w:t>
      </w:r>
    </w:p>
    <w:p w14:paraId="136AB445" w14:textId="3E234C60" w:rsidR="00EE07DC" w:rsidRPr="00D2239A" w:rsidRDefault="00CC070B" w:rsidP="00CC070B">
      <w:pPr>
        <w:pStyle w:val="Heading2"/>
        <w:rPr>
          <w:rFonts w:cs="Times New Roman"/>
        </w:rPr>
      </w:pPr>
      <w:bookmarkStart w:id="5" w:name="_Toc206680983"/>
      <w:bookmarkStart w:id="6" w:name="_Toc226020673"/>
      <w:r w:rsidRPr="00D2239A">
        <w:rPr>
          <w:rFonts w:cs="Times New Roman"/>
        </w:rPr>
        <w:t xml:space="preserve">S1.1.1. </w:t>
      </w:r>
      <w:r w:rsidR="00132027" w:rsidRPr="00D2239A">
        <w:rPr>
          <w:rFonts w:cs="Times New Roman"/>
        </w:rPr>
        <w:t xml:space="preserve">Health </w:t>
      </w:r>
      <w:r w:rsidR="00F330FD" w:rsidRPr="00D2239A">
        <w:rPr>
          <w:rFonts w:cs="Times New Roman"/>
        </w:rPr>
        <w:t>s</w:t>
      </w:r>
      <w:r w:rsidR="00132027" w:rsidRPr="00D2239A">
        <w:rPr>
          <w:rFonts w:cs="Times New Roman"/>
        </w:rPr>
        <w:t>tates</w:t>
      </w:r>
      <w:bookmarkEnd w:id="5"/>
      <w:bookmarkEnd w:id="6"/>
    </w:p>
    <w:p w14:paraId="3BDD1D84" w14:textId="241B1559" w:rsidR="00117719" w:rsidRPr="00EF4250" w:rsidRDefault="005169B7" w:rsidP="00754108">
      <w:pPr>
        <w:pStyle w:val="BodyText"/>
        <w:spacing w:after="0" w:line="276" w:lineRule="auto"/>
        <w:rPr>
          <w:szCs w:val="20"/>
        </w:rPr>
      </w:pPr>
      <w:r w:rsidRPr="00EF4250">
        <w:rPr>
          <w:szCs w:val="20"/>
        </w:rPr>
        <w:t>The model consist</w:t>
      </w:r>
      <w:r w:rsidR="00F15BBA" w:rsidRPr="00EF4250">
        <w:rPr>
          <w:szCs w:val="20"/>
        </w:rPr>
        <w:t>s</w:t>
      </w:r>
      <w:r w:rsidRPr="00EF4250">
        <w:rPr>
          <w:szCs w:val="20"/>
        </w:rPr>
        <w:t xml:space="preserve"> of </w:t>
      </w:r>
      <w:r w:rsidR="00721DAA" w:rsidRPr="00EF4250">
        <w:rPr>
          <w:szCs w:val="20"/>
        </w:rPr>
        <w:t xml:space="preserve">the following </w:t>
      </w:r>
      <w:r w:rsidR="00810B4E" w:rsidRPr="00EF4250">
        <w:rPr>
          <w:szCs w:val="20"/>
        </w:rPr>
        <w:t>five</w:t>
      </w:r>
      <w:r w:rsidRPr="00EF4250">
        <w:rPr>
          <w:szCs w:val="20"/>
        </w:rPr>
        <w:t xml:space="preserve"> </w:t>
      </w:r>
      <w:r w:rsidR="000E2D09" w:rsidRPr="00EF4250">
        <w:rPr>
          <w:szCs w:val="20"/>
        </w:rPr>
        <w:t>mutually exclusive</w:t>
      </w:r>
      <w:r w:rsidRPr="00EF4250">
        <w:rPr>
          <w:szCs w:val="20"/>
        </w:rPr>
        <w:t xml:space="preserve"> health states </w:t>
      </w:r>
      <w:r w:rsidR="00721DAA" w:rsidRPr="00EF4250">
        <w:rPr>
          <w:szCs w:val="20"/>
        </w:rPr>
        <w:t>that represent</w:t>
      </w:r>
      <w:r w:rsidRPr="00EF4250">
        <w:rPr>
          <w:szCs w:val="20"/>
        </w:rPr>
        <w:t xml:space="preserve"> </w:t>
      </w:r>
      <w:r w:rsidR="00810B4E" w:rsidRPr="00EF4250">
        <w:rPr>
          <w:szCs w:val="20"/>
        </w:rPr>
        <w:t xml:space="preserve">five </w:t>
      </w:r>
      <w:r w:rsidR="00D7002D" w:rsidRPr="00EF4250">
        <w:rPr>
          <w:szCs w:val="20"/>
        </w:rPr>
        <w:t xml:space="preserve">unique </w:t>
      </w:r>
      <w:r w:rsidRPr="00EF4250">
        <w:rPr>
          <w:szCs w:val="20"/>
        </w:rPr>
        <w:t xml:space="preserve">subgroups of </w:t>
      </w:r>
      <w:r w:rsidR="004A33DC" w:rsidRPr="00EF4250">
        <w:rPr>
          <w:szCs w:val="20"/>
        </w:rPr>
        <w:t>people who use opioids non-medically</w:t>
      </w:r>
      <w:r w:rsidRPr="00EF4250">
        <w:rPr>
          <w:szCs w:val="20"/>
        </w:rPr>
        <w:t xml:space="preserve"> (</w:t>
      </w:r>
      <w:r w:rsidR="00626C29" w:rsidRPr="00626C29">
        <w:rPr>
          <w:b/>
          <w:bCs/>
          <w:szCs w:val="20"/>
        </w:rPr>
        <w:t xml:space="preserve">Supplementary </w:t>
      </w:r>
      <w:r w:rsidRPr="00626C29">
        <w:rPr>
          <w:b/>
          <w:bCs/>
          <w:szCs w:val="20"/>
        </w:rPr>
        <w:t>Figure</w:t>
      </w:r>
      <w:r w:rsidRPr="00EF4250">
        <w:rPr>
          <w:b/>
          <w:bCs/>
          <w:szCs w:val="20"/>
        </w:rPr>
        <w:t xml:space="preserve"> 1</w:t>
      </w:r>
      <w:r w:rsidRPr="00EF4250">
        <w:rPr>
          <w:szCs w:val="20"/>
        </w:rPr>
        <w:t xml:space="preserve">): </w:t>
      </w:r>
    </w:p>
    <w:p w14:paraId="1DD1B75F" w14:textId="5DBC04B8" w:rsidR="00117719" w:rsidRPr="00EF4250" w:rsidRDefault="00721DAA" w:rsidP="00961841">
      <w:pPr>
        <w:pStyle w:val="BodyText"/>
        <w:numPr>
          <w:ilvl w:val="0"/>
          <w:numId w:val="24"/>
        </w:numPr>
        <w:spacing w:after="0" w:line="276" w:lineRule="auto"/>
        <w:rPr>
          <w:szCs w:val="20"/>
        </w:rPr>
      </w:pPr>
      <w:r w:rsidRPr="00EF4250">
        <w:rPr>
          <w:i/>
          <w:iCs/>
          <w:szCs w:val="20"/>
        </w:rPr>
        <w:t xml:space="preserve">Prescription </w:t>
      </w:r>
      <w:r w:rsidR="00ED0ECF" w:rsidRPr="00EF4250">
        <w:rPr>
          <w:i/>
          <w:iCs/>
          <w:szCs w:val="20"/>
        </w:rPr>
        <w:t>O</w:t>
      </w:r>
      <w:r w:rsidRPr="00EF4250">
        <w:rPr>
          <w:i/>
          <w:iCs/>
          <w:szCs w:val="20"/>
        </w:rPr>
        <w:t xml:space="preserve">pioid </w:t>
      </w:r>
      <w:r w:rsidR="00ED0ECF" w:rsidRPr="00EF4250">
        <w:rPr>
          <w:i/>
          <w:iCs/>
          <w:szCs w:val="20"/>
        </w:rPr>
        <w:t>M</w:t>
      </w:r>
      <w:r w:rsidRPr="00EF4250">
        <w:rPr>
          <w:i/>
          <w:iCs/>
          <w:szCs w:val="20"/>
        </w:rPr>
        <w:t xml:space="preserve">isuse </w:t>
      </w:r>
      <w:r w:rsidR="00ED0ECF" w:rsidRPr="00EF4250">
        <w:rPr>
          <w:i/>
          <w:iCs/>
          <w:szCs w:val="20"/>
        </w:rPr>
        <w:t>O</w:t>
      </w:r>
      <w:r w:rsidRPr="00EF4250">
        <w:rPr>
          <w:i/>
          <w:iCs/>
          <w:szCs w:val="20"/>
        </w:rPr>
        <w:t xml:space="preserve">nly (without </w:t>
      </w:r>
      <w:r w:rsidR="00ED0ECF" w:rsidRPr="00EF4250">
        <w:rPr>
          <w:i/>
          <w:iCs/>
          <w:szCs w:val="20"/>
        </w:rPr>
        <w:t>I</w:t>
      </w:r>
      <w:r w:rsidRPr="00EF4250">
        <w:rPr>
          <w:i/>
          <w:iCs/>
          <w:szCs w:val="20"/>
        </w:rPr>
        <w:t xml:space="preserve">llicit </w:t>
      </w:r>
      <w:r w:rsidR="00ED0ECF" w:rsidRPr="00EF4250">
        <w:rPr>
          <w:i/>
          <w:iCs/>
          <w:szCs w:val="20"/>
        </w:rPr>
        <w:t>O</w:t>
      </w:r>
      <w:r w:rsidRPr="00EF4250">
        <w:rPr>
          <w:i/>
          <w:iCs/>
          <w:szCs w:val="20"/>
        </w:rPr>
        <w:t xml:space="preserve">pioid </w:t>
      </w:r>
      <w:r w:rsidR="00ED0ECF" w:rsidRPr="00EF4250">
        <w:rPr>
          <w:i/>
          <w:iCs/>
          <w:szCs w:val="20"/>
        </w:rPr>
        <w:t>U</w:t>
      </w:r>
      <w:r w:rsidRPr="00EF4250">
        <w:rPr>
          <w:i/>
          <w:iCs/>
          <w:szCs w:val="20"/>
        </w:rPr>
        <w:t>se)</w:t>
      </w:r>
      <w:r w:rsidR="00117719" w:rsidRPr="00EF4250">
        <w:rPr>
          <w:szCs w:val="20"/>
        </w:rPr>
        <w:t xml:space="preserve">: </w:t>
      </w:r>
      <w:r w:rsidR="00510CE6" w:rsidRPr="00EF4250">
        <w:rPr>
          <w:szCs w:val="20"/>
        </w:rPr>
        <w:t xml:space="preserve">representing </w:t>
      </w:r>
      <w:r w:rsidR="00117719" w:rsidRPr="00EF4250">
        <w:rPr>
          <w:szCs w:val="20"/>
        </w:rPr>
        <w:t xml:space="preserve">individuals </w:t>
      </w:r>
      <w:r w:rsidR="00F945DC" w:rsidRPr="00EF4250">
        <w:rPr>
          <w:szCs w:val="20"/>
        </w:rPr>
        <w:t>who use</w:t>
      </w:r>
      <w:r w:rsidR="00117719" w:rsidRPr="00EF4250">
        <w:rPr>
          <w:i/>
          <w:iCs/>
          <w:szCs w:val="20"/>
        </w:rPr>
        <w:t xml:space="preserve"> </w:t>
      </w:r>
      <w:r w:rsidR="00117719" w:rsidRPr="00EF4250">
        <w:rPr>
          <w:szCs w:val="20"/>
        </w:rPr>
        <w:t>prescription opioids non</w:t>
      </w:r>
      <w:r w:rsidR="00F945DC" w:rsidRPr="00EF4250">
        <w:rPr>
          <w:szCs w:val="20"/>
        </w:rPr>
        <w:t>-</w:t>
      </w:r>
      <w:r w:rsidR="00117719" w:rsidRPr="00EF4250">
        <w:rPr>
          <w:szCs w:val="20"/>
        </w:rPr>
        <w:t xml:space="preserve">medically without </w:t>
      </w:r>
      <w:r w:rsidR="00D7002D" w:rsidRPr="00EF4250">
        <w:rPr>
          <w:szCs w:val="20"/>
        </w:rPr>
        <w:t>concurrent use of illicit</w:t>
      </w:r>
      <w:r w:rsidR="00DD536D" w:rsidRPr="00EF4250">
        <w:rPr>
          <w:szCs w:val="20"/>
        </w:rPr>
        <w:t>ly manufactured</w:t>
      </w:r>
      <w:r w:rsidR="00D7002D" w:rsidRPr="00EF4250">
        <w:rPr>
          <w:szCs w:val="20"/>
        </w:rPr>
        <w:t xml:space="preserve"> opioids </w:t>
      </w:r>
      <w:r w:rsidR="004A33DC" w:rsidRPr="00EF4250">
        <w:rPr>
          <w:szCs w:val="20"/>
        </w:rPr>
        <w:t>and without</w:t>
      </w:r>
      <w:r w:rsidR="00D7002D" w:rsidRPr="00EF4250">
        <w:rPr>
          <w:szCs w:val="20"/>
        </w:rPr>
        <w:t xml:space="preserve"> </w:t>
      </w:r>
      <w:r w:rsidR="00117719" w:rsidRPr="00EF4250">
        <w:rPr>
          <w:szCs w:val="20"/>
        </w:rPr>
        <w:t xml:space="preserve">meeting the </w:t>
      </w:r>
      <w:r w:rsidR="003B63DD" w:rsidRPr="00EF4250">
        <w:rPr>
          <w:i/>
          <w:iCs/>
          <w:szCs w:val="20"/>
        </w:rPr>
        <w:t>Diagnostic and Statistical Manual of Mental Disorders</w:t>
      </w:r>
      <w:r w:rsidR="003B63DD" w:rsidRPr="00EF4250">
        <w:rPr>
          <w:szCs w:val="20"/>
        </w:rPr>
        <w:t>, 5th edition (</w:t>
      </w:r>
      <w:r w:rsidR="00117719" w:rsidRPr="00EF4250">
        <w:rPr>
          <w:szCs w:val="20"/>
        </w:rPr>
        <w:t>DSM-5</w:t>
      </w:r>
      <w:r w:rsidR="003B63DD" w:rsidRPr="00EF4250">
        <w:rPr>
          <w:szCs w:val="20"/>
        </w:rPr>
        <w:t>)</w:t>
      </w:r>
      <w:r w:rsidR="00117719" w:rsidRPr="00EF4250">
        <w:rPr>
          <w:szCs w:val="20"/>
        </w:rPr>
        <w:t xml:space="preserve"> criteria for diagnosis</w:t>
      </w:r>
      <w:r w:rsidR="004A33DC" w:rsidRPr="00EF4250">
        <w:rPr>
          <w:szCs w:val="20"/>
        </w:rPr>
        <w:t xml:space="preserve"> of </w:t>
      </w:r>
      <w:r w:rsidR="003B63DD" w:rsidRPr="00EF4250">
        <w:rPr>
          <w:szCs w:val="20"/>
        </w:rPr>
        <w:t>o</w:t>
      </w:r>
      <w:r w:rsidR="00510CE6" w:rsidRPr="00EF4250">
        <w:rPr>
          <w:szCs w:val="20"/>
        </w:rPr>
        <w:t xml:space="preserve">pioid </w:t>
      </w:r>
      <w:r w:rsidR="003B63DD" w:rsidRPr="00EF4250">
        <w:rPr>
          <w:szCs w:val="20"/>
        </w:rPr>
        <w:t>u</w:t>
      </w:r>
      <w:r w:rsidR="00510CE6" w:rsidRPr="00EF4250">
        <w:rPr>
          <w:szCs w:val="20"/>
        </w:rPr>
        <w:t xml:space="preserve">se </w:t>
      </w:r>
      <w:r w:rsidR="003B63DD" w:rsidRPr="00EF4250">
        <w:rPr>
          <w:szCs w:val="20"/>
        </w:rPr>
        <w:t>d</w:t>
      </w:r>
      <w:r w:rsidR="00510CE6" w:rsidRPr="00EF4250">
        <w:rPr>
          <w:szCs w:val="20"/>
        </w:rPr>
        <w:t>isorder (</w:t>
      </w:r>
      <w:r w:rsidR="004A33DC" w:rsidRPr="00EF4250">
        <w:rPr>
          <w:szCs w:val="20"/>
        </w:rPr>
        <w:t>OUD</w:t>
      </w:r>
      <w:r w:rsidR="00510CE6" w:rsidRPr="00EF4250">
        <w:rPr>
          <w:szCs w:val="20"/>
        </w:rPr>
        <w:t>)</w:t>
      </w:r>
      <w:r w:rsidR="00B64686">
        <w:rPr>
          <w:szCs w:val="20"/>
        </w:rPr>
        <w:t>.</w:t>
      </w:r>
    </w:p>
    <w:p w14:paraId="205AA38E" w14:textId="5E6B547C" w:rsidR="00117719" w:rsidRPr="00EF4250" w:rsidRDefault="00862839" w:rsidP="00961841">
      <w:pPr>
        <w:pStyle w:val="BodyText"/>
        <w:numPr>
          <w:ilvl w:val="0"/>
          <w:numId w:val="24"/>
        </w:numPr>
        <w:spacing w:after="0" w:line="276" w:lineRule="auto"/>
        <w:rPr>
          <w:szCs w:val="20"/>
        </w:rPr>
      </w:pPr>
      <w:r w:rsidRPr="00EF4250">
        <w:rPr>
          <w:i/>
          <w:iCs/>
          <w:szCs w:val="20"/>
        </w:rPr>
        <w:t xml:space="preserve">Illicit </w:t>
      </w:r>
      <w:r w:rsidR="003F2CBA" w:rsidRPr="00EF4250">
        <w:rPr>
          <w:i/>
          <w:iCs/>
          <w:szCs w:val="20"/>
        </w:rPr>
        <w:t>O</w:t>
      </w:r>
      <w:r w:rsidRPr="00EF4250">
        <w:rPr>
          <w:i/>
          <w:iCs/>
          <w:szCs w:val="20"/>
        </w:rPr>
        <w:t xml:space="preserve">pioid </w:t>
      </w:r>
      <w:r w:rsidR="003F2CBA" w:rsidRPr="00EF4250">
        <w:rPr>
          <w:i/>
          <w:iCs/>
          <w:szCs w:val="20"/>
        </w:rPr>
        <w:t>U</w:t>
      </w:r>
      <w:r w:rsidRPr="00EF4250">
        <w:rPr>
          <w:i/>
          <w:iCs/>
          <w:szCs w:val="20"/>
        </w:rPr>
        <w:t>se</w:t>
      </w:r>
      <w:r w:rsidR="00117719" w:rsidRPr="00EF4250">
        <w:rPr>
          <w:szCs w:val="20"/>
        </w:rPr>
        <w:t xml:space="preserve">: </w:t>
      </w:r>
      <w:r w:rsidR="001E7B65" w:rsidRPr="00EF4250">
        <w:rPr>
          <w:szCs w:val="20"/>
        </w:rPr>
        <w:t xml:space="preserve">representing </w:t>
      </w:r>
      <w:r w:rsidR="00117719" w:rsidRPr="00EF4250">
        <w:rPr>
          <w:szCs w:val="20"/>
        </w:rPr>
        <w:t xml:space="preserve">individuals </w:t>
      </w:r>
      <w:r w:rsidR="00F945DC" w:rsidRPr="00EF4250">
        <w:rPr>
          <w:szCs w:val="20"/>
        </w:rPr>
        <w:t>who use</w:t>
      </w:r>
      <w:r w:rsidR="00117719" w:rsidRPr="00EF4250">
        <w:rPr>
          <w:szCs w:val="20"/>
        </w:rPr>
        <w:t xml:space="preserve"> illicit</w:t>
      </w:r>
      <w:r w:rsidR="00496BD6" w:rsidRPr="00EF4250">
        <w:rPr>
          <w:szCs w:val="20"/>
        </w:rPr>
        <w:t>ly manufactured</w:t>
      </w:r>
      <w:r w:rsidR="00117719" w:rsidRPr="00EF4250">
        <w:rPr>
          <w:szCs w:val="20"/>
        </w:rPr>
        <w:t xml:space="preserve"> opioids</w:t>
      </w:r>
      <w:r w:rsidR="001E7B65" w:rsidRPr="00EF4250">
        <w:rPr>
          <w:szCs w:val="20"/>
        </w:rPr>
        <w:t xml:space="preserve">, </w:t>
      </w:r>
      <w:r w:rsidR="00117719" w:rsidRPr="00EF4250">
        <w:rPr>
          <w:szCs w:val="20"/>
        </w:rPr>
        <w:t xml:space="preserve">possibly with </w:t>
      </w:r>
      <w:r w:rsidR="00F945DC" w:rsidRPr="00EF4250">
        <w:rPr>
          <w:szCs w:val="20"/>
        </w:rPr>
        <w:t xml:space="preserve">concurrent </w:t>
      </w:r>
      <w:r w:rsidR="00117719" w:rsidRPr="00EF4250">
        <w:rPr>
          <w:szCs w:val="20"/>
        </w:rPr>
        <w:t>non-medical use of prescription opioids</w:t>
      </w:r>
      <w:r w:rsidR="001E7B65" w:rsidRPr="00EF4250">
        <w:rPr>
          <w:szCs w:val="20"/>
        </w:rPr>
        <w:t xml:space="preserve">, </w:t>
      </w:r>
      <w:r w:rsidR="00117719" w:rsidRPr="00EF4250">
        <w:rPr>
          <w:szCs w:val="20"/>
        </w:rPr>
        <w:t>without meeting the DSM-5 criteria for diagnosis</w:t>
      </w:r>
      <w:r w:rsidR="004A33DC" w:rsidRPr="00EF4250">
        <w:rPr>
          <w:szCs w:val="20"/>
        </w:rPr>
        <w:t xml:space="preserve"> of OUD</w:t>
      </w:r>
      <w:r w:rsidR="00B64686">
        <w:rPr>
          <w:szCs w:val="20"/>
        </w:rPr>
        <w:t>.</w:t>
      </w:r>
    </w:p>
    <w:p w14:paraId="152CEA73" w14:textId="59346386" w:rsidR="00117719" w:rsidRPr="00EF4250" w:rsidRDefault="00117719" w:rsidP="00961841">
      <w:pPr>
        <w:pStyle w:val="BodyText"/>
        <w:numPr>
          <w:ilvl w:val="0"/>
          <w:numId w:val="24"/>
        </w:numPr>
        <w:spacing w:after="0" w:line="276" w:lineRule="auto"/>
      </w:pPr>
      <w:r w:rsidRPr="26DC3149">
        <w:rPr>
          <w:i/>
          <w:iCs/>
        </w:rPr>
        <w:t xml:space="preserve">OUD without </w:t>
      </w:r>
      <w:r w:rsidR="003F2CBA" w:rsidRPr="26DC3149">
        <w:rPr>
          <w:i/>
          <w:iCs/>
        </w:rPr>
        <w:t>M</w:t>
      </w:r>
      <w:r w:rsidR="00D43205" w:rsidRPr="26DC3149">
        <w:rPr>
          <w:i/>
          <w:iCs/>
        </w:rPr>
        <w:t xml:space="preserve">edications </w:t>
      </w:r>
      <w:r w:rsidR="00D94C5E" w:rsidRPr="26DC3149">
        <w:rPr>
          <w:i/>
          <w:iCs/>
        </w:rPr>
        <w:t xml:space="preserve">for OUD </w:t>
      </w:r>
      <w:r w:rsidR="003F2CBA" w:rsidRPr="26DC3149">
        <w:rPr>
          <w:i/>
          <w:iCs/>
        </w:rPr>
        <w:t>T</w:t>
      </w:r>
      <w:r w:rsidR="00D43205" w:rsidRPr="26DC3149">
        <w:rPr>
          <w:i/>
          <w:iCs/>
        </w:rPr>
        <w:t>reatment</w:t>
      </w:r>
      <w:r w:rsidR="004933B9" w:rsidRPr="26DC3149">
        <w:rPr>
          <w:i/>
          <w:iCs/>
        </w:rPr>
        <w:t xml:space="preserve"> (or “OUD state” in short)</w:t>
      </w:r>
      <w:r>
        <w:t xml:space="preserve">: </w:t>
      </w:r>
      <w:r w:rsidR="00D43205">
        <w:t xml:space="preserve">representing </w:t>
      </w:r>
      <w:r>
        <w:t xml:space="preserve">individuals </w:t>
      </w:r>
      <w:r w:rsidR="00F945DC">
        <w:t>who meet</w:t>
      </w:r>
      <w:r>
        <w:t xml:space="preserve"> the DSM-5 </w:t>
      </w:r>
      <w:r w:rsidR="00F945DC">
        <w:t xml:space="preserve">criteria </w:t>
      </w:r>
      <w:r>
        <w:t xml:space="preserve">for diagnosis of OUD and </w:t>
      </w:r>
      <w:r w:rsidR="00F945DC">
        <w:t xml:space="preserve">do </w:t>
      </w:r>
      <w:r>
        <w:t>not receiv</w:t>
      </w:r>
      <w:r w:rsidR="00F945DC">
        <w:t>e</w:t>
      </w:r>
      <w:r>
        <w:t xml:space="preserve"> treatment</w:t>
      </w:r>
      <w:r w:rsidR="00A113DD">
        <w:t xml:space="preserve"> with a</w:t>
      </w:r>
      <w:r w:rsidR="00D43205">
        <w:t>n</w:t>
      </w:r>
      <w:r w:rsidR="00A113DD">
        <w:t xml:space="preserve"> MOUD, defined as the use of </w:t>
      </w:r>
      <w:r w:rsidR="004933B9">
        <w:t xml:space="preserve">an </w:t>
      </w:r>
      <w:r w:rsidR="00A113DD">
        <w:t xml:space="preserve">FDA-approved drug (buprenorphine, methadone, </w:t>
      </w:r>
      <w:r w:rsidR="004933B9">
        <w:t xml:space="preserve">or </w:t>
      </w:r>
      <w:r w:rsidR="00A113DD">
        <w:t>naltrexone)</w:t>
      </w:r>
      <w:r w:rsidR="00475F28">
        <w:t xml:space="preserve"> for treating OUD</w:t>
      </w:r>
      <w:r w:rsidR="00A113DD">
        <w:t>,</w:t>
      </w:r>
      <w:r>
        <w:fldChar w:fldCharType="begin"/>
      </w:r>
      <w:r>
        <w:instrText xml:space="preserve"> ADDIN EN.CITE &lt;EndNote&gt;&lt;Cite&gt;&lt;Author&gt;US Food and Drug Administration&lt;/Author&gt;&lt;Year&gt;2023&lt;/Year&gt;&lt;RecNum&gt;123&lt;/RecNum&gt;&lt;DisplayText&gt;&lt;style face="superscript"&gt;2&lt;/style&gt;&lt;/DisplayText&gt;&lt;record&gt;&lt;rec-number&gt;123&lt;/rec-number&gt;&lt;foreign-keys&gt;&lt;key app="EN" db-id="ffv9f0td1taf24ev0z1paazh2dx55xvtwsv9" timestamp="1713388379"&gt;123&lt;/key&gt;&lt;/foreign-keys&gt;&lt;ref-type name="Web Page"&gt;12&lt;/ref-type&gt;&lt;contributors&gt;&lt;authors&gt;&lt;author&gt;US Food and Drug Administration,&lt;/author&gt;&lt;/authors&gt;&lt;/contributors&gt;&lt;titles&gt;&lt;title&gt;Information about Medication-Assisted Treatment (MAT)&lt;/title&gt;&lt;/titles&gt;&lt;volume&gt;2024&lt;/volume&gt;&lt;number&gt;March&lt;/number&gt;&lt;dates&gt;&lt;year&gt;2023&lt;/year&gt;&lt;/dates&gt;&lt;urls&gt;&lt;related-urls&gt;&lt;url&gt;https://www.fda.gov/drugs/information-drug-class/information-about-medication-assisted-treatment-mat&lt;/url&gt;&lt;/related-urls&gt;&lt;/urls&gt;&lt;/record&gt;&lt;/Cite&gt;&lt;/EndNote&gt;</w:instrText>
      </w:r>
      <w:r>
        <w:fldChar w:fldCharType="separate"/>
      </w:r>
      <w:r w:rsidR="003A2711" w:rsidRPr="26DC3149">
        <w:rPr>
          <w:noProof/>
          <w:vertAlign w:val="superscript"/>
        </w:rPr>
        <w:t>2</w:t>
      </w:r>
      <w:r>
        <w:fldChar w:fldCharType="end"/>
      </w:r>
      <w:r w:rsidR="00A113DD">
        <w:t xml:space="preserve"> possibly in conjunction with counseling and behavioral therapies</w:t>
      </w:r>
      <w:r w:rsidR="00B64686">
        <w:t>.</w:t>
      </w:r>
    </w:p>
    <w:p w14:paraId="5B685796" w14:textId="58E2505D" w:rsidR="00117719" w:rsidRPr="00EF4250" w:rsidRDefault="00117719" w:rsidP="00961841">
      <w:pPr>
        <w:pStyle w:val="BodyText"/>
        <w:numPr>
          <w:ilvl w:val="0"/>
          <w:numId w:val="24"/>
        </w:numPr>
        <w:spacing w:after="0" w:line="276" w:lineRule="auto"/>
        <w:rPr>
          <w:szCs w:val="20"/>
        </w:rPr>
      </w:pPr>
      <w:r w:rsidRPr="00EF4250">
        <w:rPr>
          <w:i/>
          <w:iCs/>
          <w:szCs w:val="20"/>
        </w:rPr>
        <w:t xml:space="preserve">Recovery </w:t>
      </w:r>
      <w:r w:rsidR="00C7138B" w:rsidRPr="00EF4250">
        <w:rPr>
          <w:i/>
          <w:iCs/>
          <w:szCs w:val="20"/>
        </w:rPr>
        <w:t>on</w:t>
      </w:r>
      <w:r w:rsidR="00637F04" w:rsidRPr="00EF4250">
        <w:rPr>
          <w:i/>
          <w:iCs/>
          <w:szCs w:val="20"/>
        </w:rPr>
        <w:t xml:space="preserve"> MOUD</w:t>
      </w:r>
      <w:r w:rsidR="00025BA6" w:rsidRPr="00EF4250">
        <w:rPr>
          <w:i/>
          <w:iCs/>
          <w:szCs w:val="20"/>
        </w:rPr>
        <w:t xml:space="preserve"> (or “MOUD</w:t>
      </w:r>
      <w:r w:rsidR="00E01E59" w:rsidRPr="00EF4250">
        <w:rPr>
          <w:i/>
          <w:iCs/>
          <w:szCs w:val="20"/>
        </w:rPr>
        <w:t xml:space="preserve"> state</w:t>
      </w:r>
      <w:r w:rsidR="00025BA6" w:rsidRPr="00EF4250">
        <w:rPr>
          <w:i/>
          <w:iCs/>
          <w:szCs w:val="20"/>
        </w:rPr>
        <w:t>” in short)</w:t>
      </w:r>
      <w:r w:rsidRPr="00EF4250">
        <w:rPr>
          <w:szCs w:val="20"/>
        </w:rPr>
        <w:t xml:space="preserve">: </w:t>
      </w:r>
      <w:r w:rsidR="00025BA6" w:rsidRPr="00EF4250">
        <w:rPr>
          <w:szCs w:val="20"/>
        </w:rPr>
        <w:t xml:space="preserve">representing </w:t>
      </w:r>
      <w:r w:rsidRPr="00EF4250">
        <w:rPr>
          <w:szCs w:val="20"/>
        </w:rPr>
        <w:t xml:space="preserve">individuals </w:t>
      </w:r>
      <w:r w:rsidR="005169B7" w:rsidRPr="00EF4250">
        <w:rPr>
          <w:szCs w:val="20"/>
        </w:rPr>
        <w:t xml:space="preserve">who have OUD and are </w:t>
      </w:r>
      <w:r w:rsidR="00025BA6" w:rsidRPr="00EF4250">
        <w:rPr>
          <w:szCs w:val="20"/>
        </w:rPr>
        <w:t xml:space="preserve">undergoing </w:t>
      </w:r>
      <w:r w:rsidR="00A113DD" w:rsidRPr="00EF4250">
        <w:rPr>
          <w:szCs w:val="20"/>
        </w:rPr>
        <w:t>M</w:t>
      </w:r>
      <w:r w:rsidR="005169B7" w:rsidRPr="00EF4250">
        <w:rPr>
          <w:szCs w:val="20"/>
        </w:rPr>
        <w:t>OUD</w:t>
      </w:r>
      <w:r w:rsidR="00E519F1" w:rsidRPr="00EF4250">
        <w:rPr>
          <w:szCs w:val="20"/>
        </w:rPr>
        <w:t xml:space="preserve"> treatment</w:t>
      </w:r>
      <w:r w:rsidR="00B64686">
        <w:rPr>
          <w:szCs w:val="20"/>
        </w:rPr>
        <w:t>.</w:t>
      </w:r>
    </w:p>
    <w:p w14:paraId="7E8426EC" w14:textId="60C23B80" w:rsidR="00961841" w:rsidRPr="00EF4250" w:rsidRDefault="00117719" w:rsidP="00961841">
      <w:pPr>
        <w:pStyle w:val="BodyText"/>
        <w:numPr>
          <w:ilvl w:val="0"/>
          <w:numId w:val="24"/>
        </w:numPr>
        <w:spacing w:after="0" w:line="276" w:lineRule="auto"/>
        <w:rPr>
          <w:szCs w:val="20"/>
        </w:rPr>
      </w:pPr>
      <w:r w:rsidRPr="00EF4250">
        <w:rPr>
          <w:i/>
          <w:iCs/>
          <w:szCs w:val="20"/>
        </w:rPr>
        <w:t xml:space="preserve">Recovery </w:t>
      </w:r>
      <w:r w:rsidR="00C7138B" w:rsidRPr="00EF4250">
        <w:rPr>
          <w:i/>
          <w:iCs/>
          <w:szCs w:val="20"/>
        </w:rPr>
        <w:t>not on</w:t>
      </w:r>
      <w:r w:rsidRPr="00EF4250">
        <w:rPr>
          <w:i/>
          <w:iCs/>
          <w:szCs w:val="20"/>
        </w:rPr>
        <w:t xml:space="preserve"> </w:t>
      </w:r>
      <w:r w:rsidR="00A113DD" w:rsidRPr="00EF4250">
        <w:rPr>
          <w:i/>
          <w:iCs/>
          <w:szCs w:val="20"/>
        </w:rPr>
        <w:t>MOUD</w:t>
      </w:r>
      <w:r w:rsidR="00E519F1" w:rsidRPr="00EF4250">
        <w:rPr>
          <w:i/>
          <w:iCs/>
          <w:szCs w:val="20"/>
        </w:rPr>
        <w:t xml:space="preserve"> (or “</w:t>
      </w:r>
      <w:r w:rsidR="00E01E59" w:rsidRPr="00EF4250">
        <w:rPr>
          <w:i/>
          <w:iCs/>
          <w:szCs w:val="20"/>
        </w:rPr>
        <w:t>recovery state” in short)</w:t>
      </w:r>
      <w:r w:rsidRPr="00EF4250">
        <w:rPr>
          <w:szCs w:val="20"/>
        </w:rPr>
        <w:t xml:space="preserve">: </w:t>
      </w:r>
      <w:r w:rsidR="00E01E59" w:rsidRPr="00EF4250">
        <w:rPr>
          <w:szCs w:val="20"/>
        </w:rPr>
        <w:t xml:space="preserve">representing </w:t>
      </w:r>
      <w:r w:rsidRPr="00EF4250">
        <w:rPr>
          <w:szCs w:val="20"/>
        </w:rPr>
        <w:t xml:space="preserve">individuals who </w:t>
      </w:r>
      <w:r w:rsidR="00866144" w:rsidRPr="00EF4250">
        <w:rPr>
          <w:szCs w:val="20"/>
        </w:rPr>
        <w:t xml:space="preserve">have recovered after MOUD treatment </w:t>
      </w:r>
      <w:r w:rsidR="00173BDA" w:rsidRPr="00EF4250">
        <w:rPr>
          <w:szCs w:val="20"/>
        </w:rPr>
        <w:t xml:space="preserve">or through natural recovery </w:t>
      </w:r>
      <w:r w:rsidR="00226E39" w:rsidRPr="00EF4250">
        <w:rPr>
          <w:szCs w:val="20"/>
        </w:rPr>
        <w:t xml:space="preserve">and </w:t>
      </w:r>
      <w:r w:rsidRPr="00EF4250">
        <w:rPr>
          <w:szCs w:val="20"/>
        </w:rPr>
        <w:t xml:space="preserve">are assumed to be </w:t>
      </w:r>
      <w:r w:rsidR="00A113DD" w:rsidRPr="00EF4250">
        <w:rPr>
          <w:szCs w:val="20"/>
        </w:rPr>
        <w:t xml:space="preserve">abstinent </w:t>
      </w:r>
      <w:r w:rsidRPr="00EF4250">
        <w:rPr>
          <w:szCs w:val="20"/>
        </w:rPr>
        <w:t>from opioid</w:t>
      </w:r>
      <w:r w:rsidR="00A113DD" w:rsidRPr="00EF4250">
        <w:rPr>
          <w:szCs w:val="20"/>
        </w:rPr>
        <w:t>s</w:t>
      </w:r>
      <w:r w:rsidR="00C92164" w:rsidRPr="00EF4250">
        <w:rPr>
          <w:szCs w:val="20"/>
        </w:rPr>
        <w:t xml:space="preserve">. Individuals in </w:t>
      </w:r>
      <w:r w:rsidR="000E295B" w:rsidRPr="00EF4250">
        <w:rPr>
          <w:szCs w:val="20"/>
        </w:rPr>
        <w:t xml:space="preserve">this </w:t>
      </w:r>
      <w:r w:rsidR="00C92164" w:rsidRPr="00EF4250">
        <w:rPr>
          <w:szCs w:val="20"/>
        </w:rPr>
        <w:t xml:space="preserve">state are considered </w:t>
      </w:r>
      <w:r w:rsidR="00CE09EB" w:rsidRPr="00EF4250">
        <w:rPr>
          <w:szCs w:val="20"/>
        </w:rPr>
        <w:t xml:space="preserve">to have the same risk of </w:t>
      </w:r>
      <w:r w:rsidR="004933B9" w:rsidRPr="00EF4250">
        <w:rPr>
          <w:szCs w:val="20"/>
        </w:rPr>
        <w:t>future opioid misuse</w:t>
      </w:r>
      <w:r w:rsidR="00451AD3" w:rsidRPr="00EF4250">
        <w:rPr>
          <w:szCs w:val="20"/>
        </w:rPr>
        <w:t xml:space="preserve"> and health outcomes </w:t>
      </w:r>
      <w:r w:rsidR="00CE09EB" w:rsidRPr="00EF4250">
        <w:rPr>
          <w:szCs w:val="20"/>
        </w:rPr>
        <w:t>as the general population</w:t>
      </w:r>
      <w:r w:rsidR="00451AD3" w:rsidRPr="00EF4250">
        <w:rPr>
          <w:szCs w:val="20"/>
        </w:rPr>
        <w:t xml:space="preserve">. </w:t>
      </w:r>
    </w:p>
    <w:p w14:paraId="701A8D2C" w14:textId="3E190DC3" w:rsidR="00117719" w:rsidRPr="00EF4250" w:rsidRDefault="00117719" w:rsidP="005A7981">
      <w:pPr>
        <w:pStyle w:val="BodyText"/>
        <w:spacing w:after="0" w:line="276" w:lineRule="auto"/>
        <w:rPr>
          <w:szCs w:val="20"/>
        </w:rPr>
      </w:pPr>
    </w:p>
    <w:p w14:paraId="663B94D7" w14:textId="77777777" w:rsidR="005A7981" w:rsidRPr="00EF4250" w:rsidRDefault="005A7981" w:rsidP="005A7981">
      <w:pPr>
        <w:pStyle w:val="BodyText"/>
        <w:spacing w:after="0" w:line="276" w:lineRule="auto"/>
        <w:rPr>
          <w:szCs w:val="20"/>
        </w:rPr>
      </w:pPr>
      <w:r w:rsidRPr="00EF4250">
        <w:rPr>
          <w:szCs w:val="20"/>
        </w:rPr>
        <w:t>In addition to the health states for opioid misuse, the OPSiM also tracks individual-level attributes such as sex, age, type of MOUD in the current treatment episode (i.e., buprenorphine, methadone, or naltrexone), time since the start of the current episode of treatment (if receiving MOUD), and the time since the last month of treatment (in the event of relapse after discontinuation of MOUD).</w:t>
      </w:r>
    </w:p>
    <w:p w14:paraId="0ACC0768" w14:textId="43B37FBF" w:rsidR="00EE07DC" w:rsidRPr="00D2239A" w:rsidRDefault="00CC070B" w:rsidP="00CC070B">
      <w:pPr>
        <w:pStyle w:val="Heading2"/>
        <w:rPr>
          <w:rFonts w:cs="Times New Roman"/>
        </w:rPr>
      </w:pPr>
      <w:bookmarkStart w:id="7" w:name="_Toc206680984"/>
      <w:bookmarkStart w:id="8" w:name="_Hlk146226192"/>
      <w:bookmarkStart w:id="9" w:name="_Toc226020674"/>
      <w:r w:rsidRPr="00D2239A">
        <w:rPr>
          <w:rFonts w:cs="Times New Roman"/>
        </w:rPr>
        <w:t>S.1.1.</w:t>
      </w:r>
      <w:r w:rsidR="003A2711" w:rsidRPr="00D2239A">
        <w:rPr>
          <w:rFonts w:cs="Times New Roman"/>
        </w:rPr>
        <w:t>2</w:t>
      </w:r>
      <w:r w:rsidRPr="00D2239A">
        <w:rPr>
          <w:rFonts w:cs="Times New Roman"/>
        </w:rPr>
        <w:t xml:space="preserve">. </w:t>
      </w:r>
      <w:r w:rsidR="00F85F2A" w:rsidRPr="00D2239A">
        <w:rPr>
          <w:rFonts w:cs="Times New Roman"/>
        </w:rPr>
        <w:t>Model initialization</w:t>
      </w:r>
      <w:bookmarkEnd w:id="7"/>
      <w:bookmarkEnd w:id="9"/>
    </w:p>
    <w:p w14:paraId="7EBA5D0D" w14:textId="04F9CC06" w:rsidR="00F85F2A" w:rsidRPr="00EF4250" w:rsidRDefault="00FF7315" w:rsidP="00EE07DC">
      <w:pPr>
        <w:pStyle w:val="BodyText"/>
        <w:spacing w:after="0" w:line="276" w:lineRule="auto"/>
        <w:rPr>
          <w:color w:val="385623" w:themeColor="accent6" w:themeShade="80"/>
          <w:szCs w:val="20"/>
        </w:rPr>
      </w:pPr>
      <w:r w:rsidRPr="00EF4250">
        <w:rPr>
          <w:szCs w:val="20"/>
        </w:rPr>
        <w:t xml:space="preserve">The simulation model was initialized at the beginning of year 2012 </w:t>
      </w:r>
      <w:r w:rsidR="00871716" w:rsidRPr="00EF4250">
        <w:rPr>
          <w:szCs w:val="20"/>
        </w:rPr>
        <w:t xml:space="preserve">and </w:t>
      </w:r>
      <w:r w:rsidRPr="00EF4250">
        <w:rPr>
          <w:szCs w:val="20"/>
        </w:rPr>
        <w:t xml:space="preserve">followed a warm-up period </w:t>
      </w:r>
      <w:r w:rsidR="00871716" w:rsidRPr="00EF4250">
        <w:rPr>
          <w:szCs w:val="20"/>
        </w:rPr>
        <w:t xml:space="preserve">until </w:t>
      </w:r>
      <w:r w:rsidR="00B55217" w:rsidRPr="00EF4250">
        <w:rPr>
          <w:szCs w:val="20"/>
        </w:rPr>
        <w:t xml:space="preserve">the </w:t>
      </w:r>
      <w:r w:rsidRPr="00EF4250">
        <w:rPr>
          <w:szCs w:val="20"/>
        </w:rPr>
        <w:t xml:space="preserve">year 2017. The purpose </w:t>
      </w:r>
      <w:r w:rsidR="00B55217" w:rsidRPr="00EF4250">
        <w:rPr>
          <w:szCs w:val="20"/>
        </w:rPr>
        <w:t xml:space="preserve">of the warm-up period </w:t>
      </w:r>
      <w:r w:rsidR="00D94C5E" w:rsidRPr="00EF4250">
        <w:rPr>
          <w:szCs w:val="20"/>
        </w:rPr>
        <w:t>w</w:t>
      </w:r>
      <w:r w:rsidR="0076615E" w:rsidRPr="00EF4250">
        <w:rPr>
          <w:szCs w:val="20"/>
        </w:rPr>
        <w:t>as</w:t>
      </w:r>
      <w:r w:rsidR="00D94C5E" w:rsidRPr="00EF4250">
        <w:rPr>
          <w:szCs w:val="20"/>
        </w:rPr>
        <w:t xml:space="preserve"> </w:t>
      </w:r>
      <w:r w:rsidRPr="00EF4250">
        <w:rPr>
          <w:szCs w:val="20"/>
        </w:rPr>
        <w:t xml:space="preserve">to allow the model </w:t>
      </w:r>
      <w:r w:rsidR="00871716" w:rsidRPr="00EF4250">
        <w:rPr>
          <w:szCs w:val="20"/>
        </w:rPr>
        <w:t xml:space="preserve">to </w:t>
      </w:r>
      <w:r w:rsidRPr="00EF4250">
        <w:rPr>
          <w:szCs w:val="20"/>
        </w:rPr>
        <w:t>reach a relative</w:t>
      </w:r>
      <w:r w:rsidR="00871716" w:rsidRPr="00EF4250">
        <w:rPr>
          <w:szCs w:val="20"/>
        </w:rPr>
        <w:t>ly</w:t>
      </w:r>
      <w:r w:rsidRPr="00EF4250">
        <w:rPr>
          <w:szCs w:val="20"/>
        </w:rPr>
        <w:t xml:space="preserve"> stable </w:t>
      </w:r>
      <w:r w:rsidR="00871716" w:rsidRPr="00EF4250">
        <w:rPr>
          <w:szCs w:val="20"/>
        </w:rPr>
        <w:t>distribution</w:t>
      </w:r>
      <w:r w:rsidR="00AD63A9" w:rsidRPr="00EF4250">
        <w:rPr>
          <w:szCs w:val="20"/>
        </w:rPr>
        <w:t xml:space="preserve"> of the</w:t>
      </w:r>
      <w:r w:rsidR="00871716" w:rsidRPr="00EF4250">
        <w:rPr>
          <w:szCs w:val="20"/>
        </w:rPr>
        <w:t xml:space="preserve"> </w:t>
      </w:r>
      <w:r w:rsidR="00AD63A9" w:rsidRPr="00EF4250">
        <w:rPr>
          <w:szCs w:val="20"/>
        </w:rPr>
        <w:t xml:space="preserve">simulated population </w:t>
      </w:r>
      <w:r w:rsidRPr="00EF4250">
        <w:rPr>
          <w:szCs w:val="20"/>
        </w:rPr>
        <w:t>across health states and</w:t>
      </w:r>
      <w:r w:rsidR="00871716" w:rsidRPr="00EF4250">
        <w:rPr>
          <w:szCs w:val="20"/>
        </w:rPr>
        <w:t xml:space="preserve"> </w:t>
      </w:r>
      <w:r w:rsidRPr="00EF4250">
        <w:rPr>
          <w:szCs w:val="20"/>
        </w:rPr>
        <w:t xml:space="preserve">attributes before starting </w:t>
      </w:r>
      <w:r w:rsidR="00871716" w:rsidRPr="00EF4250">
        <w:rPr>
          <w:szCs w:val="20"/>
        </w:rPr>
        <w:t xml:space="preserve">the </w:t>
      </w:r>
      <w:r w:rsidRPr="00EF4250">
        <w:rPr>
          <w:szCs w:val="20"/>
        </w:rPr>
        <w:t xml:space="preserve">formal simulation </w:t>
      </w:r>
      <w:r w:rsidR="00721706" w:rsidRPr="00EF4250">
        <w:rPr>
          <w:szCs w:val="20"/>
        </w:rPr>
        <w:t xml:space="preserve">analysis </w:t>
      </w:r>
      <w:r w:rsidR="00D94C5E" w:rsidRPr="00EF4250">
        <w:rPr>
          <w:szCs w:val="20"/>
        </w:rPr>
        <w:t xml:space="preserve">in </w:t>
      </w:r>
      <w:r w:rsidRPr="00EF4250">
        <w:rPr>
          <w:szCs w:val="20"/>
        </w:rPr>
        <w:t xml:space="preserve">2017. </w:t>
      </w:r>
      <w:r w:rsidR="00F85F2A" w:rsidRPr="00EF4250">
        <w:rPr>
          <w:szCs w:val="20"/>
        </w:rPr>
        <w:t>The initial population consist</w:t>
      </w:r>
      <w:r w:rsidRPr="00EF4250">
        <w:rPr>
          <w:szCs w:val="20"/>
        </w:rPr>
        <w:t>ed</w:t>
      </w:r>
      <w:r w:rsidR="00F85F2A" w:rsidRPr="00EF4250">
        <w:rPr>
          <w:szCs w:val="20"/>
        </w:rPr>
        <w:t xml:space="preserve"> of</w:t>
      </w:r>
      <w:r w:rsidRPr="00EF4250">
        <w:rPr>
          <w:szCs w:val="20"/>
        </w:rPr>
        <w:t xml:space="preserve"> </w:t>
      </w:r>
      <w:r w:rsidR="000E2D09" w:rsidRPr="00EF4250">
        <w:rPr>
          <w:szCs w:val="20"/>
        </w:rPr>
        <w:t>individuals</w:t>
      </w:r>
      <w:r w:rsidRPr="00EF4250">
        <w:rPr>
          <w:szCs w:val="20"/>
        </w:rPr>
        <w:t xml:space="preserve"> in</w:t>
      </w:r>
      <w:r w:rsidR="00125BDA" w:rsidRPr="00EF4250">
        <w:rPr>
          <w:szCs w:val="20"/>
        </w:rPr>
        <w:t xml:space="preserve"> </w:t>
      </w:r>
      <w:r w:rsidR="000E2D09" w:rsidRPr="00EF4250">
        <w:rPr>
          <w:szCs w:val="20"/>
        </w:rPr>
        <w:t xml:space="preserve">the health </w:t>
      </w:r>
      <w:r w:rsidR="00125BDA" w:rsidRPr="00EF4250">
        <w:rPr>
          <w:szCs w:val="20"/>
        </w:rPr>
        <w:t>state</w:t>
      </w:r>
      <w:r w:rsidR="000E2D09" w:rsidRPr="00EF4250">
        <w:rPr>
          <w:szCs w:val="20"/>
        </w:rPr>
        <w:t>s</w:t>
      </w:r>
      <w:r w:rsidR="00125BDA" w:rsidRPr="00EF4250">
        <w:rPr>
          <w:szCs w:val="20"/>
        </w:rPr>
        <w:t xml:space="preserve"> of</w:t>
      </w:r>
      <w:r w:rsidR="00F85F2A" w:rsidRPr="00EF4250">
        <w:rPr>
          <w:szCs w:val="20"/>
        </w:rPr>
        <w:t xml:space="preserve"> </w:t>
      </w:r>
      <w:r w:rsidR="00141C6A" w:rsidRPr="00EF4250">
        <w:rPr>
          <w:i/>
          <w:iCs/>
          <w:szCs w:val="20"/>
        </w:rPr>
        <w:t>P</w:t>
      </w:r>
      <w:r w:rsidRPr="00EF4250">
        <w:rPr>
          <w:i/>
          <w:iCs/>
          <w:szCs w:val="20"/>
        </w:rPr>
        <w:t xml:space="preserve">rescription </w:t>
      </w:r>
      <w:r w:rsidR="00141C6A" w:rsidRPr="00EF4250">
        <w:rPr>
          <w:i/>
          <w:iCs/>
          <w:szCs w:val="20"/>
        </w:rPr>
        <w:t>O</w:t>
      </w:r>
      <w:r w:rsidRPr="00EF4250">
        <w:rPr>
          <w:i/>
          <w:iCs/>
          <w:szCs w:val="20"/>
        </w:rPr>
        <w:t>pioid</w:t>
      </w:r>
      <w:r w:rsidR="00AF57FE" w:rsidRPr="00EF4250">
        <w:rPr>
          <w:i/>
          <w:iCs/>
          <w:szCs w:val="20"/>
        </w:rPr>
        <w:t xml:space="preserve"> </w:t>
      </w:r>
      <w:r w:rsidR="00141C6A" w:rsidRPr="00EF4250">
        <w:rPr>
          <w:i/>
          <w:iCs/>
          <w:szCs w:val="20"/>
        </w:rPr>
        <w:t>M</w:t>
      </w:r>
      <w:r w:rsidR="00C266AF" w:rsidRPr="00EF4250">
        <w:rPr>
          <w:i/>
          <w:iCs/>
          <w:szCs w:val="20"/>
        </w:rPr>
        <w:t>isu</w:t>
      </w:r>
      <w:r w:rsidR="00AF57FE" w:rsidRPr="00EF4250">
        <w:rPr>
          <w:i/>
          <w:iCs/>
          <w:szCs w:val="20"/>
        </w:rPr>
        <w:t>se</w:t>
      </w:r>
      <w:r w:rsidRPr="00EF4250">
        <w:rPr>
          <w:szCs w:val="20"/>
        </w:rPr>
        <w:t xml:space="preserve">, </w:t>
      </w:r>
      <w:r w:rsidR="00141C6A" w:rsidRPr="00EF4250">
        <w:rPr>
          <w:i/>
          <w:iCs/>
          <w:szCs w:val="20"/>
        </w:rPr>
        <w:t>I</w:t>
      </w:r>
      <w:r w:rsidR="00F85F2A" w:rsidRPr="00EF4250">
        <w:rPr>
          <w:i/>
          <w:iCs/>
          <w:szCs w:val="20"/>
        </w:rPr>
        <w:t xml:space="preserve">llicit </w:t>
      </w:r>
      <w:r w:rsidR="00141C6A" w:rsidRPr="00EF4250">
        <w:rPr>
          <w:i/>
          <w:iCs/>
          <w:szCs w:val="20"/>
        </w:rPr>
        <w:t>O</w:t>
      </w:r>
      <w:r w:rsidR="00F85F2A" w:rsidRPr="00EF4250">
        <w:rPr>
          <w:i/>
          <w:iCs/>
          <w:szCs w:val="20"/>
        </w:rPr>
        <w:t xml:space="preserve">pioid </w:t>
      </w:r>
      <w:r w:rsidR="00141C6A" w:rsidRPr="00EF4250">
        <w:rPr>
          <w:i/>
          <w:iCs/>
          <w:szCs w:val="20"/>
        </w:rPr>
        <w:t>U</w:t>
      </w:r>
      <w:r w:rsidR="00F85F2A" w:rsidRPr="00EF4250">
        <w:rPr>
          <w:i/>
          <w:iCs/>
          <w:szCs w:val="20"/>
        </w:rPr>
        <w:t>se</w:t>
      </w:r>
      <w:r w:rsidR="00F85F2A" w:rsidRPr="00EF4250">
        <w:rPr>
          <w:szCs w:val="20"/>
        </w:rPr>
        <w:t xml:space="preserve">, and </w:t>
      </w:r>
      <w:r w:rsidR="00F85F2A" w:rsidRPr="00EF4250">
        <w:rPr>
          <w:i/>
          <w:iCs/>
          <w:szCs w:val="20"/>
        </w:rPr>
        <w:t>OUD</w:t>
      </w:r>
      <w:r w:rsidR="00AF57FE" w:rsidRPr="00EF4250">
        <w:rPr>
          <w:i/>
          <w:iCs/>
          <w:szCs w:val="20"/>
        </w:rPr>
        <w:t xml:space="preserve"> </w:t>
      </w:r>
      <w:r w:rsidR="00F040EC" w:rsidRPr="00EF4250">
        <w:rPr>
          <w:i/>
          <w:iCs/>
          <w:szCs w:val="20"/>
        </w:rPr>
        <w:t>(</w:t>
      </w:r>
      <w:r w:rsidR="00AF57FE" w:rsidRPr="00EF4250">
        <w:rPr>
          <w:i/>
          <w:iCs/>
          <w:szCs w:val="20"/>
        </w:rPr>
        <w:t xml:space="preserve">without </w:t>
      </w:r>
      <w:r w:rsidR="00B55217" w:rsidRPr="00EF4250">
        <w:rPr>
          <w:i/>
          <w:iCs/>
          <w:szCs w:val="20"/>
        </w:rPr>
        <w:t xml:space="preserve">MOUD </w:t>
      </w:r>
      <w:r w:rsidR="009578F3" w:rsidRPr="00EF4250">
        <w:rPr>
          <w:i/>
          <w:iCs/>
          <w:szCs w:val="20"/>
        </w:rPr>
        <w:t>T</w:t>
      </w:r>
      <w:r w:rsidR="00AF57FE" w:rsidRPr="00EF4250">
        <w:rPr>
          <w:i/>
          <w:iCs/>
          <w:szCs w:val="20"/>
        </w:rPr>
        <w:t>reatment</w:t>
      </w:r>
      <w:r w:rsidR="00F040EC" w:rsidRPr="00EF4250">
        <w:rPr>
          <w:i/>
          <w:iCs/>
          <w:szCs w:val="20"/>
        </w:rPr>
        <w:t>)</w:t>
      </w:r>
      <w:r w:rsidR="00F85F2A" w:rsidRPr="00EF4250">
        <w:rPr>
          <w:szCs w:val="20"/>
        </w:rPr>
        <w:t xml:space="preserve">. The initial size of each subpopulation </w:t>
      </w:r>
      <w:r w:rsidR="00AF57FE" w:rsidRPr="00EF4250">
        <w:rPr>
          <w:szCs w:val="20"/>
        </w:rPr>
        <w:t>was</w:t>
      </w:r>
      <w:r w:rsidR="00F85F2A" w:rsidRPr="00EF4250">
        <w:rPr>
          <w:szCs w:val="20"/>
        </w:rPr>
        <w:t xml:space="preserve"> </w:t>
      </w:r>
      <w:r w:rsidR="00AF57FE" w:rsidRPr="00EF4250">
        <w:rPr>
          <w:szCs w:val="20"/>
        </w:rPr>
        <w:t xml:space="preserve">based on </w:t>
      </w:r>
      <w:r w:rsidR="00F85F2A" w:rsidRPr="00EF4250">
        <w:rPr>
          <w:szCs w:val="20"/>
        </w:rPr>
        <w:t xml:space="preserve">the estimated prevalence of </w:t>
      </w:r>
      <w:r w:rsidR="00AF57FE" w:rsidRPr="00EF4250">
        <w:rPr>
          <w:szCs w:val="20"/>
        </w:rPr>
        <w:t>each</w:t>
      </w:r>
      <w:r w:rsidR="00F85F2A" w:rsidRPr="00EF4250">
        <w:rPr>
          <w:szCs w:val="20"/>
        </w:rPr>
        <w:t xml:space="preserve"> health state</w:t>
      </w:r>
      <w:r w:rsidR="00AF57FE" w:rsidRPr="00EF4250">
        <w:rPr>
          <w:szCs w:val="20"/>
        </w:rPr>
        <w:t xml:space="preserve"> in</w:t>
      </w:r>
      <w:r w:rsidR="00F85F2A" w:rsidRPr="00EF4250">
        <w:rPr>
          <w:szCs w:val="20"/>
        </w:rPr>
        <w:t xml:space="preserve"> 2017</w:t>
      </w:r>
      <w:r w:rsidR="00AF57FE" w:rsidRPr="00EF4250">
        <w:rPr>
          <w:szCs w:val="20"/>
        </w:rPr>
        <w:t xml:space="preserve"> </w:t>
      </w:r>
      <w:r w:rsidR="00051F3E" w:rsidRPr="00EF4250">
        <w:rPr>
          <w:szCs w:val="20"/>
        </w:rPr>
        <w:t>at the community level</w:t>
      </w:r>
      <w:r w:rsidR="00B84A75" w:rsidRPr="00EF4250">
        <w:rPr>
          <w:szCs w:val="20"/>
        </w:rPr>
        <w:t xml:space="preserve"> </w:t>
      </w:r>
      <w:r w:rsidR="00AF57FE" w:rsidRPr="00EF4250">
        <w:rPr>
          <w:szCs w:val="20"/>
        </w:rPr>
        <w:t>(</w:t>
      </w:r>
      <w:r w:rsidR="00AF57FE" w:rsidRPr="00EF4250">
        <w:rPr>
          <w:b/>
          <w:bCs/>
          <w:szCs w:val="20"/>
        </w:rPr>
        <w:t>Supplement S1.2</w:t>
      </w:r>
      <w:r w:rsidR="00AF57FE" w:rsidRPr="00EF4250">
        <w:rPr>
          <w:szCs w:val="20"/>
        </w:rPr>
        <w:t>)</w:t>
      </w:r>
      <w:r w:rsidR="00F85F2A" w:rsidRPr="00EF4250">
        <w:rPr>
          <w:szCs w:val="20"/>
        </w:rPr>
        <w:t>. Individuals</w:t>
      </w:r>
      <w:r w:rsidR="00AF57FE" w:rsidRPr="00EF4250">
        <w:rPr>
          <w:szCs w:val="20"/>
        </w:rPr>
        <w:t>’</w:t>
      </w:r>
      <w:r w:rsidR="00F85F2A" w:rsidRPr="00EF4250">
        <w:rPr>
          <w:szCs w:val="20"/>
        </w:rPr>
        <w:t xml:space="preserve"> age and sex </w:t>
      </w:r>
      <w:r w:rsidR="00AF57FE" w:rsidRPr="00EF4250">
        <w:rPr>
          <w:szCs w:val="20"/>
        </w:rPr>
        <w:t>were</w:t>
      </w:r>
      <w:r w:rsidR="00F85F2A" w:rsidRPr="00EF4250">
        <w:rPr>
          <w:szCs w:val="20"/>
        </w:rPr>
        <w:t xml:space="preserve"> sampled </w:t>
      </w:r>
      <w:r w:rsidR="00F14592" w:rsidRPr="00EF4250">
        <w:rPr>
          <w:szCs w:val="20"/>
        </w:rPr>
        <w:t xml:space="preserve">following the distributions </w:t>
      </w:r>
      <w:r w:rsidR="00F85F2A" w:rsidRPr="00EF4250">
        <w:rPr>
          <w:szCs w:val="20"/>
        </w:rPr>
        <w:t>condition</w:t>
      </w:r>
      <w:r w:rsidR="00F14592" w:rsidRPr="00EF4250">
        <w:rPr>
          <w:szCs w:val="20"/>
        </w:rPr>
        <w:t>ed</w:t>
      </w:r>
      <w:r w:rsidR="00F85F2A" w:rsidRPr="00EF4250">
        <w:rPr>
          <w:szCs w:val="20"/>
        </w:rPr>
        <w:t xml:space="preserve"> on their health state</w:t>
      </w:r>
      <w:r w:rsidR="0076615E" w:rsidRPr="00EF4250">
        <w:rPr>
          <w:szCs w:val="20"/>
        </w:rPr>
        <w:t xml:space="preserve"> (</w:t>
      </w:r>
      <w:r w:rsidR="0076615E" w:rsidRPr="00EF4250">
        <w:rPr>
          <w:b/>
          <w:bCs/>
          <w:szCs w:val="20"/>
        </w:rPr>
        <w:t>Supplement S1.2.3</w:t>
      </w:r>
      <w:r w:rsidR="0076615E" w:rsidRPr="00EF4250">
        <w:rPr>
          <w:szCs w:val="20"/>
        </w:rPr>
        <w:t>)</w:t>
      </w:r>
      <w:r w:rsidR="00F85F2A" w:rsidRPr="00EF4250">
        <w:rPr>
          <w:szCs w:val="20"/>
        </w:rPr>
        <w:t>.</w:t>
      </w:r>
      <w:r w:rsidR="00AF57FE" w:rsidRPr="00EF4250">
        <w:rPr>
          <w:szCs w:val="20"/>
        </w:rPr>
        <w:t xml:space="preserve"> </w:t>
      </w:r>
      <w:r w:rsidR="00F85F2A" w:rsidRPr="00EF4250">
        <w:rPr>
          <w:szCs w:val="20"/>
        </w:rPr>
        <w:t>We calibrate</w:t>
      </w:r>
      <w:r w:rsidR="00AF57FE" w:rsidRPr="00EF4250">
        <w:rPr>
          <w:szCs w:val="20"/>
        </w:rPr>
        <w:t>d</w:t>
      </w:r>
      <w:r w:rsidR="00F85F2A" w:rsidRPr="00EF4250">
        <w:rPr>
          <w:szCs w:val="20"/>
        </w:rPr>
        <w:t xml:space="preserve"> a </w:t>
      </w:r>
      <w:r w:rsidR="00AF57FE" w:rsidRPr="00EF4250">
        <w:rPr>
          <w:szCs w:val="20"/>
        </w:rPr>
        <w:t xml:space="preserve">multiplier </w:t>
      </w:r>
      <w:r w:rsidR="00871716" w:rsidRPr="00EF4250">
        <w:rPr>
          <w:szCs w:val="20"/>
        </w:rPr>
        <w:t>parameter for</w:t>
      </w:r>
      <w:r w:rsidR="00AF57FE" w:rsidRPr="00EF4250">
        <w:rPr>
          <w:szCs w:val="20"/>
        </w:rPr>
        <w:t xml:space="preserve"> the initial </w:t>
      </w:r>
      <w:r w:rsidR="00F85F2A" w:rsidRPr="00EF4250">
        <w:rPr>
          <w:szCs w:val="20"/>
        </w:rPr>
        <w:t>size</w:t>
      </w:r>
      <w:r w:rsidR="00AC647B" w:rsidRPr="00EF4250">
        <w:rPr>
          <w:szCs w:val="20"/>
        </w:rPr>
        <w:t xml:space="preserve"> of </w:t>
      </w:r>
      <w:r w:rsidR="008D02B8" w:rsidRPr="00EF4250">
        <w:rPr>
          <w:szCs w:val="20"/>
        </w:rPr>
        <w:t xml:space="preserve">the </w:t>
      </w:r>
      <w:r w:rsidR="009578F3" w:rsidRPr="00EF4250">
        <w:rPr>
          <w:i/>
          <w:iCs/>
          <w:szCs w:val="20"/>
        </w:rPr>
        <w:t>P</w:t>
      </w:r>
      <w:r w:rsidR="00AC647B" w:rsidRPr="00EF4250">
        <w:rPr>
          <w:i/>
          <w:iCs/>
          <w:szCs w:val="20"/>
        </w:rPr>
        <w:t xml:space="preserve">rescription </w:t>
      </w:r>
      <w:r w:rsidR="009578F3" w:rsidRPr="00EF4250">
        <w:rPr>
          <w:i/>
          <w:iCs/>
          <w:szCs w:val="20"/>
        </w:rPr>
        <w:t>O</w:t>
      </w:r>
      <w:r w:rsidR="00AC647B" w:rsidRPr="00EF4250">
        <w:rPr>
          <w:i/>
          <w:iCs/>
          <w:szCs w:val="20"/>
        </w:rPr>
        <w:t xml:space="preserve">pioid </w:t>
      </w:r>
      <w:r w:rsidR="00E41B6A" w:rsidRPr="00EF4250">
        <w:rPr>
          <w:i/>
          <w:iCs/>
          <w:szCs w:val="20"/>
        </w:rPr>
        <w:t>M</w:t>
      </w:r>
      <w:r w:rsidR="00AC647B" w:rsidRPr="00EF4250">
        <w:rPr>
          <w:i/>
          <w:iCs/>
          <w:szCs w:val="20"/>
        </w:rPr>
        <w:t>isuse</w:t>
      </w:r>
      <w:r w:rsidR="00F85F2A" w:rsidRPr="00EF4250">
        <w:rPr>
          <w:szCs w:val="20"/>
        </w:rPr>
        <w:t xml:space="preserve"> </w:t>
      </w:r>
      <w:r w:rsidR="008D02B8" w:rsidRPr="00EF4250">
        <w:rPr>
          <w:szCs w:val="20"/>
        </w:rPr>
        <w:t xml:space="preserve">state in 2012 </w:t>
      </w:r>
      <w:r w:rsidR="00AF57FE" w:rsidRPr="00EF4250">
        <w:rPr>
          <w:szCs w:val="20"/>
        </w:rPr>
        <w:t xml:space="preserve">and </w:t>
      </w:r>
      <w:r w:rsidR="00F85F2A" w:rsidRPr="00EF4250">
        <w:rPr>
          <w:szCs w:val="20"/>
        </w:rPr>
        <w:t>monthly incidence</w:t>
      </w:r>
      <w:r w:rsidR="00871716" w:rsidRPr="00EF4250">
        <w:rPr>
          <w:szCs w:val="20"/>
        </w:rPr>
        <w:t xml:space="preserve"> parameter</w:t>
      </w:r>
      <w:r w:rsidR="00AC647B" w:rsidRPr="00EF4250">
        <w:rPr>
          <w:szCs w:val="20"/>
        </w:rPr>
        <w:t xml:space="preserve">s for </w:t>
      </w:r>
      <w:r w:rsidR="00E41B6A" w:rsidRPr="00EF4250">
        <w:rPr>
          <w:i/>
          <w:iCs/>
          <w:szCs w:val="20"/>
        </w:rPr>
        <w:t>P</w:t>
      </w:r>
      <w:r w:rsidR="00AC647B" w:rsidRPr="00EF4250">
        <w:rPr>
          <w:i/>
          <w:iCs/>
          <w:szCs w:val="20"/>
        </w:rPr>
        <w:t xml:space="preserve">rescription </w:t>
      </w:r>
      <w:r w:rsidR="00E41B6A" w:rsidRPr="00EF4250">
        <w:rPr>
          <w:i/>
          <w:iCs/>
          <w:szCs w:val="20"/>
        </w:rPr>
        <w:t>O</w:t>
      </w:r>
      <w:r w:rsidR="00AC647B" w:rsidRPr="00EF4250">
        <w:rPr>
          <w:i/>
          <w:iCs/>
          <w:szCs w:val="20"/>
        </w:rPr>
        <w:t xml:space="preserve">pioid </w:t>
      </w:r>
      <w:r w:rsidR="00E41B6A" w:rsidRPr="00EF4250">
        <w:rPr>
          <w:i/>
          <w:iCs/>
          <w:szCs w:val="20"/>
        </w:rPr>
        <w:t>M</w:t>
      </w:r>
      <w:r w:rsidR="00AC647B" w:rsidRPr="00EF4250">
        <w:rPr>
          <w:i/>
          <w:iCs/>
          <w:szCs w:val="20"/>
        </w:rPr>
        <w:t>isuse</w:t>
      </w:r>
      <w:r w:rsidR="00AC647B" w:rsidRPr="00EF4250">
        <w:rPr>
          <w:szCs w:val="20"/>
        </w:rPr>
        <w:t xml:space="preserve"> and </w:t>
      </w:r>
      <w:r w:rsidR="00E41B6A" w:rsidRPr="00EF4250">
        <w:rPr>
          <w:i/>
          <w:iCs/>
          <w:szCs w:val="20"/>
        </w:rPr>
        <w:t>I</w:t>
      </w:r>
      <w:r w:rsidR="00AC647B" w:rsidRPr="00EF4250">
        <w:rPr>
          <w:i/>
          <w:iCs/>
          <w:szCs w:val="20"/>
        </w:rPr>
        <w:t xml:space="preserve">llicit </w:t>
      </w:r>
      <w:r w:rsidR="00E41B6A" w:rsidRPr="00EF4250">
        <w:rPr>
          <w:i/>
          <w:iCs/>
          <w:szCs w:val="20"/>
        </w:rPr>
        <w:t>O</w:t>
      </w:r>
      <w:r w:rsidR="00AC647B" w:rsidRPr="00EF4250">
        <w:rPr>
          <w:i/>
          <w:iCs/>
          <w:szCs w:val="20"/>
        </w:rPr>
        <w:t xml:space="preserve">pioid </w:t>
      </w:r>
      <w:r w:rsidR="00FC5AB6" w:rsidRPr="00EF4250">
        <w:rPr>
          <w:i/>
          <w:iCs/>
          <w:szCs w:val="20"/>
        </w:rPr>
        <w:t>U</w:t>
      </w:r>
      <w:r w:rsidR="00AC647B" w:rsidRPr="00EF4250">
        <w:rPr>
          <w:i/>
          <w:iCs/>
          <w:szCs w:val="20"/>
        </w:rPr>
        <w:t>se</w:t>
      </w:r>
      <w:r w:rsidR="00AC647B" w:rsidRPr="00EF4250">
        <w:rPr>
          <w:szCs w:val="20"/>
        </w:rPr>
        <w:t xml:space="preserve"> states</w:t>
      </w:r>
      <w:r w:rsidR="00AF57FE" w:rsidRPr="00EF4250">
        <w:rPr>
          <w:szCs w:val="20"/>
        </w:rPr>
        <w:t xml:space="preserve"> such that t</w:t>
      </w:r>
      <w:r w:rsidR="00F85F2A" w:rsidRPr="00EF4250">
        <w:rPr>
          <w:szCs w:val="20"/>
        </w:rPr>
        <w:t>he steady</w:t>
      </w:r>
      <w:r w:rsidR="00871716" w:rsidRPr="00EF4250">
        <w:rPr>
          <w:szCs w:val="20"/>
        </w:rPr>
        <w:t>-</w:t>
      </w:r>
      <w:r w:rsidR="00F85F2A" w:rsidRPr="00EF4250">
        <w:rPr>
          <w:szCs w:val="20"/>
        </w:rPr>
        <w:t>state distribution by the end of the warm-up period matche</w:t>
      </w:r>
      <w:r w:rsidR="00B66649" w:rsidRPr="00EF4250">
        <w:rPr>
          <w:szCs w:val="20"/>
        </w:rPr>
        <w:t>d</w:t>
      </w:r>
      <w:r w:rsidR="00F85F2A" w:rsidRPr="00EF4250">
        <w:rPr>
          <w:szCs w:val="20"/>
        </w:rPr>
        <w:t xml:space="preserve"> </w:t>
      </w:r>
      <w:r w:rsidR="0040725E" w:rsidRPr="00EF4250">
        <w:rPr>
          <w:szCs w:val="20"/>
        </w:rPr>
        <w:t xml:space="preserve">the </w:t>
      </w:r>
      <w:r w:rsidR="00AF57FE" w:rsidRPr="00EF4250">
        <w:rPr>
          <w:szCs w:val="20"/>
        </w:rPr>
        <w:t xml:space="preserve">prevalence </w:t>
      </w:r>
      <w:r w:rsidR="00F85F2A" w:rsidRPr="00EF4250">
        <w:rPr>
          <w:szCs w:val="20"/>
        </w:rPr>
        <w:t>estimates</w:t>
      </w:r>
      <w:r w:rsidR="0040725E" w:rsidRPr="00EF4250">
        <w:rPr>
          <w:szCs w:val="20"/>
        </w:rPr>
        <w:t xml:space="preserve"> for all health states </w:t>
      </w:r>
      <w:r w:rsidR="00FC5AB6" w:rsidRPr="00EF4250">
        <w:rPr>
          <w:szCs w:val="20"/>
        </w:rPr>
        <w:t>i</w:t>
      </w:r>
      <w:r w:rsidR="0040725E" w:rsidRPr="00EF4250">
        <w:rPr>
          <w:szCs w:val="20"/>
        </w:rPr>
        <w:t>f the year 2017</w:t>
      </w:r>
      <w:r w:rsidR="004E57EB" w:rsidRPr="00EF4250">
        <w:rPr>
          <w:szCs w:val="20"/>
        </w:rPr>
        <w:t xml:space="preserve"> for N</w:t>
      </w:r>
      <w:r w:rsidR="007E463A" w:rsidRPr="00EF4250">
        <w:rPr>
          <w:szCs w:val="20"/>
        </w:rPr>
        <w:t>ew York and Ohio communities, and 2018 for Massachusetts</w:t>
      </w:r>
      <w:r w:rsidR="00F85F2A" w:rsidRPr="00EF4250">
        <w:rPr>
          <w:color w:val="385623" w:themeColor="accent6" w:themeShade="80"/>
          <w:szCs w:val="20"/>
        </w:rPr>
        <w:t>.</w:t>
      </w:r>
    </w:p>
    <w:p w14:paraId="5D21C9AE" w14:textId="10831B16" w:rsidR="003A2711" w:rsidRPr="00D2239A" w:rsidRDefault="003A2711" w:rsidP="003A2711">
      <w:pPr>
        <w:pStyle w:val="Heading2"/>
        <w:rPr>
          <w:rFonts w:cs="Times New Roman"/>
        </w:rPr>
      </w:pPr>
      <w:bookmarkStart w:id="10" w:name="_Toc206680985"/>
      <w:bookmarkStart w:id="11" w:name="_Toc226020675"/>
      <w:bookmarkEnd w:id="8"/>
      <w:r w:rsidRPr="00D2239A">
        <w:rPr>
          <w:rFonts w:cs="Times New Roman"/>
        </w:rPr>
        <w:t>S1.1.3. State transitions and simulation events</w:t>
      </w:r>
      <w:bookmarkEnd w:id="10"/>
      <w:bookmarkEnd w:id="11"/>
      <w:r w:rsidRPr="00D2239A">
        <w:rPr>
          <w:rFonts w:cs="Times New Roman"/>
        </w:rPr>
        <w:t xml:space="preserve"> </w:t>
      </w:r>
    </w:p>
    <w:p w14:paraId="7442F857" w14:textId="378019EB" w:rsidR="003A2711" w:rsidRPr="00EF4250" w:rsidRDefault="003A2711" w:rsidP="003A2711">
      <w:pPr>
        <w:pStyle w:val="BodyText"/>
        <w:spacing w:after="0" w:line="276" w:lineRule="auto"/>
        <w:rPr>
          <w:szCs w:val="20"/>
        </w:rPr>
      </w:pPr>
      <w:r w:rsidRPr="00EF4250">
        <w:rPr>
          <w:szCs w:val="20"/>
        </w:rPr>
        <w:t xml:space="preserve">Individuals enter the model in the health state of </w:t>
      </w:r>
      <w:r w:rsidR="00F1580F" w:rsidRPr="00EF4250">
        <w:rPr>
          <w:i/>
          <w:iCs/>
          <w:szCs w:val="20"/>
        </w:rPr>
        <w:t>P</w:t>
      </w:r>
      <w:r w:rsidRPr="00EF4250">
        <w:rPr>
          <w:i/>
          <w:iCs/>
          <w:szCs w:val="20"/>
        </w:rPr>
        <w:t xml:space="preserve">rescription </w:t>
      </w:r>
      <w:r w:rsidR="00F1580F" w:rsidRPr="00EF4250">
        <w:rPr>
          <w:i/>
          <w:iCs/>
          <w:szCs w:val="20"/>
        </w:rPr>
        <w:t>O</w:t>
      </w:r>
      <w:r w:rsidRPr="00EF4250">
        <w:rPr>
          <w:i/>
          <w:iCs/>
          <w:szCs w:val="20"/>
        </w:rPr>
        <w:t xml:space="preserve">pioid </w:t>
      </w:r>
      <w:r w:rsidR="00F1580F" w:rsidRPr="00EF4250">
        <w:rPr>
          <w:i/>
          <w:iCs/>
          <w:szCs w:val="20"/>
        </w:rPr>
        <w:t>M</w:t>
      </w:r>
      <w:r w:rsidRPr="00EF4250">
        <w:rPr>
          <w:i/>
          <w:iCs/>
          <w:szCs w:val="20"/>
        </w:rPr>
        <w:t>isuse</w:t>
      </w:r>
      <w:r w:rsidRPr="00EF4250">
        <w:rPr>
          <w:szCs w:val="20"/>
        </w:rPr>
        <w:t xml:space="preserve"> or </w:t>
      </w:r>
      <w:r w:rsidR="00F1580F" w:rsidRPr="00EF4250">
        <w:rPr>
          <w:i/>
          <w:iCs/>
          <w:szCs w:val="20"/>
        </w:rPr>
        <w:t>I</w:t>
      </w:r>
      <w:r w:rsidRPr="00EF4250">
        <w:rPr>
          <w:i/>
          <w:iCs/>
          <w:szCs w:val="20"/>
        </w:rPr>
        <w:t xml:space="preserve">llicit </w:t>
      </w:r>
      <w:r w:rsidR="00F1580F" w:rsidRPr="00EF4250">
        <w:rPr>
          <w:i/>
          <w:iCs/>
          <w:szCs w:val="20"/>
        </w:rPr>
        <w:t>O</w:t>
      </w:r>
      <w:r w:rsidRPr="00EF4250">
        <w:rPr>
          <w:i/>
          <w:iCs/>
          <w:szCs w:val="20"/>
        </w:rPr>
        <w:t xml:space="preserve">pioid </w:t>
      </w:r>
      <w:r w:rsidR="00F1580F" w:rsidRPr="00EF4250">
        <w:rPr>
          <w:i/>
          <w:iCs/>
          <w:szCs w:val="20"/>
        </w:rPr>
        <w:t>U</w:t>
      </w:r>
      <w:r w:rsidRPr="00EF4250">
        <w:rPr>
          <w:i/>
          <w:iCs/>
          <w:szCs w:val="20"/>
        </w:rPr>
        <w:t xml:space="preserve">se </w:t>
      </w:r>
      <w:r w:rsidRPr="00EF4250">
        <w:rPr>
          <w:szCs w:val="20"/>
        </w:rPr>
        <w:t>(without OUD)</w:t>
      </w:r>
      <w:r w:rsidR="009D23FC" w:rsidRPr="00EF4250">
        <w:rPr>
          <w:szCs w:val="20"/>
        </w:rPr>
        <w:t xml:space="preserve"> health state</w:t>
      </w:r>
      <w:r w:rsidRPr="00EF4250">
        <w:rPr>
          <w:szCs w:val="20"/>
        </w:rPr>
        <w:t xml:space="preserve">. Individuals in the </w:t>
      </w:r>
      <w:r w:rsidR="009D23FC" w:rsidRPr="00EF4250">
        <w:rPr>
          <w:szCs w:val="20"/>
        </w:rPr>
        <w:t>P</w:t>
      </w:r>
      <w:r w:rsidRPr="00EF4250">
        <w:rPr>
          <w:i/>
          <w:iCs/>
          <w:szCs w:val="20"/>
        </w:rPr>
        <w:t xml:space="preserve">rescription </w:t>
      </w:r>
      <w:r w:rsidR="009D23FC" w:rsidRPr="00EF4250">
        <w:rPr>
          <w:i/>
          <w:iCs/>
          <w:szCs w:val="20"/>
        </w:rPr>
        <w:t>O</w:t>
      </w:r>
      <w:r w:rsidRPr="00EF4250">
        <w:rPr>
          <w:i/>
          <w:iCs/>
          <w:szCs w:val="20"/>
        </w:rPr>
        <w:t xml:space="preserve">pioid </w:t>
      </w:r>
      <w:r w:rsidR="009D23FC" w:rsidRPr="00EF4250">
        <w:rPr>
          <w:i/>
          <w:iCs/>
          <w:szCs w:val="20"/>
        </w:rPr>
        <w:t>M</w:t>
      </w:r>
      <w:r w:rsidRPr="00EF4250">
        <w:rPr>
          <w:i/>
          <w:iCs/>
          <w:szCs w:val="20"/>
        </w:rPr>
        <w:t>isuse</w:t>
      </w:r>
      <w:r w:rsidRPr="00EF4250">
        <w:rPr>
          <w:szCs w:val="20"/>
        </w:rPr>
        <w:t xml:space="preserve"> state may transition to the </w:t>
      </w:r>
      <w:r w:rsidR="009D23FC" w:rsidRPr="00EF4250">
        <w:rPr>
          <w:i/>
          <w:iCs/>
          <w:szCs w:val="20"/>
        </w:rPr>
        <w:t>I</w:t>
      </w:r>
      <w:r w:rsidRPr="00EF4250">
        <w:rPr>
          <w:i/>
          <w:iCs/>
          <w:szCs w:val="20"/>
        </w:rPr>
        <w:t xml:space="preserve">llicit </w:t>
      </w:r>
      <w:r w:rsidR="009D23FC" w:rsidRPr="00EF4250">
        <w:rPr>
          <w:i/>
          <w:iCs/>
          <w:szCs w:val="20"/>
        </w:rPr>
        <w:t>O</w:t>
      </w:r>
      <w:r w:rsidRPr="00EF4250">
        <w:rPr>
          <w:i/>
          <w:iCs/>
          <w:szCs w:val="20"/>
        </w:rPr>
        <w:t xml:space="preserve">pioid </w:t>
      </w:r>
      <w:r w:rsidR="009D23FC" w:rsidRPr="00EF4250">
        <w:rPr>
          <w:i/>
          <w:iCs/>
          <w:szCs w:val="20"/>
        </w:rPr>
        <w:t>U</w:t>
      </w:r>
      <w:r w:rsidRPr="00EF4250">
        <w:rPr>
          <w:i/>
          <w:iCs/>
          <w:szCs w:val="20"/>
        </w:rPr>
        <w:t>se</w:t>
      </w:r>
      <w:r w:rsidRPr="00EF4250">
        <w:rPr>
          <w:szCs w:val="20"/>
        </w:rPr>
        <w:t xml:space="preserve"> state but not </w:t>
      </w:r>
      <w:r w:rsidRPr="00EF4250">
        <w:rPr>
          <w:szCs w:val="20"/>
        </w:rPr>
        <w:lastRenderedPageBreak/>
        <w:t>vice versa. Individuals in either of these two health states may develop OUD, i.e., transition</w:t>
      </w:r>
      <w:r w:rsidR="0076615E" w:rsidRPr="00EF4250">
        <w:rPr>
          <w:szCs w:val="20"/>
        </w:rPr>
        <w:t xml:space="preserve"> </w:t>
      </w:r>
      <w:r w:rsidRPr="00EF4250">
        <w:rPr>
          <w:szCs w:val="20"/>
        </w:rPr>
        <w:t xml:space="preserve">to the </w:t>
      </w:r>
      <w:r w:rsidRPr="00EF4250">
        <w:rPr>
          <w:i/>
          <w:iCs/>
          <w:szCs w:val="20"/>
        </w:rPr>
        <w:t>OUD</w:t>
      </w:r>
      <w:r w:rsidRPr="00EF4250">
        <w:rPr>
          <w:szCs w:val="20"/>
        </w:rPr>
        <w:t xml:space="preserve"> </w:t>
      </w:r>
      <w:r w:rsidRPr="00EF4250">
        <w:rPr>
          <w:i/>
          <w:iCs/>
          <w:szCs w:val="20"/>
        </w:rPr>
        <w:t xml:space="preserve">without MOUD </w:t>
      </w:r>
      <w:r w:rsidR="0074542E" w:rsidRPr="00EF4250">
        <w:rPr>
          <w:i/>
          <w:iCs/>
          <w:szCs w:val="20"/>
        </w:rPr>
        <w:t>T</w:t>
      </w:r>
      <w:r w:rsidRPr="00EF4250">
        <w:rPr>
          <w:i/>
          <w:iCs/>
          <w:szCs w:val="20"/>
        </w:rPr>
        <w:t xml:space="preserve">reatment </w:t>
      </w:r>
      <w:r w:rsidRPr="00EF4250">
        <w:rPr>
          <w:szCs w:val="20"/>
        </w:rPr>
        <w:t xml:space="preserve">state. From the </w:t>
      </w:r>
      <w:r w:rsidRPr="00EF4250">
        <w:rPr>
          <w:i/>
          <w:iCs/>
          <w:szCs w:val="20"/>
        </w:rPr>
        <w:t>OUD</w:t>
      </w:r>
      <w:r w:rsidRPr="00EF4250">
        <w:rPr>
          <w:szCs w:val="20"/>
        </w:rPr>
        <w:t xml:space="preserve"> </w:t>
      </w:r>
      <w:r w:rsidRPr="00EF4250">
        <w:rPr>
          <w:i/>
          <w:iCs/>
          <w:szCs w:val="20"/>
        </w:rPr>
        <w:t xml:space="preserve">without MOUD </w:t>
      </w:r>
      <w:r w:rsidRPr="00EF4250">
        <w:rPr>
          <w:szCs w:val="20"/>
        </w:rPr>
        <w:t xml:space="preserve">state, individuals may initiate treatment and transition to the </w:t>
      </w:r>
      <w:r w:rsidRPr="00EF4250">
        <w:rPr>
          <w:i/>
          <w:iCs/>
          <w:szCs w:val="20"/>
        </w:rPr>
        <w:t>MOUD</w:t>
      </w:r>
      <w:r w:rsidRPr="00EF4250">
        <w:rPr>
          <w:szCs w:val="20"/>
        </w:rPr>
        <w:t xml:space="preserve"> state, or recover without use of MOUD, transitioning to the </w:t>
      </w:r>
      <w:r w:rsidR="000B483E" w:rsidRPr="00EF4250">
        <w:rPr>
          <w:i/>
          <w:iCs/>
          <w:szCs w:val="20"/>
        </w:rPr>
        <w:t>R</w:t>
      </w:r>
      <w:r w:rsidRPr="00EF4250">
        <w:rPr>
          <w:i/>
          <w:iCs/>
          <w:szCs w:val="20"/>
        </w:rPr>
        <w:t>ecovery</w:t>
      </w:r>
      <w:r w:rsidRPr="00EF4250">
        <w:rPr>
          <w:szCs w:val="20"/>
        </w:rPr>
        <w:t xml:space="preserve"> state directly. Individuals in the </w:t>
      </w:r>
      <w:r w:rsidRPr="00EF4250">
        <w:rPr>
          <w:i/>
          <w:iCs/>
          <w:szCs w:val="20"/>
        </w:rPr>
        <w:t>MOUD</w:t>
      </w:r>
      <w:r w:rsidRPr="00EF4250">
        <w:rPr>
          <w:szCs w:val="20"/>
        </w:rPr>
        <w:t xml:space="preserve"> state may discontinue treatment, with the discontinuation rate dependent on the type of MOUD treatment and the number of previous treatment episodes (see </w:t>
      </w:r>
      <w:r w:rsidRPr="00EF4250">
        <w:rPr>
          <w:b/>
          <w:bCs/>
          <w:szCs w:val="20"/>
        </w:rPr>
        <w:t>Supplement S1.3</w:t>
      </w:r>
      <w:r w:rsidRPr="00EF4250">
        <w:rPr>
          <w:szCs w:val="20"/>
        </w:rPr>
        <w:t xml:space="preserve"> for more details). Upon discontinuing MOUD treatment, the individual may either relapse (i.e., transition back to the </w:t>
      </w:r>
      <w:r w:rsidRPr="00EF4250">
        <w:rPr>
          <w:i/>
          <w:iCs/>
          <w:szCs w:val="20"/>
        </w:rPr>
        <w:t xml:space="preserve">OUD without </w:t>
      </w:r>
      <w:r w:rsidR="00E60887" w:rsidRPr="00EF4250">
        <w:rPr>
          <w:i/>
          <w:iCs/>
          <w:szCs w:val="20"/>
        </w:rPr>
        <w:t>T</w:t>
      </w:r>
      <w:r w:rsidRPr="00EF4250">
        <w:rPr>
          <w:i/>
          <w:iCs/>
          <w:szCs w:val="20"/>
        </w:rPr>
        <w:t>reatment</w:t>
      </w:r>
      <w:r w:rsidRPr="00EF4250">
        <w:rPr>
          <w:szCs w:val="20"/>
        </w:rPr>
        <w:t xml:space="preserve"> state) or recover (i.e., transition to the </w:t>
      </w:r>
      <w:r w:rsidR="004C4D9A" w:rsidRPr="00EF4250">
        <w:rPr>
          <w:i/>
          <w:iCs/>
          <w:szCs w:val="20"/>
        </w:rPr>
        <w:t>R</w:t>
      </w:r>
      <w:r w:rsidRPr="00EF4250">
        <w:rPr>
          <w:i/>
          <w:iCs/>
          <w:szCs w:val="20"/>
        </w:rPr>
        <w:t xml:space="preserve">ecovery </w:t>
      </w:r>
      <w:r w:rsidRPr="00EF4250">
        <w:rPr>
          <w:szCs w:val="20"/>
        </w:rPr>
        <w:t xml:space="preserve">state). Individuals in the </w:t>
      </w:r>
      <w:r w:rsidRPr="00EF4250">
        <w:rPr>
          <w:i/>
          <w:iCs/>
          <w:szCs w:val="20"/>
        </w:rPr>
        <w:t>recovery state</w:t>
      </w:r>
      <w:r w:rsidRPr="00EF4250">
        <w:rPr>
          <w:szCs w:val="20"/>
        </w:rPr>
        <w:t xml:space="preserve"> may also relapse </w:t>
      </w:r>
      <w:r w:rsidR="009D5CFD" w:rsidRPr="00EF4250">
        <w:rPr>
          <w:szCs w:val="20"/>
        </w:rPr>
        <w:t xml:space="preserve">and </w:t>
      </w:r>
      <w:r w:rsidRPr="00EF4250">
        <w:rPr>
          <w:szCs w:val="20"/>
        </w:rPr>
        <w:t>transition</w:t>
      </w:r>
      <w:r w:rsidR="00A52A73" w:rsidRPr="00EF4250">
        <w:rPr>
          <w:szCs w:val="20"/>
        </w:rPr>
        <w:t xml:space="preserve"> </w:t>
      </w:r>
      <w:r w:rsidRPr="00EF4250">
        <w:rPr>
          <w:szCs w:val="20"/>
        </w:rPr>
        <w:t xml:space="preserve">to the </w:t>
      </w:r>
      <w:r w:rsidRPr="00EF4250">
        <w:rPr>
          <w:i/>
          <w:iCs/>
          <w:szCs w:val="20"/>
        </w:rPr>
        <w:t xml:space="preserve">OUD without </w:t>
      </w:r>
      <w:r w:rsidR="0076615E" w:rsidRPr="00EF4250">
        <w:rPr>
          <w:i/>
          <w:iCs/>
          <w:szCs w:val="20"/>
        </w:rPr>
        <w:t>t</w:t>
      </w:r>
      <w:r w:rsidRPr="00EF4250">
        <w:rPr>
          <w:i/>
          <w:iCs/>
          <w:szCs w:val="20"/>
        </w:rPr>
        <w:t xml:space="preserve">reatment </w:t>
      </w:r>
      <w:r w:rsidRPr="00EF4250">
        <w:rPr>
          <w:szCs w:val="20"/>
        </w:rPr>
        <w:t xml:space="preserve">state. In all health states except the </w:t>
      </w:r>
      <w:r w:rsidR="004C4D9A" w:rsidRPr="00EF4250">
        <w:rPr>
          <w:i/>
          <w:iCs/>
          <w:szCs w:val="20"/>
        </w:rPr>
        <w:t>R</w:t>
      </w:r>
      <w:r w:rsidRPr="00EF4250">
        <w:rPr>
          <w:i/>
          <w:iCs/>
          <w:szCs w:val="20"/>
        </w:rPr>
        <w:t>ecovery</w:t>
      </w:r>
      <w:r w:rsidRPr="00EF4250">
        <w:rPr>
          <w:szCs w:val="20"/>
        </w:rPr>
        <w:t xml:space="preserve"> state, individuals may overdose and die with the overdose mortality rate dependent on the individual’s current health state as well as history, such as the time since the most recent relapse or the duration of the current MOUD treatment</w:t>
      </w:r>
      <w:r w:rsidR="0076615E" w:rsidRPr="00EF4250">
        <w:rPr>
          <w:szCs w:val="20"/>
        </w:rPr>
        <w:t xml:space="preserve"> episode</w:t>
      </w:r>
      <w:r w:rsidRPr="00EF4250">
        <w:rPr>
          <w:szCs w:val="20"/>
        </w:rPr>
        <w:t xml:space="preserve">. Finally, individuals are subject to two </w:t>
      </w:r>
      <w:r w:rsidR="0076615E" w:rsidRPr="00EF4250">
        <w:rPr>
          <w:szCs w:val="20"/>
        </w:rPr>
        <w:t>other</w:t>
      </w:r>
      <w:r w:rsidRPr="00EF4250">
        <w:rPr>
          <w:szCs w:val="20"/>
        </w:rPr>
        <w:t xml:space="preserve"> types of mortality: opioid-related non-overdose mortality and other-cause mortality (</w:t>
      </w:r>
      <w:r w:rsidRPr="00EF4250">
        <w:rPr>
          <w:b/>
          <w:bCs/>
          <w:szCs w:val="20"/>
        </w:rPr>
        <w:t>Supplement S1.4</w:t>
      </w:r>
      <w:r w:rsidRPr="00EF4250">
        <w:rPr>
          <w:szCs w:val="20"/>
        </w:rPr>
        <w:t>). The model captures the effect of naloxone on reducing the fatality of overdoses through the overall number of naloxone kits circulating in the community.</w:t>
      </w:r>
    </w:p>
    <w:p w14:paraId="483E2388" w14:textId="77777777" w:rsidR="003A2711" w:rsidRPr="00EF4250" w:rsidRDefault="003A2711" w:rsidP="003A2711">
      <w:pPr>
        <w:pStyle w:val="BodyText"/>
        <w:spacing w:after="0" w:line="276" w:lineRule="auto"/>
        <w:rPr>
          <w:color w:val="385623" w:themeColor="accent6" w:themeShade="80"/>
          <w:szCs w:val="20"/>
        </w:rPr>
      </w:pPr>
    </w:p>
    <w:p w14:paraId="12E5F10D" w14:textId="77777777" w:rsidR="003A2711" w:rsidRPr="00EF4250" w:rsidRDefault="003A2711" w:rsidP="003A2711">
      <w:pPr>
        <w:pStyle w:val="BodyText"/>
        <w:spacing w:after="0" w:line="276" w:lineRule="auto"/>
        <w:rPr>
          <w:szCs w:val="20"/>
        </w:rPr>
      </w:pPr>
      <w:r w:rsidRPr="00EF4250">
        <w:rPr>
          <w:szCs w:val="20"/>
        </w:rPr>
        <w:t>The simulation model has a cycle length of one month. That is, individuals can transition to a new health state on a monthly basis. In each model cycle, the following events are simulated sequentially:</w:t>
      </w:r>
    </w:p>
    <w:p w14:paraId="1A5D2EA1" w14:textId="07C98C47" w:rsidR="003A2711" w:rsidRPr="00EF4250" w:rsidRDefault="0076615E" w:rsidP="003A2711">
      <w:pPr>
        <w:pStyle w:val="ListNumber"/>
        <w:numPr>
          <w:ilvl w:val="6"/>
          <w:numId w:val="9"/>
        </w:numPr>
        <w:spacing w:after="0" w:line="276" w:lineRule="auto"/>
        <w:rPr>
          <w:rFonts w:ascii="Times New Roman" w:hAnsi="Times New Roman"/>
          <w:szCs w:val="20"/>
        </w:rPr>
      </w:pPr>
      <w:r w:rsidRPr="00EF4250">
        <w:rPr>
          <w:rFonts w:ascii="Times New Roman" w:hAnsi="Times New Roman"/>
          <w:szCs w:val="20"/>
        </w:rPr>
        <w:t xml:space="preserve">Simulate each individual’s </w:t>
      </w:r>
      <w:r w:rsidR="003A2711" w:rsidRPr="00EF4250">
        <w:rPr>
          <w:rFonts w:ascii="Times New Roman" w:hAnsi="Times New Roman"/>
          <w:szCs w:val="20"/>
        </w:rPr>
        <w:t xml:space="preserve">transition </w:t>
      </w:r>
      <w:r w:rsidRPr="00EF4250">
        <w:rPr>
          <w:rFonts w:ascii="Times New Roman" w:hAnsi="Times New Roman"/>
          <w:szCs w:val="20"/>
        </w:rPr>
        <w:t xml:space="preserve">between </w:t>
      </w:r>
      <w:r w:rsidR="003A2711" w:rsidRPr="00EF4250">
        <w:rPr>
          <w:rFonts w:ascii="Times New Roman" w:hAnsi="Times New Roman"/>
          <w:szCs w:val="20"/>
        </w:rPr>
        <w:t xml:space="preserve">health states following the transition probabilities. </w:t>
      </w:r>
      <w:r w:rsidR="009D5CFD" w:rsidRPr="00EF4250">
        <w:rPr>
          <w:rFonts w:ascii="Times New Roman" w:hAnsi="Times New Roman"/>
          <w:szCs w:val="20"/>
        </w:rPr>
        <w:t>I</w:t>
      </w:r>
      <w:r w:rsidR="003A2711" w:rsidRPr="00EF4250">
        <w:rPr>
          <w:rFonts w:ascii="Times New Roman" w:hAnsi="Times New Roman"/>
          <w:szCs w:val="20"/>
        </w:rPr>
        <w:t>ndividual attributes are updated.</w:t>
      </w:r>
    </w:p>
    <w:p w14:paraId="03D2A518" w14:textId="29F38A7A" w:rsidR="003A2711" w:rsidRPr="00EF4250" w:rsidRDefault="003A2711" w:rsidP="003A2711">
      <w:pPr>
        <w:pStyle w:val="ListNumber"/>
        <w:numPr>
          <w:ilvl w:val="6"/>
          <w:numId w:val="9"/>
        </w:numPr>
        <w:spacing w:after="0" w:line="276" w:lineRule="auto"/>
        <w:rPr>
          <w:rFonts w:ascii="Times New Roman" w:hAnsi="Times New Roman"/>
          <w:szCs w:val="20"/>
        </w:rPr>
      </w:pPr>
      <w:r w:rsidRPr="00EF4250">
        <w:rPr>
          <w:rFonts w:ascii="Times New Roman" w:hAnsi="Times New Roman"/>
          <w:szCs w:val="20"/>
        </w:rPr>
        <w:t>Simulate overdose event and overdose death outcomes for all individual</w:t>
      </w:r>
      <w:r w:rsidR="00C2708B" w:rsidRPr="00EF4250">
        <w:rPr>
          <w:rFonts w:ascii="Times New Roman" w:hAnsi="Times New Roman"/>
          <w:szCs w:val="20"/>
        </w:rPr>
        <w:t>s</w:t>
      </w:r>
      <w:r w:rsidRPr="00EF4250">
        <w:rPr>
          <w:rFonts w:ascii="Times New Roman" w:hAnsi="Times New Roman"/>
          <w:szCs w:val="20"/>
        </w:rPr>
        <w:t xml:space="preserve"> except those in the </w:t>
      </w:r>
      <w:r w:rsidR="00310246" w:rsidRPr="00EF4250">
        <w:rPr>
          <w:rFonts w:ascii="Times New Roman" w:hAnsi="Times New Roman"/>
          <w:i/>
          <w:iCs/>
          <w:szCs w:val="20"/>
        </w:rPr>
        <w:t>R</w:t>
      </w:r>
      <w:r w:rsidRPr="00EF4250">
        <w:rPr>
          <w:rFonts w:ascii="Times New Roman" w:hAnsi="Times New Roman"/>
          <w:i/>
          <w:iCs/>
          <w:szCs w:val="20"/>
        </w:rPr>
        <w:t xml:space="preserve">ecovery </w:t>
      </w:r>
      <w:r w:rsidRPr="00EF4250">
        <w:rPr>
          <w:rFonts w:ascii="Times New Roman" w:hAnsi="Times New Roman"/>
          <w:szCs w:val="20"/>
        </w:rPr>
        <w:t>state, following a probabilistic overdose pathway (</w:t>
      </w:r>
      <w:r w:rsidR="00626C29" w:rsidRPr="00626C29">
        <w:rPr>
          <w:rFonts w:ascii="Times New Roman" w:hAnsi="Times New Roman"/>
          <w:b/>
          <w:bCs/>
          <w:szCs w:val="20"/>
        </w:rPr>
        <w:t xml:space="preserve">Supplementary </w:t>
      </w:r>
      <w:r w:rsidRPr="00257B18">
        <w:rPr>
          <w:rFonts w:ascii="Times New Roman" w:hAnsi="Times New Roman"/>
          <w:b/>
          <w:bCs/>
          <w:szCs w:val="20"/>
        </w:rPr>
        <w:t xml:space="preserve">Figure </w:t>
      </w:r>
      <w:r w:rsidR="00257B18" w:rsidRPr="00257B18">
        <w:rPr>
          <w:rFonts w:ascii="Times New Roman" w:hAnsi="Times New Roman"/>
          <w:b/>
          <w:bCs/>
          <w:szCs w:val="20"/>
        </w:rPr>
        <w:t>1</w:t>
      </w:r>
      <w:r w:rsidR="00C13D2F">
        <w:rPr>
          <w:rFonts w:ascii="Times New Roman" w:hAnsi="Times New Roman"/>
          <w:szCs w:val="20"/>
        </w:rPr>
        <w:t>)</w:t>
      </w:r>
    </w:p>
    <w:p w14:paraId="43142B96" w14:textId="77777777" w:rsidR="003A2711" w:rsidRPr="00EF4250" w:rsidRDefault="003A2711" w:rsidP="003A2711">
      <w:pPr>
        <w:pStyle w:val="ListNumber"/>
        <w:numPr>
          <w:ilvl w:val="6"/>
          <w:numId w:val="9"/>
        </w:numPr>
        <w:spacing w:after="0" w:line="276" w:lineRule="auto"/>
        <w:rPr>
          <w:rFonts w:ascii="Times New Roman" w:hAnsi="Times New Roman"/>
          <w:szCs w:val="20"/>
        </w:rPr>
      </w:pPr>
      <w:r w:rsidRPr="00EF4250">
        <w:rPr>
          <w:rFonts w:ascii="Times New Roman" w:hAnsi="Times New Roman"/>
          <w:szCs w:val="20"/>
        </w:rPr>
        <w:t>If an individual does not experience an overdose or if the overdose is nonfatal, determine the individual’s death outcome subject to opioid-related non-overdose mortality and other-cause mortality.</w:t>
      </w:r>
    </w:p>
    <w:p w14:paraId="77D8F739" w14:textId="432B086E" w:rsidR="003A2711" w:rsidRPr="00EF4250" w:rsidRDefault="0076615E" w:rsidP="003A2711">
      <w:pPr>
        <w:pStyle w:val="ListNumber"/>
        <w:numPr>
          <w:ilvl w:val="6"/>
          <w:numId w:val="9"/>
        </w:numPr>
        <w:spacing w:after="0" w:line="276" w:lineRule="auto"/>
        <w:rPr>
          <w:rFonts w:ascii="Times New Roman" w:hAnsi="Times New Roman"/>
          <w:szCs w:val="20"/>
        </w:rPr>
      </w:pPr>
      <w:r w:rsidRPr="00EF4250">
        <w:rPr>
          <w:rFonts w:ascii="Times New Roman" w:hAnsi="Times New Roman"/>
          <w:szCs w:val="20"/>
        </w:rPr>
        <w:t xml:space="preserve">If an individual survives </w:t>
      </w:r>
      <w:r w:rsidR="003A2711" w:rsidRPr="00EF4250">
        <w:rPr>
          <w:rFonts w:ascii="Times New Roman" w:hAnsi="Times New Roman"/>
          <w:szCs w:val="20"/>
        </w:rPr>
        <w:t>the current model cycle</w:t>
      </w:r>
      <w:r w:rsidRPr="00EF4250">
        <w:rPr>
          <w:rFonts w:ascii="Times New Roman" w:hAnsi="Times New Roman"/>
          <w:szCs w:val="20"/>
        </w:rPr>
        <w:t>,</w:t>
      </w:r>
      <w:r w:rsidR="003A2711" w:rsidRPr="00EF4250">
        <w:rPr>
          <w:rFonts w:ascii="Times New Roman" w:hAnsi="Times New Roman"/>
          <w:szCs w:val="20"/>
        </w:rPr>
        <w:t xml:space="preserve"> proceed to the next cycle.</w:t>
      </w:r>
    </w:p>
    <w:p w14:paraId="59914ED3" w14:textId="708B11E5" w:rsidR="003A2711" w:rsidRDefault="0076615E" w:rsidP="003A2711">
      <w:pPr>
        <w:pStyle w:val="ListNumber"/>
        <w:numPr>
          <w:ilvl w:val="6"/>
          <w:numId w:val="9"/>
        </w:numPr>
        <w:spacing w:after="0" w:line="276" w:lineRule="auto"/>
        <w:rPr>
          <w:rFonts w:ascii="Times New Roman" w:hAnsi="Times New Roman"/>
          <w:szCs w:val="20"/>
        </w:rPr>
      </w:pPr>
      <w:r w:rsidRPr="00EF4250">
        <w:rPr>
          <w:rFonts w:ascii="Times New Roman" w:hAnsi="Times New Roman"/>
          <w:szCs w:val="20"/>
        </w:rPr>
        <w:t>Create n</w:t>
      </w:r>
      <w:r w:rsidR="003A2711" w:rsidRPr="00EF4250">
        <w:rPr>
          <w:rFonts w:ascii="Times New Roman" w:hAnsi="Times New Roman"/>
          <w:szCs w:val="20"/>
        </w:rPr>
        <w:t>ew</w:t>
      </w:r>
      <w:r w:rsidR="003A2711" w:rsidRPr="00EF4250">
        <w:rPr>
          <w:rFonts w:ascii="Times New Roman" w:hAnsi="Times New Roman"/>
          <w:b/>
          <w:bCs/>
          <w:szCs w:val="20"/>
        </w:rPr>
        <w:t xml:space="preserve"> </w:t>
      </w:r>
      <w:r w:rsidR="003A2711" w:rsidRPr="00EF4250">
        <w:rPr>
          <w:rFonts w:ascii="Times New Roman" w:hAnsi="Times New Roman"/>
          <w:szCs w:val="20"/>
        </w:rPr>
        <w:t xml:space="preserve">individuals entering the model from the </w:t>
      </w:r>
      <w:r w:rsidR="00A145D7" w:rsidRPr="00EF4250">
        <w:rPr>
          <w:rFonts w:ascii="Times New Roman" w:hAnsi="Times New Roman"/>
          <w:i/>
          <w:iCs/>
          <w:szCs w:val="20"/>
        </w:rPr>
        <w:t>P</w:t>
      </w:r>
      <w:r w:rsidR="003A2711" w:rsidRPr="00EF4250">
        <w:rPr>
          <w:rFonts w:ascii="Times New Roman" w:hAnsi="Times New Roman"/>
          <w:i/>
          <w:iCs/>
          <w:szCs w:val="20"/>
        </w:rPr>
        <w:t xml:space="preserve">rescription </w:t>
      </w:r>
      <w:r w:rsidR="00A145D7" w:rsidRPr="00EF4250">
        <w:rPr>
          <w:rFonts w:ascii="Times New Roman" w:hAnsi="Times New Roman"/>
          <w:i/>
          <w:iCs/>
          <w:szCs w:val="20"/>
        </w:rPr>
        <w:t>O</w:t>
      </w:r>
      <w:r w:rsidR="003A2711" w:rsidRPr="00EF4250">
        <w:rPr>
          <w:rFonts w:ascii="Times New Roman" w:hAnsi="Times New Roman"/>
          <w:i/>
          <w:iCs/>
          <w:szCs w:val="20"/>
        </w:rPr>
        <w:t xml:space="preserve">pioid </w:t>
      </w:r>
      <w:r w:rsidR="00A145D7" w:rsidRPr="00EF4250">
        <w:rPr>
          <w:rFonts w:ascii="Times New Roman" w:hAnsi="Times New Roman"/>
          <w:i/>
          <w:iCs/>
          <w:szCs w:val="20"/>
        </w:rPr>
        <w:t>M</w:t>
      </w:r>
      <w:r w:rsidR="003A2711" w:rsidRPr="00EF4250">
        <w:rPr>
          <w:rFonts w:ascii="Times New Roman" w:hAnsi="Times New Roman"/>
          <w:i/>
          <w:iCs/>
          <w:szCs w:val="20"/>
        </w:rPr>
        <w:t>isuse</w:t>
      </w:r>
      <w:r w:rsidR="003A2711" w:rsidRPr="00EF4250">
        <w:rPr>
          <w:rFonts w:ascii="Times New Roman" w:hAnsi="Times New Roman"/>
          <w:szCs w:val="20"/>
        </w:rPr>
        <w:t xml:space="preserve"> and </w:t>
      </w:r>
      <w:r w:rsidR="00A145D7" w:rsidRPr="00EF4250">
        <w:rPr>
          <w:rFonts w:ascii="Times New Roman" w:hAnsi="Times New Roman"/>
          <w:i/>
          <w:iCs/>
          <w:szCs w:val="20"/>
        </w:rPr>
        <w:t>I</w:t>
      </w:r>
      <w:r w:rsidR="003A2711" w:rsidRPr="00EF4250">
        <w:rPr>
          <w:rFonts w:ascii="Times New Roman" w:hAnsi="Times New Roman"/>
          <w:i/>
          <w:iCs/>
          <w:szCs w:val="20"/>
        </w:rPr>
        <w:t xml:space="preserve">llicit </w:t>
      </w:r>
      <w:r w:rsidR="00A145D7" w:rsidRPr="00EF4250">
        <w:rPr>
          <w:rFonts w:ascii="Times New Roman" w:hAnsi="Times New Roman"/>
          <w:i/>
          <w:iCs/>
          <w:szCs w:val="20"/>
        </w:rPr>
        <w:t>O</w:t>
      </w:r>
      <w:r w:rsidR="003A2711" w:rsidRPr="00EF4250">
        <w:rPr>
          <w:rFonts w:ascii="Times New Roman" w:hAnsi="Times New Roman"/>
          <w:i/>
          <w:iCs/>
          <w:szCs w:val="20"/>
        </w:rPr>
        <w:t xml:space="preserve">pioid </w:t>
      </w:r>
      <w:r w:rsidR="00A145D7" w:rsidRPr="00EF4250">
        <w:rPr>
          <w:rFonts w:ascii="Times New Roman" w:hAnsi="Times New Roman"/>
          <w:i/>
          <w:iCs/>
          <w:szCs w:val="20"/>
        </w:rPr>
        <w:t>U</w:t>
      </w:r>
      <w:r w:rsidR="003A2711" w:rsidRPr="00EF4250">
        <w:rPr>
          <w:rFonts w:ascii="Times New Roman" w:hAnsi="Times New Roman"/>
          <w:i/>
          <w:iCs/>
          <w:szCs w:val="20"/>
        </w:rPr>
        <w:t xml:space="preserve">se </w:t>
      </w:r>
      <w:r w:rsidR="003A2711" w:rsidRPr="00EF4250">
        <w:rPr>
          <w:rFonts w:ascii="Times New Roman" w:hAnsi="Times New Roman"/>
          <w:szCs w:val="20"/>
        </w:rPr>
        <w:t>states. Their health state remains unchanged until the next model cycle.</w:t>
      </w:r>
    </w:p>
    <w:p w14:paraId="39B9F6B3" w14:textId="084A5ABB" w:rsidR="005135AC" w:rsidRDefault="005135AC" w:rsidP="006B4824">
      <w:pPr>
        <w:pStyle w:val="ListNumber"/>
        <w:spacing w:after="0" w:line="276" w:lineRule="auto"/>
        <w:rPr>
          <w:rFonts w:ascii="Times New Roman" w:hAnsi="Times New Roman"/>
          <w:szCs w:val="20"/>
        </w:rPr>
      </w:pPr>
      <w:r>
        <w:rPr>
          <w:rFonts w:ascii="Times New Roman" w:hAnsi="Times New Roman"/>
          <w:szCs w:val="20"/>
        </w:rPr>
        <w:br w:type="page"/>
      </w:r>
    </w:p>
    <w:p w14:paraId="63E821D1" w14:textId="77777777" w:rsidR="006B4824" w:rsidRPr="00DB0ADB" w:rsidRDefault="006B4824" w:rsidP="006B4824">
      <w:pPr>
        <w:spacing w:after="0" w:line="240" w:lineRule="auto"/>
        <w:rPr>
          <w:rFonts w:ascii="Arial" w:eastAsia="SimSun" w:hAnsi="Arial" w:cs="Arial"/>
          <w:kern w:val="0"/>
          <w:sz w:val="22"/>
          <w:szCs w:val="22"/>
          <w14:ligatures w14:val="none"/>
        </w:rPr>
      </w:pPr>
      <w:r w:rsidRPr="00DB0ADB">
        <w:rPr>
          <w:rFonts w:ascii="Arial" w:eastAsia="SimSun" w:hAnsi="Arial" w:cs="Arial"/>
          <w:b/>
          <w:bCs/>
          <w:noProof/>
          <w:kern w:val="0"/>
          <w:sz w:val="22"/>
          <w:szCs w:val="22"/>
          <w14:ligatures w14:val="none"/>
        </w:rPr>
        <w:lastRenderedPageBreak/>
        <w:drawing>
          <wp:inline distT="0" distB="0" distL="0" distR="0" wp14:anchorId="78716B88" wp14:editId="5C6A84C9">
            <wp:extent cx="5943600" cy="1742440"/>
            <wp:effectExtent l="0" t="0" r="0" b="0"/>
            <wp:docPr id="435377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742440"/>
                    </a:xfrm>
                    <a:prstGeom prst="rect">
                      <a:avLst/>
                    </a:prstGeom>
                    <a:noFill/>
                  </pic:spPr>
                </pic:pic>
              </a:graphicData>
            </a:graphic>
          </wp:inline>
        </w:drawing>
      </w:r>
    </w:p>
    <w:p w14:paraId="5B662C6F" w14:textId="77777777" w:rsidR="006B4824" w:rsidRPr="00DB0ADB" w:rsidRDefault="006B4824" w:rsidP="006B4824">
      <w:pPr>
        <w:spacing w:after="0" w:line="240" w:lineRule="auto"/>
        <w:contextualSpacing/>
        <w:rPr>
          <w:rFonts w:ascii="Arial" w:eastAsia="SimSun" w:hAnsi="Arial" w:cs="Arial"/>
          <w:i/>
          <w:iCs/>
          <w:kern w:val="0"/>
          <w:szCs w:val="20"/>
          <w14:ligatures w14:val="none"/>
        </w:rPr>
      </w:pPr>
      <w:r w:rsidRPr="00DB0ADB">
        <w:rPr>
          <w:rFonts w:ascii="Arial" w:eastAsia="SimSun" w:hAnsi="Arial" w:cs="Arial"/>
          <w:i/>
          <w:iCs/>
          <w:noProof/>
          <w:kern w:val="0"/>
          <w:szCs w:val="20"/>
          <w14:ligatures w14:val="none"/>
        </w:rPr>
        <w:drawing>
          <wp:inline distT="0" distB="0" distL="0" distR="0" wp14:anchorId="0D51AB70" wp14:editId="112AA954">
            <wp:extent cx="5944235" cy="2542540"/>
            <wp:effectExtent l="0" t="0" r="0" b="0"/>
            <wp:docPr id="15674519" name="Picture 1567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2542540"/>
                    </a:xfrm>
                    <a:prstGeom prst="rect">
                      <a:avLst/>
                    </a:prstGeom>
                    <a:noFill/>
                  </pic:spPr>
                </pic:pic>
              </a:graphicData>
            </a:graphic>
          </wp:inline>
        </w:drawing>
      </w:r>
    </w:p>
    <w:p w14:paraId="48181DE6" w14:textId="4396B7F6" w:rsidR="005135AC" w:rsidRPr="005135AC" w:rsidRDefault="00626C29" w:rsidP="005135AC">
      <w:pPr>
        <w:spacing w:after="0" w:line="276" w:lineRule="auto"/>
        <w:rPr>
          <w:rFonts w:cs="Times New Roman"/>
          <w:szCs w:val="20"/>
        </w:rPr>
      </w:pPr>
      <w:r>
        <w:rPr>
          <w:rFonts w:eastAsia="SimSun" w:cs="Times New Roman"/>
          <w:b/>
          <w:bCs/>
          <w:kern w:val="0"/>
          <w:szCs w:val="20"/>
          <w14:ligatures w14:val="none"/>
        </w:rPr>
        <w:t xml:space="preserve">Supplementary </w:t>
      </w:r>
      <w:r w:rsidR="005135AC" w:rsidRPr="005135AC">
        <w:rPr>
          <w:rFonts w:eastAsia="SimSun" w:cs="Times New Roman"/>
          <w:b/>
          <w:bCs/>
          <w:kern w:val="0"/>
          <w:szCs w:val="20"/>
          <w14:ligatures w14:val="none"/>
        </w:rPr>
        <w:t>Figure 1.</w:t>
      </w:r>
      <w:r w:rsidR="005135AC" w:rsidRPr="005135AC">
        <w:rPr>
          <w:rFonts w:eastAsia="SimSun" w:cs="Times New Roman"/>
          <w:kern w:val="0"/>
          <w:szCs w:val="20"/>
          <w14:ligatures w14:val="none"/>
        </w:rPr>
        <w:t xml:space="preserve"> Model schematic of the Opioid Policy Simulation Model (OPSiM) showing transitions between different health states and overdose pathways.</w:t>
      </w:r>
    </w:p>
    <w:p w14:paraId="5B6E4110" w14:textId="77777777" w:rsidR="009C3348" w:rsidRDefault="006B4824" w:rsidP="006B4824">
      <w:pPr>
        <w:spacing w:after="0" w:line="240" w:lineRule="auto"/>
        <w:contextualSpacing/>
        <w:rPr>
          <w:rFonts w:eastAsia="SimSun" w:cs="Times New Roman"/>
          <w:i/>
          <w:iCs/>
          <w:kern w:val="0"/>
          <w:szCs w:val="20"/>
          <w14:ligatures w14:val="none"/>
        </w:rPr>
      </w:pPr>
      <w:r w:rsidRPr="0002535B">
        <w:rPr>
          <w:rFonts w:eastAsia="SimSun" w:cs="Times New Roman"/>
          <w:i/>
          <w:iCs/>
          <w:kern w:val="0"/>
          <w:szCs w:val="20"/>
          <w14:ligatures w14:val="none"/>
        </w:rPr>
        <w:t>Abbreviations: OUD, opioid use disorder; MOUD, medication for opioid use disorder; Rx, prescription.</w:t>
      </w:r>
    </w:p>
    <w:p w14:paraId="79C39289" w14:textId="670F9259" w:rsidR="006B4824" w:rsidRPr="0002535B" w:rsidRDefault="006B4824" w:rsidP="006B4824">
      <w:pPr>
        <w:spacing w:after="0" w:line="240" w:lineRule="auto"/>
        <w:contextualSpacing/>
        <w:rPr>
          <w:rFonts w:eastAsia="SimSun" w:cs="Times New Roman"/>
          <w:kern w:val="0"/>
          <w:szCs w:val="20"/>
          <w14:ligatures w14:val="none"/>
        </w:rPr>
      </w:pPr>
      <w:r w:rsidRPr="0002535B">
        <w:rPr>
          <w:rFonts w:eastAsia="SimSun" w:cs="Times New Roman"/>
          <w:kern w:val="0"/>
          <w:szCs w:val="20"/>
          <w14:ligatures w14:val="none"/>
        </w:rPr>
        <w:t>Note: Opioid overdose death is possible from all states except ‘recovery’. Opioid-related non-overdose death is possible from all states except ‘prescription opioid misuse without OUD’ and ‘recovery’. Other-cause death is possible from all states. Opioid-related non-overdose death, other-cause death, and self-transitions are not shown</w:t>
      </w:r>
      <w:r w:rsidRPr="0002535B">
        <w:rPr>
          <w:rFonts w:eastAsia="SimSun" w:cs="Times New Roman"/>
          <w:i/>
          <w:iCs/>
          <w:kern w:val="0"/>
          <w:szCs w:val="20"/>
          <w14:ligatures w14:val="none"/>
        </w:rPr>
        <w:t>.</w:t>
      </w:r>
    </w:p>
    <w:p w14:paraId="52495CCF" w14:textId="77777777" w:rsidR="006B4824" w:rsidRPr="00EF4250" w:rsidRDefault="006B4824" w:rsidP="00F8627F">
      <w:pPr>
        <w:pStyle w:val="ListNumber"/>
        <w:spacing w:after="0" w:line="276" w:lineRule="auto"/>
        <w:ind w:left="0" w:firstLine="0"/>
        <w:rPr>
          <w:rFonts w:ascii="Times New Roman" w:hAnsi="Times New Roman"/>
          <w:szCs w:val="20"/>
        </w:rPr>
      </w:pPr>
    </w:p>
    <w:p w14:paraId="30A1933B" w14:textId="2AA5E0D9" w:rsidR="005169B7" w:rsidRPr="00D2239A" w:rsidRDefault="005169B7" w:rsidP="00363E8B">
      <w:pPr>
        <w:pStyle w:val="Heading1"/>
      </w:pPr>
      <w:bookmarkStart w:id="12" w:name="_Toc206680986"/>
      <w:bookmarkStart w:id="13" w:name="_Toc226020676"/>
      <w:r w:rsidRPr="00D2239A">
        <w:t>S</w:t>
      </w:r>
      <w:r w:rsidR="006F7B84" w:rsidRPr="00D2239A">
        <w:t>1</w:t>
      </w:r>
      <w:r w:rsidRPr="00D2239A">
        <w:t>.</w:t>
      </w:r>
      <w:r w:rsidR="006F7B84" w:rsidRPr="00D2239A">
        <w:t>2</w:t>
      </w:r>
      <w:r w:rsidRPr="00D2239A">
        <w:t xml:space="preserve">. </w:t>
      </w:r>
      <w:r w:rsidR="00C266AF" w:rsidRPr="00D2239A">
        <w:t>Estimation of prevalence for opioid use</w:t>
      </w:r>
      <w:r w:rsidR="00A264D8" w:rsidRPr="00D2239A">
        <w:t xml:space="preserve"> health states</w:t>
      </w:r>
      <w:bookmarkEnd w:id="12"/>
      <w:bookmarkEnd w:id="13"/>
    </w:p>
    <w:p w14:paraId="609CCD9D" w14:textId="5AF509A3" w:rsidR="002A1531" w:rsidRPr="00D2239A" w:rsidRDefault="009B330A" w:rsidP="009B330A">
      <w:pPr>
        <w:pStyle w:val="Heading2"/>
        <w:rPr>
          <w:rFonts w:cs="Times New Roman"/>
          <w:color w:val="7030A0"/>
        </w:rPr>
      </w:pPr>
      <w:bookmarkStart w:id="14" w:name="_Toc206680987"/>
      <w:bookmarkStart w:id="15" w:name="_Toc226020677"/>
      <w:r w:rsidRPr="00D2239A">
        <w:rPr>
          <w:rFonts w:cs="Times New Roman"/>
        </w:rPr>
        <w:t>S1.2.1</w:t>
      </w:r>
      <w:r w:rsidR="0086108B">
        <w:rPr>
          <w:rFonts w:cs="Times New Roman"/>
        </w:rPr>
        <w:t>.</w:t>
      </w:r>
      <w:r w:rsidRPr="00D2239A">
        <w:rPr>
          <w:rFonts w:cs="Times New Roman"/>
        </w:rPr>
        <w:t xml:space="preserve"> </w:t>
      </w:r>
      <w:r w:rsidR="002A1531" w:rsidRPr="00D2239A">
        <w:rPr>
          <w:rFonts w:cs="Times New Roman"/>
        </w:rPr>
        <w:t>Prevalence of OUD</w:t>
      </w:r>
      <w:bookmarkEnd w:id="14"/>
      <w:bookmarkEnd w:id="15"/>
    </w:p>
    <w:p w14:paraId="38376C6D" w14:textId="58F4074B" w:rsidR="005169B7" w:rsidRPr="00EF4250" w:rsidRDefault="00394128" w:rsidP="00F85241">
      <w:pPr>
        <w:spacing w:after="0" w:line="276" w:lineRule="auto"/>
        <w:rPr>
          <w:rFonts w:cs="Times New Roman"/>
          <w:szCs w:val="20"/>
        </w:rPr>
      </w:pPr>
      <w:r w:rsidRPr="00EF4250">
        <w:rPr>
          <w:rFonts w:cs="Times New Roman"/>
          <w:szCs w:val="20"/>
        </w:rPr>
        <w:t xml:space="preserve">To </w:t>
      </w:r>
      <w:r w:rsidR="007254EF" w:rsidRPr="00EF4250">
        <w:rPr>
          <w:rFonts w:cs="Times New Roman"/>
          <w:szCs w:val="20"/>
        </w:rPr>
        <w:t xml:space="preserve">estimate </w:t>
      </w:r>
      <w:r w:rsidR="005169B7" w:rsidRPr="00EF4250">
        <w:rPr>
          <w:rFonts w:cs="Times New Roman"/>
          <w:szCs w:val="20"/>
        </w:rPr>
        <w:t xml:space="preserve">the prevalence of OUD in each </w:t>
      </w:r>
      <w:r w:rsidR="00D94C5E" w:rsidRPr="00EF4250">
        <w:rPr>
          <w:rFonts w:cs="Times New Roman"/>
          <w:szCs w:val="20"/>
        </w:rPr>
        <w:t xml:space="preserve">simulated </w:t>
      </w:r>
      <w:r w:rsidR="005169B7" w:rsidRPr="00EF4250">
        <w:rPr>
          <w:rFonts w:cs="Times New Roman"/>
          <w:szCs w:val="20"/>
        </w:rPr>
        <w:t>communit</w:t>
      </w:r>
      <w:r w:rsidR="00D94C5E" w:rsidRPr="00EF4250">
        <w:rPr>
          <w:rFonts w:cs="Times New Roman"/>
          <w:szCs w:val="20"/>
        </w:rPr>
        <w:t>y</w:t>
      </w:r>
      <w:r w:rsidR="00EA68D9" w:rsidRPr="00EF4250">
        <w:rPr>
          <w:rFonts w:cs="Times New Roman"/>
          <w:szCs w:val="20"/>
        </w:rPr>
        <w:t xml:space="preserve"> (</w:t>
      </w:r>
      <w:r w:rsidR="00626C29" w:rsidRPr="00626C29">
        <w:rPr>
          <w:rFonts w:cs="Times New Roman"/>
          <w:b/>
          <w:bCs/>
          <w:szCs w:val="20"/>
        </w:rPr>
        <w:t xml:space="preserve">Supplementary </w:t>
      </w:r>
      <w:r w:rsidR="00EA68D9" w:rsidRPr="00626C29">
        <w:rPr>
          <w:rFonts w:cs="Times New Roman"/>
          <w:b/>
          <w:bCs/>
          <w:szCs w:val="20"/>
        </w:rPr>
        <w:t>Table</w:t>
      </w:r>
      <w:r w:rsidR="00EA68D9" w:rsidRPr="00EF4250">
        <w:rPr>
          <w:rFonts w:cs="Times New Roman"/>
          <w:b/>
          <w:bCs/>
          <w:szCs w:val="20"/>
        </w:rPr>
        <w:t xml:space="preserve"> 1</w:t>
      </w:r>
      <w:r w:rsidR="008C7621" w:rsidRPr="00EF4250">
        <w:rPr>
          <w:rFonts w:cs="Times New Roman"/>
          <w:szCs w:val="20"/>
        </w:rPr>
        <w:t>)</w:t>
      </w:r>
      <w:r w:rsidRPr="00EF4250">
        <w:rPr>
          <w:rFonts w:cs="Times New Roman"/>
          <w:szCs w:val="20"/>
        </w:rPr>
        <w:t xml:space="preserve">, we </w:t>
      </w:r>
      <w:r w:rsidR="000E2D09" w:rsidRPr="00EF4250">
        <w:rPr>
          <w:rFonts w:cs="Times New Roman"/>
          <w:szCs w:val="20"/>
        </w:rPr>
        <w:t>extrapolated</w:t>
      </w:r>
      <w:r w:rsidRPr="00EF4250">
        <w:rPr>
          <w:rFonts w:cs="Times New Roman"/>
          <w:szCs w:val="20"/>
        </w:rPr>
        <w:t xml:space="preserve"> </w:t>
      </w:r>
      <w:r w:rsidR="004777AA" w:rsidRPr="00EF4250">
        <w:rPr>
          <w:rFonts w:cs="Times New Roman"/>
          <w:szCs w:val="20"/>
        </w:rPr>
        <w:t xml:space="preserve">the estimates of </w:t>
      </w:r>
      <w:r w:rsidR="00BC7633" w:rsidRPr="00EF4250">
        <w:rPr>
          <w:rFonts w:cs="Times New Roman"/>
          <w:szCs w:val="20"/>
        </w:rPr>
        <w:t xml:space="preserve">OUD </w:t>
      </w:r>
      <w:r w:rsidR="005169B7" w:rsidRPr="00EF4250">
        <w:rPr>
          <w:rFonts w:cs="Times New Roman"/>
          <w:szCs w:val="20"/>
        </w:rPr>
        <w:t xml:space="preserve">prevalence among the community’s Medicaid population </w:t>
      </w:r>
      <w:r w:rsidR="003B7611" w:rsidRPr="00EF4250">
        <w:rPr>
          <w:rFonts w:cs="Times New Roman"/>
          <w:szCs w:val="20"/>
        </w:rPr>
        <w:t>using</w:t>
      </w:r>
      <w:r w:rsidR="005169B7" w:rsidRPr="00EF4250">
        <w:rPr>
          <w:rFonts w:cs="Times New Roman"/>
          <w:szCs w:val="20"/>
        </w:rPr>
        <w:t xml:space="preserve"> data from the National Survey on Drug Use and Health (NSDUH) and the published </w:t>
      </w:r>
      <w:r w:rsidR="005169B7" w:rsidRPr="0078008B">
        <w:rPr>
          <w:rFonts w:cs="Times New Roman"/>
          <w:szCs w:val="20"/>
        </w:rPr>
        <w:t>literature.</w:t>
      </w:r>
      <w:r w:rsidR="00F85241" w:rsidRPr="0078008B">
        <w:rPr>
          <w:rFonts w:cs="Times New Roman"/>
          <w:szCs w:val="20"/>
        </w:rPr>
        <w:fldChar w:fldCharType="begin"/>
      </w:r>
      <w:r w:rsidR="006E3B8B" w:rsidRPr="0078008B">
        <w:rPr>
          <w:rFonts w:cs="Times New Roman"/>
          <w:szCs w:val="20"/>
        </w:rPr>
        <w:instrText xml:space="preserve"> ADDIN EN.CITE &lt;EndNote&gt;&lt;Cite&gt;&lt;Author&gt;Dowd&lt;/Author&gt;&lt;Year&gt;2023&lt;/Year&gt;&lt;RecNum&gt;124&lt;/RecNum&gt;&lt;DisplayText&gt;&lt;style face="superscript"&gt;3&lt;/style&gt;&lt;/DisplayText&gt;&lt;record&gt;&lt;rec-number&gt;124&lt;/rec-number&gt;&lt;foreign-keys&gt;&lt;key app="EN" db-id="ffv9f0td1taf24ev0z1paazh2dx55xvtwsv9" timestamp="1713388380"&gt;124&lt;/key&gt;&lt;/foreign-keys&gt;&lt;ref-type name="Manuscript"&gt;36&lt;/ref-type&gt;&lt;contributors&gt;&lt;authors&gt;&lt;author&gt;Dowd, William N.&lt;/author&gt;&lt;author&gt;Chen, Qiushi&lt;/author&gt;&lt;author&gt;Chhatwal, Jagpreet&lt;/author&gt;&lt;author&gt;Barbosa, Carolina&lt;/author&gt;&lt;author&gt;Oga, Emmanuel&lt;/author&gt;&lt;author&gt;Kulkarni, Neeti&lt;/author&gt;&lt;author&gt;Xiao, Jade&lt;/author&gt;&lt;author&gt;Aldridge, Arnie P.&lt;/author&gt;&lt;author&gt;Zarkin, Gary A.&lt;/author&gt;&lt;author&gt;Knudsen, Amy B.&lt;/author&gt;&lt;/authors&gt;&lt;/contributors&gt;&lt;titles&gt;&lt;title&gt;Estimating Community-Level Prevalence of Opioid Use Disorder: Extrapolating from Medicaid Claims Data. &lt;/title&gt;&lt;/titles&gt;&lt;dates&gt;&lt;year&gt;2023&lt;/year&gt;&lt;/dates&gt;&lt;pub-location&gt;Working manuscript&lt;/pub-location&gt;&lt;urls&gt;&lt;/urls&gt;&lt;/record&gt;&lt;/Cite&gt;&lt;/EndNote&gt;</w:instrText>
      </w:r>
      <w:r w:rsidR="00F85241" w:rsidRPr="0078008B">
        <w:rPr>
          <w:rFonts w:cs="Times New Roman"/>
          <w:szCs w:val="20"/>
        </w:rPr>
        <w:fldChar w:fldCharType="separate"/>
      </w:r>
      <w:r w:rsidR="00F85241" w:rsidRPr="0078008B">
        <w:rPr>
          <w:rFonts w:cs="Times New Roman"/>
          <w:noProof/>
          <w:szCs w:val="20"/>
          <w:vertAlign w:val="superscript"/>
        </w:rPr>
        <w:t>3</w:t>
      </w:r>
      <w:r w:rsidR="00F85241" w:rsidRPr="0078008B">
        <w:rPr>
          <w:rFonts w:cs="Times New Roman"/>
          <w:szCs w:val="20"/>
        </w:rPr>
        <w:fldChar w:fldCharType="end"/>
      </w:r>
      <w:r w:rsidR="005169B7" w:rsidRPr="0078008B">
        <w:rPr>
          <w:rFonts w:cs="Times New Roman"/>
          <w:szCs w:val="20"/>
        </w:rPr>
        <w:t xml:space="preserve"> </w:t>
      </w:r>
      <w:r w:rsidR="002015C5" w:rsidRPr="0078008B">
        <w:rPr>
          <w:rFonts w:cs="Times New Roman"/>
          <w:szCs w:val="20"/>
        </w:rPr>
        <w:t xml:space="preserve">Given </w:t>
      </w:r>
      <w:r w:rsidR="00DA1A58" w:rsidRPr="0078008B">
        <w:rPr>
          <w:rFonts w:cs="Times New Roman"/>
          <w:szCs w:val="20"/>
        </w:rPr>
        <w:t xml:space="preserve">that </w:t>
      </w:r>
      <w:r w:rsidR="002015C5" w:rsidRPr="00EF4250">
        <w:rPr>
          <w:rFonts w:cs="Times New Roman"/>
          <w:szCs w:val="20"/>
        </w:rPr>
        <w:t>the</w:t>
      </w:r>
      <w:r w:rsidR="00F85241" w:rsidRPr="00EF4250">
        <w:rPr>
          <w:rFonts w:cs="Times New Roman"/>
          <w:szCs w:val="20"/>
        </w:rPr>
        <w:t xml:space="preserve"> estimates of OUD prevalence in Medicaid beneficiaries aged 18-64 years </w:t>
      </w:r>
      <w:r w:rsidR="00DA1A58">
        <w:rPr>
          <w:rFonts w:cs="Times New Roman"/>
          <w:szCs w:val="20"/>
        </w:rPr>
        <w:t xml:space="preserve">are </w:t>
      </w:r>
      <w:r w:rsidR="00F85241" w:rsidRPr="00EF4250">
        <w:rPr>
          <w:rFonts w:cs="Times New Roman"/>
          <w:szCs w:val="20"/>
        </w:rPr>
        <w:t>based on the OUD diagnosis in the Medicaid claims data</w:t>
      </w:r>
      <w:r w:rsidR="002015C5" w:rsidRPr="00EF4250">
        <w:rPr>
          <w:rFonts w:cs="Times New Roman"/>
          <w:szCs w:val="20"/>
        </w:rPr>
        <w:t>, this approach ma</w:t>
      </w:r>
      <w:r w:rsidR="00007DE7" w:rsidRPr="00EF4250">
        <w:rPr>
          <w:rFonts w:cs="Times New Roman"/>
          <w:szCs w:val="20"/>
        </w:rPr>
        <w:t>de</w:t>
      </w:r>
      <w:r w:rsidR="002015C5" w:rsidRPr="00EF4250">
        <w:rPr>
          <w:rFonts w:cs="Times New Roman"/>
          <w:szCs w:val="20"/>
        </w:rPr>
        <w:t xml:space="preserve"> additional adjustment</w:t>
      </w:r>
      <w:r w:rsidR="00F85241" w:rsidRPr="00EF4250">
        <w:rPr>
          <w:rFonts w:cs="Times New Roman"/>
          <w:szCs w:val="20"/>
        </w:rPr>
        <w:t xml:space="preserve"> in three </w:t>
      </w:r>
      <w:r w:rsidR="002015C5" w:rsidRPr="00EF4250">
        <w:rPr>
          <w:rFonts w:cs="Times New Roman"/>
          <w:szCs w:val="20"/>
        </w:rPr>
        <w:t xml:space="preserve">sequential </w:t>
      </w:r>
      <w:r w:rsidR="00F85241" w:rsidRPr="00EF4250">
        <w:rPr>
          <w:rFonts w:cs="Times New Roman"/>
          <w:szCs w:val="20"/>
        </w:rPr>
        <w:t>steps to account for</w:t>
      </w:r>
      <w:r w:rsidR="00007DE7" w:rsidRPr="00EF4250">
        <w:rPr>
          <w:rFonts w:cs="Times New Roman"/>
          <w:szCs w:val="20"/>
        </w:rPr>
        <w:t>:</w:t>
      </w:r>
      <w:r w:rsidR="00F85241" w:rsidRPr="00EF4250">
        <w:rPr>
          <w:rFonts w:cs="Times New Roman"/>
          <w:szCs w:val="20"/>
        </w:rPr>
        <w:t xml:space="preserve"> (1) Medicaid beneficiaries who do </w:t>
      </w:r>
      <w:r w:rsidR="00BC7633" w:rsidRPr="00EF4250">
        <w:rPr>
          <w:rFonts w:cs="Times New Roman"/>
          <w:szCs w:val="20"/>
        </w:rPr>
        <w:t xml:space="preserve">not </w:t>
      </w:r>
      <w:r w:rsidR="007A400A" w:rsidRPr="00EF4250">
        <w:rPr>
          <w:rFonts w:cs="Times New Roman"/>
          <w:szCs w:val="20"/>
        </w:rPr>
        <w:t xml:space="preserve">interact with </w:t>
      </w:r>
      <w:r w:rsidR="00AC23E6" w:rsidRPr="00EF4250">
        <w:rPr>
          <w:rFonts w:cs="Times New Roman"/>
          <w:szCs w:val="20"/>
        </w:rPr>
        <w:t xml:space="preserve">the </w:t>
      </w:r>
      <w:r w:rsidR="007A400A" w:rsidRPr="00EF4250">
        <w:rPr>
          <w:rFonts w:cs="Times New Roman"/>
          <w:szCs w:val="20"/>
        </w:rPr>
        <w:t xml:space="preserve">healthcare system (and thus </w:t>
      </w:r>
      <w:r w:rsidR="00AC23E6" w:rsidRPr="00EF4250">
        <w:rPr>
          <w:rFonts w:cs="Times New Roman"/>
          <w:szCs w:val="20"/>
        </w:rPr>
        <w:t xml:space="preserve">had </w:t>
      </w:r>
      <w:r w:rsidR="007A400A" w:rsidRPr="00EF4250">
        <w:rPr>
          <w:rFonts w:cs="Times New Roman"/>
          <w:szCs w:val="20"/>
        </w:rPr>
        <w:t>no claims information)</w:t>
      </w:r>
      <w:r w:rsidR="00F85241" w:rsidRPr="00EF4250">
        <w:rPr>
          <w:rFonts w:cs="Times New Roman"/>
          <w:szCs w:val="20"/>
        </w:rPr>
        <w:t xml:space="preserve"> and </w:t>
      </w:r>
      <w:r w:rsidR="002015C5" w:rsidRPr="00EF4250">
        <w:rPr>
          <w:rFonts w:cs="Times New Roman"/>
          <w:szCs w:val="20"/>
        </w:rPr>
        <w:t xml:space="preserve">potential </w:t>
      </w:r>
      <w:r w:rsidR="00BC7633" w:rsidRPr="00EF4250">
        <w:rPr>
          <w:rFonts w:cs="Times New Roman"/>
          <w:szCs w:val="20"/>
        </w:rPr>
        <w:t>misclassification</w:t>
      </w:r>
      <w:r w:rsidR="002015C5" w:rsidRPr="00EF4250">
        <w:rPr>
          <w:rFonts w:cs="Times New Roman"/>
          <w:szCs w:val="20"/>
        </w:rPr>
        <w:t>s</w:t>
      </w:r>
      <w:r w:rsidR="00BC7633" w:rsidRPr="00EF4250">
        <w:rPr>
          <w:rFonts w:cs="Times New Roman"/>
          <w:szCs w:val="20"/>
        </w:rPr>
        <w:t xml:space="preserve"> of OUD diagnosis in medical claims,</w:t>
      </w:r>
      <w:r w:rsidR="002015C5" w:rsidRPr="00EF4250">
        <w:rPr>
          <w:rFonts w:cs="Times New Roman"/>
          <w:szCs w:val="20"/>
        </w:rPr>
        <w:t xml:space="preserve"> </w:t>
      </w:r>
      <w:r w:rsidR="008D213C" w:rsidRPr="00EF4250">
        <w:rPr>
          <w:rFonts w:cs="Times New Roman"/>
          <w:szCs w:val="20"/>
        </w:rPr>
        <w:t xml:space="preserve">using literature </w:t>
      </w:r>
      <w:r w:rsidR="002015C5" w:rsidRPr="00EF4250">
        <w:rPr>
          <w:rFonts w:cs="Times New Roman"/>
          <w:szCs w:val="20"/>
        </w:rPr>
        <w:t>on the healthcare utilization ratio in Medicaid population</w:t>
      </w:r>
      <w:r w:rsidR="002015C5" w:rsidRPr="00EF4250">
        <w:rPr>
          <w:rFonts w:cs="Times New Roman"/>
          <w:szCs w:val="20"/>
        </w:rPr>
        <w:fldChar w:fldCharType="begin"/>
      </w:r>
      <w:r w:rsidR="00787C26">
        <w:rPr>
          <w:rFonts w:cs="Times New Roman"/>
          <w:szCs w:val="20"/>
        </w:rPr>
        <w:instrText xml:space="preserve"> ADDIN EN.CITE &lt;EndNote&gt;&lt;Cite&gt;&lt;Author&gt;Substance Abuse and Mental Health Services Administration (SAMHSA)&lt;/Author&gt;&lt;Year&gt;n.d.&lt;/Year&gt;&lt;RecNum&gt;22&lt;/RecNum&gt;&lt;DisplayText&gt;&lt;style face="superscript"&gt;4&lt;/style&gt;&lt;/DisplayText&gt;&lt;record&gt;&lt;rec-number&gt;22&lt;/rec-number&gt;&lt;foreign-keys&gt;&lt;key app="EN" db-id="vvr02fsw8wr2f5et2p8pzr0qs25d59ewpfta" timestamp="1734723453"&gt;22&lt;/key&gt;&lt;/foreign-keys&gt;&lt;ref-type name="Web Page"&gt;12&lt;/ref-type&gt;&lt;contributors&gt;&lt;authors&gt;&lt;author&gt;Substance Abuse and Mental Health Services Administration (SAMHSA),&lt;/author&gt;&lt;/authors&gt;&lt;/contributors&gt;&lt;titles&gt;&lt;title&gt;National Survey on Drug Use and Health&lt;/title&gt;&lt;/titles&gt;&lt;dates&gt;&lt;year&gt;n.d.&lt;/year&gt;&lt;/dates&gt;&lt;urls&gt;&lt;related-urls&gt;&lt;url&gt;https://www.samhsa.gov/data/data-we-collect/nsduh-national-survey-drug-use-and-health&lt;/url&gt;&lt;/related-urls&gt;&lt;/urls&gt;&lt;/record&gt;&lt;/Cite&gt;&lt;/EndNote&gt;</w:instrText>
      </w:r>
      <w:r w:rsidR="002015C5" w:rsidRPr="00EF4250">
        <w:rPr>
          <w:rFonts w:cs="Times New Roman"/>
          <w:szCs w:val="20"/>
        </w:rPr>
        <w:fldChar w:fldCharType="separate"/>
      </w:r>
      <w:r w:rsidR="002015C5" w:rsidRPr="00EF4250">
        <w:rPr>
          <w:rFonts w:cs="Times New Roman"/>
          <w:noProof/>
          <w:szCs w:val="20"/>
          <w:vertAlign w:val="superscript"/>
        </w:rPr>
        <w:t>4</w:t>
      </w:r>
      <w:r w:rsidR="002015C5" w:rsidRPr="00EF4250">
        <w:rPr>
          <w:rFonts w:cs="Times New Roman"/>
          <w:szCs w:val="20"/>
        </w:rPr>
        <w:fldChar w:fldCharType="end"/>
      </w:r>
      <w:r w:rsidR="002015C5" w:rsidRPr="00EF4250">
        <w:rPr>
          <w:rFonts w:cs="Times New Roman"/>
          <w:szCs w:val="20"/>
        </w:rPr>
        <w:t xml:space="preserve"> and misclassification rate of diagnosis in claims</w:t>
      </w:r>
      <w:r w:rsidR="00931601" w:rsidRPr="00EF4250">
        <w:rPr>
          <w:rFonts w:cs="Times New Roman"/>
          <w:szCs w:val="20"/>
        </w:rPr>
        <w:t>;</w:t>
      </w:r>
      <w:r w:rsidR="005877A1" w:rsidRPr="00EF4250">
        <w:rPr>
          <w:rFonts w:cs="Times New Roman"/>
          <w:szCs w:val="20"/>
        </w:rPr>
        <w:fldChar w:fldCharType="begin">
          <w:fldData xml:space="preserve">PEVuZE5vdGU+PENpdGU+PEF1dGhvcj5DaGFkZDwvQXV0aG9yPjxZZWFyPjIwMjE8L1llYXI+PFJl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</w:fldData>
        </w:fldChar>
      </w:r>
      <w:r w:rsidR="006E3B8B" w:rsidRPr="00EF4250">
        <w:rPr>
          <w:rFonts w:cs="Times New Roman"/>
          <w:szCs w:val="20"/>
        </w:rPr>
        <w:instrText xml:space="preserve"> ADDIN EN.CITE </w:instrText>
      </w:r>
      <w:r w:rsidR="006E3B8B" w:rsidRPr="00EF4250">
        <w:rPr>
          <w:rFonts w:cs="Times New Roman"/>
          <w:szCs w:val="20"/>
        </w:rPr>
        <w:fldChar w:fldCharType="begin">
          <w:fldData xml:space="preserve">PEVuZE5vdGU+PENpdGU+PEF1dGhvcj5DaGFkZDwvQXV0aG9yPjxZZWFyPjIwMjE8L1llYXI+PFJl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</w:fldData>
        </w:fldChar>
      </w:r>
      <w:r w:rsidR="006E3B8B" w:rsidRPr="00EF4250">
        <w:rPr>
          <w:rFonts w:cs="Times New Roman"/>
          <w:szCs w:val="20"/>
        </w:rPr>
        <w:instrText xml:space="preserve"> ADDIN EN.CITE.DATA </w:instrText>
      </w:r>
      <w:r w:rsidR="006E3B8B" w:rsidRPr="00EF4250">
        <w:rPr>
          <w:rFonts w:cs="Times New Roman"/>
          <w:szCs w:val="20"/>
        </w:rPr>
      </w:r>
      <w:r w:rsidR="006E3B8B" w:rsidRPr="00EF4250">
        <w:rPr>
          <w:rFonts w:cs="Times New Roman"/>
          <w:szCs w:val="20"/>
        </w:rPr>
        <w:fldChar w:fldCharType="end"/>
      </w:r>
      <w:r w:rsidR="005877A1" w:rsidRPr="00EF4250">
        <w:rPr>
          <w:rFonts w:cs="Times New Roman"/>
          <w:szCs w:val="20"/>
        </w:rPr>
      </w:r>
      <w:r w:rsidR="005877A1" w:rsidRPr="00EF4250">
        <w:rPr>
          <w:rFonts w:cs="Times New Roman"/>
          <w:szCs w:val="20"/>
        </w:rPr>
        <w:fldChar w:fldCharType="separate"/>
      </w:r>
      <w:r w:rsidR="005877A1" w:rsidRPr="00EF4250">
        <w:rPr>
          <w:rFonts w:cs="Times New Roman"/>
          <w:noProof/>
          <w:szCs w:val="20"/>
          <w:vertAlign w:val="superscript"/>
        </w:rPr>
        <w:t>5,6</w:t>
      </w:r>
      <w:r w:rsidR="005877A1" w:rsidRPr="00EF4250">
        <w:rPr>
          <w:rFonts w:cs="Times New Roman"/>
          <w:szCs w:val="20"/>
        </w:rPr>
        <w:fldChar w:fldCharType="end"/>
      </w:r>
      <w:r w:rsidR="00F85241" w:rsidRPr="00EF4250">
        <w:rPr>
          <w:rFonts w:cs="Times New Roman"/>
          <w:szCs w:val="20"/>
        </w:rPr>
        <w:t xml:space="preserve"> (2) individuals with OUD </w:t>
      </w:r>
      <w:r w:rsidR="004808E1" w:rsidRPr="00EF4250">
        <w:rPr>
          <w:rFonts w:cs="Times New Roman"/>
          <w:szCs w:val="20"/>
        </w:rPr>
        <w:t xml:space="preserve">in </w:t>
      </w:r>
      <w:r w:rsidR="00821343" w:rsidRPr="00EF4250">
        <w:rPr>
          <w:rFonts w:cs="Times New Roman"/>
          <w:szCs w:val="20"/>
        </w:rPr>
        <w:t xml:space="preserve">the </w:t>
      </w:r>
      <w:r w:rsidR="004808E1" w:rsidRPr="00EF4250">
        <w:rPr>
          <w:rFonts w:cs="Times New Roman"/>
          <w:szCs w:val="20"/>
        </w:rPr>
        <w:t>non-</w:t>
      </w:r>
      <w:r w:rsidR="00BC7633" w:rsidRPr="00EF4250">
        <w:rPr>
          <w:rFonts w:cs="Times New Roman"/>
          <w:szCs w:val="20"/>
        </w:rPr>
        <w:t>Medicaid</w:t>
      </w:r>
      <w:r w:rsidR="004808E1" w:rsidRPr="00EF4250">
        <w:rPr>
          <w:rFonts w:cs="Times New Roman"/>
          <w:szCs w:val="20"/>
        </w:rPr>
        <w:t xml:space="preserve"> population</w:t>
      </w:r>
      <w:r w:rsidR="002015C5" w:rsidRPr="00EF4250">
        <w:rPr>
          <w:rFonts w:cs="Times New Roman"/>
          <w:szCs w:val="20"/>
        </w:rPr>
        <w:t xml:space="preserve">, </w:t>
      </w:r>
      <w:r w:rsidR="00F92708" w:rsidRPr="00EF4250">
        <w:rPr>
          <w:rFonts w:cs="Times New Roman"/>
          <w:szCs w:val="20"/>
        </w:rPr>
        <w:t>using</w:t>
      </w:r>
      <w:r w:rsidR="002015C5" w:rsidRPr="00EF4250">
        <w:rPr>
          <w:rFonts w:cs="Times New Roman"/>
          <w:szCs w:val="20"/>
        </w:rPr>
        <w:t xml:space="preserve"> the relative differences in OUD prevalence between</w:t>
      </w:r>
      <w:r w:rsidR="00737CED" w:rsidRPr="00EF4250">
        <w:rPr>
          <w:rFonts w:cs="Times New Roman"/>
          <w:szCs w:val="20"/>
        </w:rPr>
        <w:t xml:space="preserve"> the</w:t>
      </w:r>
      <w:r w:rsidR="002015C5" w:rsidRPr="00EF4250">
        <w:rPr>
          <w:rFonts w:cs="Times New Roman"/>
          <w:szCs w:val="20"/>
        </w:rPr>
        <w:t xml:space="preserve"> Medicaid and non-Medicaid population</w:t>
      </w:r>
      <w:r w:rsidR="00737CED" w:rsidRPr="00EF4250">
        <w:rPr>
          <w:rFonts w:cs="Times New Roman"/>
          <w:szCs w:val="20"/>
        </w:rPr>
        <w:t xml:space="preserve">s </w:t>
      </w:r>
      <w:r w:rsidR="002015C5" w:rsidRPr="00EF4250">
        <w:rPr>
          <w:rFonts w:cs="Times New Roman"/>
          <w:szCs w:val="20"/>
        </w:rPr>
        <w:t>at the state level as estimated from the NSDUH</w:t>
      </w:r>
      <w:r w:rsidR="006E3B8B" w:rsidRPr="00EF4250">
        <w:rPr>
          <w:rFonts w:cs="Times New Roman"/>
          <w:szCs w:val="20"/>
        </w:rPr>
        <w:t>;</w:t>
      </w:r>
      <w:r w:rsidR="006E3B8B" w:rsidRPr="00EF4250">
        <w:rPr>
          <w:rFonts w:cs="Times New Roman"/>
          <w:szCs w:val="20"/>
        </w:rPr>
        <w:fldChar w:fldCharType="begin"/>
      </w:r>
      <w:r w:rsidR="009959E5">
        <w:rPr>
          <w:rFonts w:cs="Times New Roman"/>
          <w:szCs w:val="20"/>
        </w:rPr>
        <w:instrText xml:space="preserve"> ADDIN EN.CITE &lt;EndNote&gt;&lt;Cite ExcludeYear="1"&gt;&lt;Author&gt;Substance Abuse and Mental Health Services Administration (SAMHSA)&lt;/Author&gt;&lt;RecNum&gt;444&lt;/RecNum&gt;&lt;DisplayText&gt;&lt;style face="superscript"&gt;7&lt;/style&gt;&lt;/DisplayText&gt;&lt;record&gt;&lt;rec-number&gt;444&lt;/rec-number&gt;&lt;foreign-keys&gt;&lt;key app="EN" db-id="avtevdx5n99twqeadeupredtzeaatxdp5xsr" timestamp="1727801651"&gt;444&lt;/key&gt;&lt;/foreign-keys&gt;&lt;ref-type name="Web Page"&gt;12&lt;/ref-type&gt;&lt;contributors&gt;&lt;authors&gt;&lt;author&gt; Substance Abuse and Mental Health Services Administration (SAMHSA),&lt;/author&gt;&lt;/authors&gt;&lt;/contributors&gt;&lt;titles&gt;&lt;title&gt;National Survey on Drug Use and Health: 4-Year RDAS (2015 to 2018).&lt;/title&gt;&lt;/titles&gt;&lt;volume&gt;2023&lt;/volume&gt;&lt;number&gt;April 18 &lt;/number&gt;&lt;dates&gt;&lt;/dates&gt;&lt;urls&gt;&lt;related-urls&gt;&lt;url&gt;https://rdas.samhsa.gov/#/survey/NSDUH-2015-2018-RD04YR/.&lt;/url&gt;&lt;/related-urls&gt;&lt;/urls&gt;&lt;/record&gt;&lt;/Cite&gt;&lt;/EndNote&gt;</w:instrText>
      </w:r>
      <w:r w:rsidR="006E3B8B" w:rsidRPr="00EF4250">
        <w:rPr>
          <w:rFonts w:cs="Times New Roman"/>
          <w:szCs w:val="20"/>
        </w:rPr>
        <w:fldChar w:fldCharType="separate"/>
      </w:r>
      <w:r w:rsidR="006E3B8B" w:rsidRPr="00EF4250">
        <w:rPr>
          <w:rFonts w:cs="Times New Roman"/>
          <w:noProof/>
          <w:szCs w:val="20"/>
          <w:vertAlign w:val="superscript"/>
        </w:rPr>
        <w:t>7</w:t>
      </w:r>
      <w:r w:rsidR="006E3B8B" w:rsidRPr="00EF4250">
        <w:rPr>
          <w:rFonts w:cs="Times New Roman"/>
          <w:szCs w:val="20"/>
        </w:rPr>
        <w:fldChar w:fldCharType="end"/>
      </w:r>
      <w:r w:rsidR="001E0C03" w:rsidRPr="00EF4250">
        <w:rPr>
          <w:rFonts w:cs="Times New Roman"/>
          <w:szCs w:val="20"/>
        </w:rPr>
        <w:t xml:space="preserve"> </w:t>
      </w:r>
      <w:r w:rsidR="00BC7633" w:rsidRPr="00EF4250">
        <w:rPr>
          <w:rFonts w:cs="Times New Roman"/>
          <w:szCs w:val="20"/>
        </w:rPr>
        <w:t xml:space="preserve">and </w:t>
      </w:r>
      <w:r w:rsidR="00F85241" w:rsidRPr="00EF4250">
        <w:rPr>
          <w:rFonts w:cs="Times New Roman"/>
          <w:szCs w:val="20"/>
        </w:rPr>
        <w:t xml:space="preserve">(3) individuals of </w:t>
      </w:r>
      <w:r w:rsidR="00BC7633" w:rsidRPr="00EF4250">
        <w:rPr>
          <w:rFonts w:cs="Times New Roman"/>
          <w:szCs w:val="20"/>
        </w:rPr>
        <w:t xml:space="preserve">other age groups </w:t>
      </w:r>
      <w:r w:rsidR="004808E1" w:rsidRPr="00EF4250">
        <w:rPr>
          <w:rFonts w:cs="Times New Roman"/>
          <w:szCs w:val="20"/>
        </w:rPr>
        <w:t xml:space="preserve">(i.e., </w:t>
      </w:r>
      <w:r w:rsidR="00BC7633" w:rsidRPr="00EF4250">
        <w:rPr>
          <w:rFonts w:cs="Times New Roman"/>
          <w:szCs w:val="20"/>
        </w:rPr>
        <w:t>12</w:t>
      </w:r>
      <w:r w:rsidR="00204B73" w:rsidRPr="00EF4250">
        <w:rPr>
          <w:rFonts w:cs="Times New Roman"/>
          <w:szCs w:val="20"/>
        </w:rPr>
        <w:t>-</w:t>
      </w:r>
      <w:r w:rsidR="00BC7633" w:rsidRPr="00EF4250">
        <w:rPr>
          <w:rFonts w:cs="Times New Roman"/>
          <w:szCs w:val="20"/>
        </w:rPr>
        <w:t xml:space="preserve">17 years and </w:t>
      </w:r>
      <w:r w:rsidR="00783B41" w:rsidRPr="00EF4250">
        <w:rPr>
          <w:rFonts w:cs="Times New Roman"/>
          <w:szCs w:val="20"/>
        </w:rPr>
        <w:t>aged</w:t>
      </w:r>
      <w:r w:rsidR="00B66F8B">
        <w:rPr>
          <w:rFonts w:cs="Times New Roman"/>
          <w:szCs w:val="20"/>
        </w:rPr>
        <w:t xml:space="preserve"> </w:t>
      </w:r>
      <w:r w:rsidR="00783B41" w:rsidRPr="00EF4250">
        <w:rPr>
          <w:rFonts w:cs="Times New Roman"/>
          <w:szCs w:val="20"/>
        </w:rPr>
        <w:t>65 and older</w:t>
      </w:r>
      <w:r w:rsidR="004808E1" w:rsidRPr="00EF4250">
        <w:rPr>
          <w:rFonts w:cs="Times New Roman"/>
          <w:szCs w:val="20"/>
        </w:rPr>
        <w:t>)</w:t>
      </w:r>
      <w:r w:rsidR="002015C5" w:rsidRPr="00EF4250">
        <w:rPr>
          <w:rFonts w:cs="Times New Roman"/>
          <w:szCs w:val="20"/>
        </w:rPr>
        <w:t xml:space="preserve">, </w:t>
      </w:r>
      <w:r w:rsidR="00F92708" w:rsidRPr="00EF4250">
        <w:rPr>
          <w:rFonts w:cs="Times New Roman"/>
          <w:szCs w:val="20"/>
        </w:rPr>
        <w:t>using</w:t>
      </w:r>
      <w:r w:rsidR="002015C5" w:rsidRPr="00EF4250">
        <w:rPr>
          <w:rFonts w:cs="Times New Roman"/>
          <w:szCs w:val="20"/>
        </w:rPr>
        <w:t xml:space="preserve"> the relative size of individuals with OUD between different age groups as estimated from NSDUH</w:t>
      </w:r>
      <w:r w:rsidR="006E3B8B" w:rsidRPr="00EF4250">
        <w:rPr>
          <w:rFonts w:cs="Times New Roman"/>
          <w:szCs w:val="20"/>
        </w:rPr>
        <w:t>.</w:t>
      </w:r>
      <w:r w:rsidR="006E3B8B" w:rsidRPr="00EF4250">
        <w:rPr>
          <w:rFonts w:cs="Times New Roman"/>
          <w:szCs w:val="20"/>
        </w:rPr>
        <w:fldChar w:fldCharType="begin"/>
      </w:r>
      <w:r w:rsidR="009959E5">
        <w:rPr>
          <w:rFonts w:cs="Times New Roman"/>
          <w:szCs w:val="20"/>
        </w:rPr>
        <w:instrText xml:space="preserve"> ADDIN EN.CITE &lt;EndNote&gt;&lt;Cite ExcludeYear="1"&gt;&lt;Author&gt;Substance Abuse and Mental Health Services Administration (SAMHSA)&lt;/Author&gt;&lt;RecNum&gt;443&lt;/RecNum&gt;&lt;DisplayText&gt;&lt;style face="superscript"&gt;7,8&lt;/style&gt;&lt;/DisplayText&gt;&lt;record&gt;&lt;rec-number&gt;443&lt;/rec-number&gt;&lt;foreign-keys&gt;&lt;key app="EN" db-id="avtevdx5n99twqeadeupredtzeaatxdp5xsr" timestamp="1727801651"&gt;443&lt;/key&gt;&lt;/foreign-keys&gt;&lt;ref-type name="Web Page"&gt;12&lt;/ref-type&gt;&lt;contributors&gt;&lt;authors&gt;&lt;author&gt;Substance Abuse and Mental Health Services Administration (SAMHSA),&lt;/author&gt;&lt;/authors&gt;&lt;/contributors&gt;&lt;titles&gt;&lt;title&gt;National Survey on Drug Use and Health&lt;/title&gt;&lt;/titles&gt;&lt;volume&gt;2023&lt;/volume&gt;&lt;number&gt;May 7&lt;/number&gt;&lt;dates&gt;&lt;/dates&gt;&lt;urls&gt;&lt;related-urls&gt;&lt;url&gt;https://www.samhsa.gov/data/data-we-collect/nsduh-national-survey-drug-use-and-health&lt;/url&gt;&lt;/related-urls&gt;&lt;/urls&gt;&lt;/record&gt;&lt;/Cite&gt;&lt;Cite ExcludeYear="1"&gt;&lt;Author&gt;Substance Abuse and Mental Health Services Administration (SAMHSA)&lt;/Author&gt;&lt;RecNum&gt;444&lt;/RecNum&gt;&lt;record&gt;&lt;rec-number&gt;444&lt;/rec-number&gt;&lt;foreign-keys&gt;&lt;key app="EN" db-id="avtevdx5n99twqeadeupredtzeaatxdp5xsr" timestamp="1727801651"&gt;444&lt;/key&gt;&lt;/foreign-keys&gt;&lt;ref-type name="Web Page"&gt;12&lt;/ref-type&gt;&lt;contributors&gt;&lt;authors&gt;&lt;author&gt; Substance Abuse and Mental Health Services Administration (SAMHSA),&lt;/author&gt;&lt;/authors&gt;&lt;/contributors&gt;&lt;titles&gt;&lt;title&gt;National Survey on Drug Use and Health: 4-Year RDAS (2015 to 2018).&lt;/title&gt;&lt;/titles&gt;&lt;volume&gt;2023&lt;/volume&gt;&lt;number&gt;April 18 &lt;/number&gt;&lt;dates&gt;&lt;/dates&gt;&lt;urls&gt;&lt;related-urls&gt;&lt;url&gt;https://rdas.samhsa.gov/#/survey/NSDUH-2015-2018-RD04YR/.&lt;/url&gt;&lt;/related-urls&gt;&lt;/urls&gt;&lt;/record&gt;&lt;/Cite&gt;&lt;/EndNote&gt;</w:instrText>
      </w:r>
      <w:r w:rsidR="006E3B8B" w:rsidRPr="00EF4250">
        <w:rPr>
          <w:rFonts w:cs="Times New Roman"/>
          <w:szCs w:val="20"/>
        </w:rPr>
        <w:fldChar w:fldCharType="separate"/>
      </w:r>
      <w:r w:rsidR="006E3B8B" w:rsidRPr="00EF4250">
        <w:rPr>
          <w:rFonts w:cs="Times New Roman"/>
          <w:noProof/>
          <w:szCs w:val="20"/>
          <w:vertAlign w:val="superscript"/>
        </w:rPr>
        <w:t>7,8</w:t>
      </w:r>
      <w:r w:rsidR="006E3B8B" w:rsidRPr="00EF4250">
        <w:rPr>
          <w:rFonts w:cs="Times New Roman"/>
          <w:szCs w:val="20"/>
        </w:rPr>
        <w:fldChar w:fldCharType="end"/>
      </w:r>
      <w:r w:rsidR="00BC7633" w:rsidRPr="00EF4250">
        <w:rPr>
          <w:rFonts w:cs="Times New Roman"/>
          <w:szCs w:val="20"/>
        </w:rPr>
        <w:t xml:space="preserve"> </w:t>
      </w:r>
      <w:r w:rsidR="00AC23E6" w:rsidRPr="00EF4250">
        <w:rPr>
          <w:rFonts w:cs="Times New Roman"/>
          <w:szCs w:val="20"/>
        </w:rPr>
        <w:t>Due to restrictions from the data use agreement</w:t>
      </w:r>
      <w:r w:rsidR="00A06E77" w:rsidRPr="00EF4250">
        <w:rPr>
          <w:rFonts w:cs="Times New Roman"/>
          <w:szCs w:val="20"/>
        </w:rPr>
        <w:t xml:space="preserve"> of this study</w:t>
      </w:r>
      <w:r w:rsidR="00AC23E6" w:rsidRPr="00EF4250">
        <w:rPr>
          <w:rFonts w:cs="Times New Roman"/>
          <w:szCs w:val="20"/>
        </w:rPr>
        <w:t xml:space="preserve">, we </w:t>
      </w:r>
      <w:r w:rsidR="007254EF" w:rsidRPr="00EF4250">
        <w:rPr>
          <w:rFonts w:cs="Times New Roman"/>
          <w:szCs w:val="20"/>
        </w:rPr>
        <w:t>are unable to</w:t>
      </w:r>
      <w:r w:rsidR="00AC23E6" w:rsidRPr="00EF4250">
        <w:rPr>
          <w:rFonts w:cs="Times New Roman"/>
          <w:szCs w:val="20"/>
        </w:rPr>
        <w:t xml:space="preserve"> report </w:t>
      </w:r>
      <w:r w:rsidR="006E2BAF" w:rsidRPr="00EF4250">
        <w:rPr>
          <w:rFonts w:cs="Times New Roman"/>
          <w:szCs w:val="20"/>
        </w:rPr>
        <w:t>community-specific</w:t>
      </w:r>
      <w:r w:rsidR="00AC23E6" w:rsidRPr="00EF4250">
        <w:rPr>
          <w:rFonts w:cs="Times New Roman"/>
          <w:szCs w:val="20"/>
        </w:rPr>
        <w:t xml:space="preserve"> estimates</w:t>
      </w:r>
      <w:r w:rsidR="00A06E77" w:rsidRPr="00EF4250">
        <w:rPr>
          <w:rFonts w:cs="Times New Roman"/>
          <w:szCs w:val="20"/>
        </w:rPr>
        <w:t xml:space="preserve">; instead, we </w:t>
      </w:r>
      <w:r w:rsidR="00E35D64" w:rsidRPr="00EF4250">
        <w:rPr>
          <w:rFonts w:cs="Times New Roman"/>
          <w:szCs w:val="20"/>
        </w:rPr>
        <w:lastRenderedPageBreak/>
        <w:t xml:space="preserve">summarize the </w:t>
      </w:r>
      <w:r w:rsidR="00AC23E6" w:rsidRPr="00EF4250">
        <w:rPr>
          <w:rFonts w:cs="Times New Roman"/>
          <w:szCs w:val="20"/>
        </w:rPr>
        <w:t xml:space="preserve">average prevalence </w:t>
      </w:r>
      <w:r w:rsidR="006E2BAF" w:rsidRPr="00EF4250">
        <w:rPr>
          <w:rFonts w:cs="Times New Roman"/>
          <w:szCs w:val="20"/>
        </w:rPr>
        <w:t xml:space="preserve">estimates </w:t>
      </w:r>
      <w:r w:rsidR="00AC23E6" w:rsidRPr="00EF4250">
        <w:rPr>
          <w:rFonts w:cs="Times New Roman"/>
          <w:szCs w:val="20"/>
        </w:rPr>
        <w:t xml:space="preserve">among </w:t>
      </w:r>
      <w:r w:rsidR="006E2BAF" w:rsidRPr="00EF4250">
        <w:rPr>
          <w:rFonts w:cs="Times New Roman"/>
          <w:szCs w:val="20"/>
        </w:rPr>
        <w:t xml:space="preserve">the simulated </w:t>
      </w:r>
      <w:r w:rsidR="00E35D64" w:rsidRPr="00EF4250">
        <w:rPr>
          <w:rFonts w:cs="Times New Roman"/>
          <w:szCs w:val="20"/>
        </w:rPr>
        <w:t xml:space="preserve">communities by </w:t>
      </w:r>
      <w:r w:rsidR="006E2BAF" w:rsidRPr="00EF4250">
        <w:rPr>
          <w:rFonts w:cs="Times New Roman"/>
          <w:szCs w:val="20"/>
        </w:rPr>
        <w:t xml:space="preserve">urban and rural </w:t>
      </w:r>
      <w:r w:rsidR="00E35D64" w:rsidRPr="00EF4250">
        <w:rPr>
          <w:rFonts w:cs="Times New Roman"/>
          <w:szCs w:val="20"/>
        </w:rPr>
        <w:t xml:space="preserve">status </w:t>
      </w:r>
      <w:r w:rsidR="007A400A" w:rsidRPr="00EF4250">
        <w:rPr>
          <w:rFonts w:cs="Times New Roman"/>
          <w:szCs w:val="20"/>
        </w:rPr>
        <w:t xml:space="preserve">in </w:t>
      </w:r>
      <w:r w:rsidR="007A400A" w:rsidRPr="00EF4250">
        <w:rPr>
          <w:rFonts w:cs="Times New Roman"/>
          <w:b/>
          <w:bCs/>
          <w:szCs w:val="20"/>
        </w:rPr>
        <w:t xml:space="preserve">Table </w:t>
      </w:r>
      <w:r w:rsidR="0079174F" w:rsidRPr="00EF4250">
        <w:rPr>
          <w:rFonts w:cs="Times New Roman"/>
          <w:b/>
          <w:bCs/>
          <w:szCs w:val="20"/>
        </w:rPr>
        <w:t>S1</w:t>
      </w:r>
      <w:r w:rsidR="0042483A" w:rsidRPr="00EF4250">
        <w:rPr>
          <w:rFonts w:cs="Times New Roman"/>
          <w:b/>
          <w:bCs/>
          <w:szCs w:val="20"/>
        </w:rPr>
        <w:t>.1</w:t>
      </w:r>
      <w:r w:rsidR="007A400A" w:rsidRPr="00EF4250">
        <w:rPr>
          <w:rFonts w:cs="Times New Roman"/>
          <w:szCs w:val="20"/>
        </w:rPr>
        <w:t xml:space="preserve">. </w:t>
      </w:r>
    </w:p>
    <w:p w14:paraId="31025CC0" w14:textId="77777777" w:rsidR="00C930BA" w:rsidRPr="00EF4250" w:rsidRDefault="00C930BA" w:rsidP="445657CC">
      <w:pPr>
        <w:pStyle w:val="BodyText"/>
        <w:spacing w:after="0" w:line="276" w:lineRule="auto"/>
      </w:pPr>
      <w:r w:rsidRPr="445657CC">
        <w:rPr>
          <w:b/>
          <w:bCs/>
        </w:rPr>
        <w:t>Table S1.0.</w:t>
      </w:r>
      <w:r>
        <w:t xml:space="preserve"> Communities simulated by urban/rural status and state</w:t>
      </w:r>
    </w:p>
    <w:tbl>
      <w:tblPr>
        <w:tblW w:w="9355" w:type="dxa"/>
        <w:tblLayout w:type="fixed"/>
        <w:tblCellMar>
          <w:top w:w="29" w:type="dxa"/>
          <w:left w:w="29" w:type="dxa"/>
          <w:bottom w:w="29" w:type="dxa"/>
          <w:right w:w="29" w:type="dxa"/>
        </w:tblCellMar>
        <w:tblLook w:val="04A0" w:firstRow="1" w:lastRow="0" w:firstColumn="1" w:lastColumn="0" w:noHBand="0" w:noVBand="1"/>
      </w:tblPr>
      <w:tblGrid>
        <w:gridCol w:w="1435"/>
        <w:gridCol w:w="3960"/>
        <w:gridCol w:w="3960"/>
      </w:tblGrid>
      <w:tr w:rsidR="00CA3DD8" w:rsidRPr="00EF4250" w14:paraId="0F25C93D" w14:textId="77777777" w:rsidTr="00435936">
        <w:trPr>
          <w:trHeight w:val="300"/>
        </w:trPr>
        <w:tc>
          <w:tcPr>
            <w:tcW w:w="1435" w:type="dxa"/>
            <w:tcBorders>
              <w:top w:val="single" w:sz="4" w:space="0" w:color="auto"/>
              <w:left w:val="single" w:sz="4" w:space="0" w:color="auto"/>
              <w:bottom w:val="single" w:sz="4" w:space="0" w:color="auto"/>
              <w:right w:val="single" w:sz="4" w:space="0" w:color="auto"/>
            </w:tcBorders>
            <w:noWrap/>
            <w:tcMar>
              <w:left w:w="58" w:type="dxa"/>
              <w:right w:w="58" w:type="dxa"/>
            </w:tcMar>
            <w:hideMark/>
          </w:tcPr>
          <w:p w14:paraId="1E6A9FBF" w14:textId="77777777" w:rsidR="00CA3DD8" w:rsidRPr="00EF4250" w:rsidRDefault="00CA3DD8" w:rsidP="00435936">
            <w:pPr>
              <w:spacing w:after="0" w:line="240" w:lineRule="auto"/>
              <w:rPr>
                <w:rFonts w:eastAsia="Times New Roman" w:cs="Times New Roman"/>
                <w:b/>
                <w:bCs/>
                <w:color w:val="000000"/>
                <w:kern w:val="0"/>
                <w:szCs w:val="20"/>
                <w14:ligatures w14:val="none"/>
              </w:rPr>
            </w:pPr>
            <w:proofErr w:type="spellStart"/>
            <w:r w:rsidRPr="00EF4250">
              <w:rPr>
                <w:rFonts w:eastAsia="Times New Roman" w:cs="Times New Roman"/>
                <w:b/>
                <w:bCs/>
                <w:color w:val="000000"/>
                <w:kern w:val="0"/>
                <w:szCs w:val="20"/>
                <w14:ligatures w14:val="none"/>
              </w:rPr>
              <w:t>State</w:t>
            </w:r>
            <w:r w:rsidRPr="00EF4250">
              <w:rPr>
                <w:rFonts w:eastAsia="Times New Roman" w:cs="Times New Roman"/>
                <w:b/>
                <w:bCs/>
                <w:color w:val="000000"/>
                <w:kern w:val="0"/>
                <w:szCs w:val="20"/>
                <w:vertAlign w:val="superscript"/>
                <w14:ligatures w14:val="none"/>
              </w:rPr>
              <w:t>a</w:t>
            </w:r>
            <w:proofErr w:type="spellEnd"/>
          </w:p>
        </w:tc>
        <w:tc>
          <w:tcPr>
            <w:tcW w:w="3960" w:type="dxa"/>
            <w:tcBorders>
              <w:top w:val="single" w:sz="4" w:space="0" w:color="auto"/>
              <w:left w:val="nil"/>
              <w:bottom w:val="single" w:sz="4" w:space="0" w:color="auto"/>
              <w:right w:val="single" w:sz="4" w:space="0" w:color="auto"/>
            </w:tcBorders>
            <w:noWrap/>
            <w:tcMar>
              <w:left w:w="58" w:type="dxa"/>
              <w:right w:w="58" w:type="dxa"/>
            </w:tcMar>
            <w:hideMark/>
          </w:tcPr>
          <w:p w14:paraId="7B7F2059" w14:textId="77777777" w:rsidR="00CA3DD8" w:rsidRPr="00EF4250" w:rsidRDefault="00CA3DD8" w:rsidP="00435936">
            <w:pPr>
              <w:spacing w:after="0" w:line="240" w:lineRule="auto"/>
              <w:rPr>
                <w:rFonts w:eastAsia="Times New Roman" w:cs="Times New Roman"/>
                <w:b/>
                <w:bCs/>
                <w:color w:val="000000"/>
                <w:kern w:val="0"/>
                <w:szCs w:val="20"/>
                <w14:ligatures w14:val="none"/>
              </w:rPr>
            </w:pPr>
            <w:r w:rsidRPr="00EF4250">
              <w:rPr>
                <w:rFonts w:eastAsia="Times New Roman" w:cs="Times New Roman"/>
                <w:b/>
                <w:bCs/>
                <w:color w:val="000000"/>
                <w:kern w:val="0"/>
                <w:szCs w:val="20"/>
                <w14:ligatures w14:val="none"/>
              </w:rPr>
              <w:t>Rural</w:t>
            </w:r>
          </w:p>
        </w:tc>
        <w:tc>
          <w:tcPr>
            <w:tcW w:w="3960" w:type="dxa"/>
            <w:tcBorders>
              <w:top w:val="single" w:sz="4" w:space="0" w:color="auto"/>
              <w:left w:val="nil"/>
              <w:bottom w:val="single" w:sz="4" w:space="0" w:color="auto"/>
              <w:right w:val="single" w:sz="4" w:space="0" w:color="auto"/>
            </w:tcBorders>
            <w:noWrap/>
            <w:tcMar>
              <w:left w:w="58" w:type="dxa"/>
              <w:right w:w="58" w:type="dxa"/>
            </w:tcMar>
            <w:hideMark/>
          </w:tcPr>
          <w:p w14:paraId="5708FEDA" w14:textId="77777777" w:rsidR="00CA3DD8" w:rsidRPr="00EF4250" w:rsidRDefault="00CA3DD8" w:rsidP="00435936">
            <w:pPr>
              <w:spacing w:after="0" w:line="240" w:lineRule="auto"/>
              <w:rPr>
                <w:rFonts w:eastAsia="Times New Roman" w:cs="Times New Roman"/>
                <w:b/>
                <w:bCs/>
                <w:color w:val="000000"/>
                <w:kern w:val="0"/>
                <w:szCs w:val="20"/>
                <w14:ligatures w14:val="none"/>
              </w:rPr>
            </w:pPr>
            <w:r w:rsidRPr="00EF4250">
              <w:rPr>
                <w:rFonts w:eastAsia="Times New Roman" w:cs="Times New Roman"/>
                <w:b/>
                <w:bCs/>
                <w:color w:val="000000"/>
                <w:kern w:val="0"/>
                <w:szCs w:val="20"/>
                <w14:ligatures w14:val="none"/>
              </w:rPr>
              <w:t>Urban</w:t>
            </w:r>
          </w:p>
        </w:tc>
      </w:tr>
      <w:tr w:rsidR="00CA3DD8" w:rsidRPr="00EF4250" w14:paraId="516B7F30" w14:textId="77777777" w:rsidTr="00435936">
        <w:trPr>
          <w:trHeight w:val="900"/>
        </w:trPr>
        <w:tc>
          <w:tcPr>
            <w:tcW w:w="1435" w:type="dxa"/>
            <w:tcBorders>
              <w:top w:val="nil"/>
              <w:left w:val="single" w:sz="4" w:space="0" w:color="auto"/>
              <w:bottom w:val="single" w:sz="4" w:space="0" w:color="auto"/>
              <w:right w:val="single" w:sz="4" w:space="0" w:color="auto"/>
            </w:tcBorders>
            <w:noWrap/>
            <w:tcMar>
              <w:left w:w="58" w:type="dxa"/>
              <w:right w:w="58" w:type="dxa"/>
            </w:tcMar>
            <w:hideMark/>
          </w:tcPr>
          <w:p w14:paraId="37A5ED0C" w14:textId="77777777" w:rsidR="00CA3DD8" w:rsidRPr="00EF4250" w:rsidRDefault="00CA3DD8" w:rsidP="00435936">
            <w:pPr>
              <w:spacing w:after="0" w:line="240" w:lineRule="auto"/>
              <w:rPr>
                <w:rFonts w:eastAsia="Times New Roman" w:cs="Times New Roman"/>
                <w:color w:val="000000"/>
                <w:kern w:val="0"/>
                <w:szCs w:val="20"/>
                <w14:ligatures w14:val="none"/>
              </w:rPr>
            </w:pPr>
            <w:r w:rsidRPr="00EF4250">
              <w:rPr>
                <w:rFonts w:eastAsia="Times New Roman" w:cs="Times New Roman"/>
                <w:color w:val="000000"/>
                <w:kern w:val="0"/>
                <w:szCs w:val="20"/>
                <w14:ligatures w14:val="none"/>
              </w:rPr>
              <w:t>Massachusetts</w:t>
            </w:r>
          </w:p>
        </w:tc>
        <w:tc>
          <w:tcPr>
            <w:tcW w:w="3960" w:type="dxa"/>
            <w:tcBorders>
              <w:top w:val="nil"/>
              <w:left w:val="nil"/>
              <w:bottom w:val="single" w:sz="4" w:space="0" w:color="auto"/>
              <w:right w:val="single" w:sz="4" w:space="0" w:color="auto"/>
            </w:tcBorders>
            <w:tcMar>
              <w:left w:w="58" w:type="dxa"/>
              <w:right w:w="58" w:type="dxa"/>
            </w:tcMar>
            <w:hideMark/>
          </w:tcPr>
          <w:p w14:paraId="7383AE90" w14:textId="77777777" w:rsidR="00CA3DD8" w:rsidRPr="00EF4250" w:rsidRDefault="00CA3DD8" w:rsidP="00435936">
            <w:pPr>
              <w:spacing w:after="0" w:line="240" w:lineRule="auto"/>
              <w:rPr>
                <w:rFonts w:eastAsia="Times New Roman" w:cs="Times New Roman"/>
                <w:color w:val="000000"/>
                <w:kern w:val="0"/>
                <w:szCs w:val="20"/>
                <w14:ligatures w14:val="none"/>
              </w:rPr>
            </w:pPr>
            <w:r w:rsidRPr="00EF4250">
              <w:rPr>
                <w:rFonts w:eastAsia="Times New Roman" w:cs="Times New Roman"/>
                <w:color w:val="000000"/>
                <w:kern w:val="0"/>
                <w:szCs w:val="20"/>
                <w14:ligatures w14:val="none"/>
              </w:rPr>
              <w:t>Athol/Greenfield/Montague/Orange</w:t>
            </w:r>
          </w:p>
        </w:tc>
        <w:tc>
          <w:tcPr>
            <w:tcW w:w="3960" w:type="dxa"/>
            <w:tcBorders>
              <w:top w:val="nil"/>
              <w:left w:val="nil"/>
              <w:bottom w:val="single" w:sz="4" w:space="0" w:color="auto"/>
              <w:right w:val="single" w:sz="4" w:space="0" w:color="auto"/>
            </w:tcBorders>
            <w:tcMar>
              <w:left w:w="58" w:type="dxa"/>
              <w:right w:w="58" w:type="dxa"/>
            </w:tcMar>
            <w:hideMark/>
          </w:tcPr>
          <w:p w14:paraId="1DCCB5E9" w14:textId="77777777" w:rsidR="00CA3DD8" w:rsidRPr="00EF4250" w:rsidRDefault="00CA3DD8" w:rsidP="00435936">
            <w:pPr>
              <w:spacing w:after="0" w:line="240" w:lineRule="auto"/>
              <w:rPr>
                <w:rFonts w:eastAsia="Times New Roman" w:cs="Times New Roman"/>
                <w:color w:val="000000"/>
                <w:kern w:val="0"/>
                <w:szCs w:val="20"/>
                <w14:ligatures w14:val="none"/>
              </w:rPr>
            </w:pPr>
            <w:r w:rsidRPr="00EF4250">
              <w:rPr>
                <w:rFonts w:eastAsia="Times New Roman" w:cs="Times New Roman"/>
                <w:color w:val="000000"/>
                <w:kern w:val="0"/>
                <w:szCs w:val="20"/>
                <w14:ligatures w14:val="none"/>
              </w:rPr>
              <w:t>Brockton, Holyoke, Lawrence, Lowell, Pittsfield, Salem, Springfield, Weymouth</w:t>
            </w:r>
          </w:p>
        </w:tc>
      </w:tr>
      <w:tr w:rsidR="00CA3DD8" w:rsidRPr="00EF4250" w14:paraId="3C8A81F0" w14:textId="77777777" w:rsidTr="00435936">
        <w:trPr>
          <w:trHeight w:val="900"/>
        </w:trPr>
        <w:tc>
          <w:tcPr>
            <w:tcW w:w="1435" w:type="dxa"/>
            <w:tcBorders>
              <w:top w:val="nil"/>
              <w:left w:val="single" w:sz="4" w:space="0" w:color="auto"/>
              <w:bottom w:val="single" w:sz="4" w:space="0" w:color="auto"/>
              <w:right w:val="single" w:sz="4" w:space="0" w:color="auto"/>
            </w:tcBorders>
            <w:noWrap/>
            <w:tcMar>
              <w:left w:w="58" w:type="dxa"/>
              <w:right w:w="58" w:type="dxa"/>
            </w:tcMar>
            <w:hideMark/>
          </w:tcPr>
          <w:p w14:paraId="23FB4296" w14:textId="77777777" w:rsidR="00CA3DD8" w:rsidRPr="00EF4250" w:rsidRDefault="00CA3DD8" w:rsidP="00435936">
            <w:pPr>
              <w:spacing w:after="0" w:line="240" w:lineRule="auto"/>
              <w:rPr>
                <w:rFonts w:eastAsia="Times New Roman" w:cs="Times New Roman"/>
                <w:color w:val="000000"/>
                <w:kern w:val="0"/>
                <w:szCs w:val="20"/>
                <w14:ligatures w14:val="none"/>
              </w:rPr>
            </w:pPr>
            <w:r w:rsidRPr="00EF4250">
              <w:rPr>
                <w:rFonts w:eastAsia="Times New Roman" w:cs="Times New Roman"/>
                <w:color w:val="000000"/>
                <w:kern w:val="0"/>
                <w:szCs w:val="20"/>
                <w14:ligatures w14:val="none"/>
              </w:rPr>
              <w:t>New York</w:t>
            </w:r>
          </w:p>
        </w:tc>
        <w:tc>
          <w:tcPr>
            <w:tcW w:w="3960" w:type="dxa"/>
            <w:tcBorders>
              <w:top w:val="nil"/>
              <w:left w:val="nil"/>
              <w:bottom w:val="single" w:sz="4" w:space="0" w:color="auto"/>
              <w:right w:val="single" w:sz="4" w:space="0" w:color="auto"/>
            </w:tcBorders>
            <w:tcMar>
              <w:left w:w="58" w:type="dxa"/>
              <w:right w:w="58" w:type="dxa"/>
            </w:tcMar>
            <w:hideMark/>
          </w:tcPr>
          <w:p w14:paraId="7936286A" w14:textId="77777777" w:rsidR="00CA3DD8" w:rsidRPr="00EF4250" w:rsidRDefault="00CA3DD8" w:rsidP="00435936">
            <w:pPr>
              <w:spacing w:after="0" w:line="240" w:lineRule="auto"/>
              <w:rPr>
                <w:rFonts w:eastAsia="Times New Roman" w:cs="Times New Roman"/>
                <w:color w:val="000000"/>
                <w:kern w:val="0"/>
                <w:szCs w:val="20"/>
                <w14:ligatures w14:val="none"/>
              </w:rPr>
            </w:pPr>
            <w:r w:rsidRPr="00EF4250">
              <w:rPr>
                <w:rFonts w:eastAsia="Times New Roman" w:cs="Times New Roman"/>
                <w:color w:val="000000"/>
                <w:kern w:val="0"/>
                <w:szCs w:val="20"/>
                <w14:ligatures w14:val="none"/>
              </w:rPr>
              <w:t>Chautauqua County, Sullivan County</w:t>
            </w:r>
          </w:p>
        </w:tc>
        <w:tc>
          <w:tcPr>
            <w:tcW w:w="3960" w:type="dxa"/>
            <w:tcBorders>
              <w:top w:val="nil"/>
              <w:left w:val="nil"/>
              <w:bottom w:val="single" w:sz="4" w:space="0" w:color="auto"/>
              <w:right w:val="single" w:sz="4" w:space="0" w:color="auto"/>
            </w:tcBorders>
            <w:tcMar>
              <w:left w:w="58" w:type="dxa"/>
              <w:right w:w="58" w:type="dxa"/>
            </w:tcMar>
            <w:hideMark/>
          </w:tcPr>
          <w:p w14:paraId="2DB965FE" w14:textId="6A217EEF" w:rsidR="00CA3DD8" w:rsidRPr="00EF4250" w:rsidRDefault="00CA3DD8" w:rsidP="00435936">
            <w:pPr>
              <w:spacing w:after="0" w:line="240" w:lineRule="auto"/>
              <w:rPr>
                <w:rFonts w:eastAsia="Times New Roman" w:cs="Times New Roman"/>
                <w:color w:val="000000"/>
                <w:kern w:val="0"/>
                <w:szCs w:val="20"/>
                <w14:ligatures w14:val="none"/>
              </w:rPr>
            </w:pPr>
            <w:r w:rsidRPr="00EF4250">
              <w:rPr>
                <w:rFonts w:eastAsia="Times New Roman" w:cs="Times New Roman"/>
                <w:color w:val="000000"/>
                <w:kern w:val="0"/>
                <w:szCs w:val="20"/>
                <w14:ligatures w14:val="none"/>
              </w:rPr>
              <w:t>Broome County, Orange County, Ulster County</w:t>
            </w:r>
          </w:p>
        </w:tc>
      </w:tr>
      <w:tr w:rsidR="00CA3DD8" w:rsidRPr="00EF4250" w14:paraId="48EAF064" w14:textId="77777777" w:rsidTr="00435936">
        <w:trPr>
          <w:trHeight w:val="600"/>
        </w:trPr>
        <w:tc>
          <w:tcPr>
            <w:tcW w:w="1435" w:type="dxa"/>
            <w:tcBorders>
              <w:top w:val="nil"/>
              <w:left w:val="single" w:sz="4" w:space="0" w:color="auto"/>
              <w:bottom w:val="single" w:sz="4" w:space="0" w:color="auto"/>
              <w:right w:val="single" w:sz="4" w:space="0" w:color="auto"/>
            </w:tcBorders>
            <w:noWrap/>
            <w:tcMar>
              <w:left w:w="58" w:type="dxa"/>
              <w:right w:w="58" w:type="dxa"/>
            </w:tcMar>
            <w:hideMark/>
          </w:tcPr>
          <w:p w14:paraId="28A7A4AA" w14:textId="77777777" w:rsidR="00CA3DD8" w:rsidRPr="00EF4250" w:rsidRDefault="00CA3DD8" w:rsidP="00435936">
            <w:pPr>
              <w:spacing w:after="0" w:line="240" w:lineRule="auto"/>
              <w:rPr>
                <w:rFonts w:eastAsia="Times New Roman" w:cs="Times New Roman"/>
                <w:color w:val="000000"/>
                <w:kern w:val="0"/>
                <w:szCs w:val="20"/>
                <w14:ligatures w14:val="none"/>
              </w:rPr>
            </w:pPr>
            <w:r w:rsidRPr="00EF4250">
              <w:rPr>
                <w:rFonts w:eastAsia="Times New Roman" w:cs="Times New Roman"/>
                <w:color w:val="000000"/>
                <w:kern w:val="0"/>
                <w:szCs w:val="20"/>
                <w14:ligatures w14:val="none"/>
              </w:rPr>
              <w:t>Ohio</w:t>
            </w:r>
          </w:p>
        </w:tc>
        <w:tc>
          <w:tcPr>
            <w:tcW w:w="3960" w:type="dxa"/>
            <w:tcBorders>
              <w:top w:val="nil"/>
              <w:left w:val="nil"/>
              <w:bottom w:val="single" w:sz="4" w:space="0" w:color="auto"/>
              <w:right w:val="single" w:sz="4" w:space="0" w:color="auto"/>
            </w:tcBorders>
            <w:tcMar>
              <w:left w:w="58" w:type="dxa"/>
              <w:right w:w="58" w:type="dxa"/>
            </w:tcMar>
            <w:hideMark/>
          </w:tcPr>
          <w:p w14:paraId="4264C461" w14:textId="77777777" w:rsidR="00CA3DD8" w:rsidRPr="00EF4250" w:rsidRDefault="00CA3DD8" w:rsidP="00435936">
            <w:pPr>
              <w:spacing w:after="0" w:line="240" w:lineRule="auto"/>
              <w:rPr>
                <w:rFonts w:eastAsia="Times New Roman" w:cs="Times New Roman"/>
                <w:color w:val="000000"/>
                <w:kern w:val="0"/>
                <w:szCs w:val="20"/>
                <w14:ligatures w14:val="none"/>
              </w:rPr>
            </w:pPr>
            <w:r w:rsidRPr="00EF4250">
              <w:rPr>
                <w:rFonts w:eastAsia="Times New Roman" w:cs="Times New Roman"/>
                <w:color w:val="000000"/>
                <w:kern w:val="0"/>
                <w:szCs w:val="20"/>
                <w14:ligatures w14:val="none"/>
              </w:rPr>
              <w:t>Ashtabula County, Athens County, Huron County, Ross County, Scioto County</w:t>
            </w:r>
          </w:p>
        </w:tc>
        <w:tc>
          <w:tcPr>
            <w:tcW w:w="3960" w:type="dxa"/>
            <w:tcBorders>
              <w:top w:val="nil"/>
              <w:left w:val="nil"/>
              <w:bottom w:val="single" w:sz="4" w:space="0" w:color="auto"/>
              <w:right w:val="single" w:sz="4" w:space="0" w:color="auto"/>
            </w:tcBorders>
            <w:tcMar>
              <w:left w:w="58" w:type="dxa"/>
              <w:right w:w="58" w:type="dxa"/>
            </w:tcMar>
            <w:hideMark/>
          </w:tcPr>
          <w:p w14:paraId="2ECEA70A" w14:textId="77777777" w:rsidR="00CA3DD8" w:rsidRPr="00EF4250" w:rsidRDefault="00CA3DD8" w:rsidP="00435936">
            <w:pPr>
              <w:spacing w:after="0" w:line="240" w:lineRule="auto"/>
              <w:rPr>
                <w:rFonts w:eastAsia="Times New Roman" w:cs="Times New Roman"/>
                <w:color w:val="000000"/>
                <w:kern w:val="0"/>
                <w:szCs w:val="20"/>
                <w14:ligatures w14:val="none"/>
              </w:rPr>
            </w:pPr>
            <w:r w:rsidRPr="00EF4250">
              <w:rPr>
                <w:rFonts w:eastAsia="Times New Roman" w:cs="Times New Roman"/>
                <w:color w:val="000000"/>
                <w:kern w:val="0"/>
                <w:szCs w:val="20"/>
                <w14:ligatures w14:val="none"/>
              </w:rPr>
              <w:t>Allen County, Cuyahoga County, Franklin County, Greene County, Hamilton County, Lucas County, Stark County</w:t>
            </w:r>
          </w:p>
        </w:tc>
      </w:tr>
    </w:tbl>
    <w:p w14:paraId="233CDAFF" w14:textId="1B20D974" w:rsidR="00D64FA1" w:rsidRPr="00AF289E" w:rsidRDefault="00D64FA1" w:rsidP="00F85241">
      <w:pPr>
        <w:spacing w:after="0" w:line="276" w:lineRule="auto"/>
        <w:rPr>
          <w:rFonts w:cs="Times New Roman"/>
        </w:rPr>
      </w:pPr>
      <w:r w:rsidRPr="445657CC">
        <w:rPr>
          <w:rFonts w:cs="Times New Roman"/>
        </w:rPr>
        <w:t>HCS communities in Massachusetts were cities/towns, whereas HCS communities in New York and Ohio</w:t>
      </w:r>
      <w:r w:rsidR="0077197D" w:rsidRPr="445657CC">
        <w:rPr>
          <w:rFonts w:cs="Times New Roman"/>
        </w:rPr>
        <w:t xml:space="preserve"> </w:t>
      </w:r>
      <w:r w:rsidRPr="445657CC">
        <w:rPr>
          <w:rFonts w:cs="Times New Roman"/>
        </w:rPr>
        <w:t>were generally entire counties.</w:t>
      </w:r>
    </w:p>
    <w:p w14:paraId="4B0ABEEE" w14:textId="77777777" w:rsidR="00D64FA1" w:rsidRPr="00D2239A" w:rsidRDefault="00D64FA1" w:rsidP="00F85241">
      <w:pPr>
        <w:spacing w:after="0" w:line="276" w:lineRule="auto"/>
        <w:rPr>
          <w:rFonts w:cs="Times New Roman"/>
          <w:sz w:val="22"/>
          <w:szCs w:val="22"/>
        </w:rPr>
      </w:pPr>
    </w:p>
    <w:p w14:paraId="02211D47" w14:textId="4309F49E" w:rsidR="008D02B8" w:rsidRPr="00AF289E" w:rsidRDefault="00626C29" w:rsidP="00A3108F">
      <w:pPr>
        <w:pStyle w:val="Caption"/>
        <w:rPr>
          <w:rFonts w:cs="Times New Roman"/>
          <w:i w:val="0"/>
          <w:iCs w:val="0"/>
          <w:sz w:val="20"/>
          <w:szCs w:val="20"/>
        </w:rPr>
      </w:pPr>
      <w:r>
        <w:rPr>
          <w:rFonts w:cs="Times New Roman"/>
          <w:b/>
          <w:bCs/>
          <w:i w:val="0"/>
          <w:iCs w:val="0"/>
          <w:sz w:val="20"/>
          <w:szCs w:val="20"/>
        </w:rPr>
        <w:t xml:space="preserve">Supplementary </w:t>
      </w:r>
      <w:r w:rsidR="008D02B8" w:rsidRPr="00AF289E">
        <w:rPr>
          <w:rFonts w:cs="Times New Roman"/>
          <w:b/>
          <w:bCs/>
          <w:i w:val="0"/>
          <w:iCs w:val="0"/>
          <w:sz w:val="20"/>
          <w:szCs w:val="20"/>
        </w:rPr>
        <w:t>Table 1</w:t>
      </w:r>
      <w:r w:rsidR="008D02B8" w:rsidRPr="00AF289E">
        <w:rPr>
          <w:rFonts w:cs="Times New Roman"/>
          <w:i w:val="0"/>
          <w:iCs w:val="0"/>
          <w:sz w:val="20"/>
          <w:szCs w:val="20"/>
        </w:rPr>
        <w:t xml:space="preserve">. Estimated prevalence of OUD in </w:t>
      </w:r>
      <w:r w:rsidR="00F65C3D" w:rsidRPr="00AF289E">
        <w:rPr>
          <w:rFonts w:cs="Times New Roman"/>
          <w:i w:val="0"/>
          <w:iCs w:val="0"/>
          <w:sz w:val="20"/>
          <w:szCs w:val="20"/>
        </w:rPr>
        <w:t xml:space="preserve">26 </w:t>
      </w:r>
      <w:r w:rsidR="008D02B8" w:rsidRPr="00AF289E">
        <w:rPr>
          <w:rFonts w:cs="Times New Roman"/>
          <w:i w:val="0"/>
          <w:iCs w:val="0"/>
          <w:sz w:val="20"/>
          <w:szCs w:val="20"/>
        </w:rPr>
        <w:t>simulated urban and rural communities, 2017-</w:t>
      </w:r>
      <w:r w:rsidR="006C71A2" w:rsidRPr="00AF289E">
        <w:rPr>
          <w:rFonts w:cs="Times New Roman"/>
          <w:i w:val="0"/>
          <w:iCs w:val="0"/>
          <w:sz w:val="20"/>
          <w:szCs w:val="20"/>
        </w:rPr>
        <w:t>2022</w:t>
      </w:r>
      <w:r w:rsidR="008D02B8" w:rsidRPr="00AF289E">
        <w:rPr>
          <w:rFonts w:cs="Times New Roman"/>
          <w:i w:val="0"/>
          <w:iCs w:val="0"/>
          <w:sz w:val="20"/>
          <w:szCs w:val="20"/>
        </w:rPr>
        <w:t>.</w:t>
      </w:r>
      <w:r w:rsidR="00A3108F" w:rsidRPr="00AF289E">
        <w:rPr>
          <w:rFonts w:cs="Times New Roman"/>
          <w:i w:val="0"/>
          <w:iCs w:val="0"/>
          <w:sz w:val="20"/>
          <w:szCs w:val="20"/>
        </w:rPr>
        <w:t xml:space="preserve"> </w:t>
      </w:r>
    </w:p>
    <w:tbl>
      <w:tblPr>
        <w:tblW w:w="0" w:type="auto"/>
        <w:tblLayout w:type="fixed"/>
        <w:tblLook w:val="04A0" w:firstRow="1" w:lastRow="0" w:firstColumn="1" w:lastColumn="0" w:noHBand="0" w:noVBand="1"/>
      </w:tblPr>
      <w:tblGrid>
        <w:gridCol w:w="698"/>
        <w:gridCol w:w="2396"/>
        <w:gridCol w:w="2396"/>
      </w:tblGrid>
      <w:tr w:rsidR="008D02B8" w:rsidRPr="00EF4250" w14:paraId="33EC0A76" w14:textId="77777777" w:rsidTr="00A264D8">
        <w:trPr>
          <w:trHeight w:val="323"/>
        </w:trPr>
        <w:tc>
          <w:tcPr>
            <w:tcW w:w="698" w:type="dxa"/>
            <w:tcBorders>
              <w:top w:val="single" w:sz="4" w:space="0" w:color="auto"/>
              <w:left w:val="nil"/>
              <w:right w:val="nil"/>
            </w:tcBorders>
            <w:tcMar>
              <w:left w:w="29" w:type="dxa"/>
              <w:right w:w="29" w:type="dxa"/>
            </w:tcMar>
            <w:vAlign w:val="center"/>
          </w:tcPr>
          <w:p w14:paraId="4B6CE36A" w14:textId="77777777" w:rsidR="008D02B8" w:rsidRPr="00EF4250" w:rsidRDefault="008D02B8" w:rsidP="00A264D8">
            <w:pPr>
              <w:spacing w:after="0" w:line="240" w:lineRule="auto"/>
              <w:ind w:right="-595"/>
              <w:jc w:val="center"/>
              <w:rPr>
                <w:rFonts w:eastAsia="Times New Roman" w:cs="Times New Roman"/>
                <w:b/>
                <w:bCs/>
                <w:szCs w:val="20"/>
              </w:rPr>
            </w:pPr>
          </w:p>
        </w:tc>
        <w:tc>
          <w:tcPr>
            <w:tcW w:w="4792" w:type="dxa"/>
            <w:gridSpan w:val="2"/>
            <w:tcBorders>
              <w:top w:val="single" w:sz="4" w:space="0" w:color="auto"/>
              <w:left w:val="nil"/>
              <w:bottom w:val="single" w:sz="4" w:space="0" w:color="auto"/>
              <w:right w:val="nil"/>
            </w:tcBorders>
            <w:noWrap/>
            <w:tcMar>
              <w:left w:w="14" w:type="dxa"/>
              <w:right w:w="43" w:type="dxa"/>
            </w:tcMar>
            <w:vAlign w:val="center"/>
          </w:tcPr>
          <w:p w14:paraId="2B5D434F" w14:textId="533F264B" w:rsidR="008D02B8" w:rsidRPr="00EF4250" w:rsidRDefault="004C23A0" w:rsidP="004C23A0">
            <w:pPr>
              <w:spacing w:after="0" w:line="240" w:lineRule="auto"/>
              <w:jc w:val="center"/>
              <w:rPr>
                <w:rFonts w:eastAsia="Times New Roman" w:cs="Times New Roman"/>
                <w:b/>
                <w:bCs/>
                <w:color w:val="000000"/>
                <w:szCs w:val="20"/>
              </w:rPr>
            </w:pPr>
            <w:r w:rsidRPr="00EF4250">
              <w:rPr>
                <w:rFonts w:eastAsia="Times New Roman" w:cs="Times New Roman"/>
                <w:b/>
                <w:bCs/>
                <w:color w:val="000000"/>
                <w:szCs w:val="20"/>
              </w:rPr>
              <w:t>Mean (min</w:t>
            </w:r>
            <w:r w:rsidR="0042483A" w:rsidRPr="00EF4250">
              <w:rPr>
                <w:rFonts w:eastAsia="Times New Roman" w:cs="Times New Roman"/>
                <w:b/>
                <w:bCs/>
                <w:color w:val="000000"/>
                <w:szCs w:val="20"/>
              </w:rPr>
              <w:t xml:space="preserve"> </w:t>
            </w:r>
            <w:r w:rsidR="0042483A" w:rsidRPr="00EF4250">
              <w:rPr>
                <w:rFonts w:eastAsia="Times New Roman" w:cs="Times New Roman"/>
                <w:color w:val="000000"/>
                <w:szCs w:val="20"/>
              </w:rPr>
              <w:t>−</w:t>
            </w:r>
            <w:r w:rsidRPr="00EF4250">
              <w:rPr>
                <w:rFonts w:eastAsia="Times New Roman" w:cs="Times New Roman"/>
                <w:b/>
                <w:bCs/>
                <w:color w:val="000000"/>
                <w:szCs w:val="20"/>
              </w:rPr>
              <w:t xml:space="preserve"> max) prevalence </w:t>
            </w:r>
            <w:r w:rsidR="008D02B8" w:rsidRPr="00EF4250">
              <w:rPr>
                <w:rFonts w:eastAsia="Times New Roman" w:cs="Times New Roman"/>
                <w:b/>
                <w:bCs/>
                <w:color w:val="000000"/>
                <w:szCs w:val="20"/>
              </w:rPr>
              <w:t xml:space="preserve">of </w:t>
            </w:r>
            <w:proofErr w:type="spellStart"/>
            <w:r w:rsidR="008D02B8" w:rsidRPr="00EF4250">
              <w:rPr>
                <w:rFonts w:eastAsia="Times New Roman" w:cs="Times New Roman"/>
                <w:b/>
                <w:bCs/>
                <w:color w:val="000000"/>
                <w:szCs w:val="20"/>
              </w:rPr>
              <w:t>OUD</w:t>
            </w:r>
            <w:r w:rsidRPr="00EF4250">
              <w:rPr>
                <w:rFonts w:eastAsia="Times New Roman" w:cs="Times New Roman"/>
                <w:b/>
                <w:bCs/>
                <w:color w:val="000000"/>
                <w:szCs w:val="20"/>
                <w:vertAlign w:val="superscript"/>
              </w:rPr>
              <w:t>a</w:t>
            </w:r>
            <w:proofErr w:type="spellEnd"/>
            <w:r w:rsidR="008D02B8" w:rsidRPr="00EF4250">
              <w:rPr>
                <w:rFonts w:eastAsia="Times New Roman" w:cs="Times New Roman"/>
                <w:b/>
                <w:bCs/>
                <w:color w:val="000000"/>
                <w:szCs w:val="20"/>
              </w:rPr>
              <w:t xml:space="preserve"> </w:t>
            </w:r>
          </w:p>
        </w:tc>
      </w:tr>
      <w:tr w:rsidR="004C23A0" w:rsidRPr="00EF4250" w14:paraId="77860524" w14:textId="77777777" w:rsidTr="00A264D8">
        <w:trPr>
          <w:trHeight w:val="288"/>
        </w:trPr>
        <w:tc>
          <w:tcPr>
            <w:tcW w:w="698" w:type="dxa"/>
            <w:tcBorders>
              <w:left w:val="nil"/>
              <w:right w:val="nil"/>
            </w:tcBorders>
            <w:tcMar>
              <w:left w:w="101" w:type="dxa"/>
              <w:right w:w="29" w:type="dxa"/>
            </w:tcMar>
            <w:vAlign w:val="center"/>
          </w:tcPr>
          <w:p w14:paraId="015A25C4" w14:textId="77777777" w:rsidR="004C23A0" w:rsidRPr="00EF4250" w:rsidRDefault="004C23A0" w:rsidP="00A264D8">
            <w:pPr>
              <w:spacing w:after="0" w:line="240" w:lineRule="auto"/>
              <w:rPr>
                <w:rFonts w:eastAsia="Times New Roman" w:cs="Times New Roman"/>
                <w:b/>
                <w:bCs/>
                <w:color w:val="000000"/>
                <w:szCs w:val="20"/>
              </w:rPr>
            </w:pPr>
            <w:r w:rsidRPr="00EF4250">
              <w:rPr>
                <w:rFonts w:eastAsia="Times New Roman" w:cs="Times New Roman"/>
                <w:b/>
                <w:bCs/>
                <w:color w:val="000000"/>
                <w:szCs w:val="20"/>
              </w:rPr>
              <w:t>Year</w:t>
            </w:r>
          </w:p>
        </w:tc>
        <w:tc>
          <w:tcPr>
            <w:tcW w:w="2396" w:type="dxa"/>
            <w:tcBorders>
              <w:top w:val="single" w:sz="4" w:space="0" w:color="auto"/>
              <w:left w:val="nil"/>
              <w:right w:val="nil"/>
            </w:tcBorders>
            <w:noWrap/>
            <w:tcMar>
              <w:left w:w="14" w:type="dxa"/>
              <w:right w:w="43" w:type="dxa"/>
            </w:tcMar>
            <w:vAlign w:val="center"/>
            <w:hideMark/>
          </w:tcPr>
          <w:p w14:paraId="7A677BF5" w14:textId="411AE927" w:rsidR="004C23A0" w:rsidRPr="00EF4250" w:rsidRDefault="004C23A0" w:rsidP="00435936">
            <w:pPr>
              <w:spacing w:after="0" w:line="240" w:lineRule="auto"/>
              <w:jc w:val="center"/>
              <w:rPr>
                <w:rFonts w:eastAsia="Times New Roman" w:cs="Times New Roman"/>
                <w:b/>
                <w:bCs/>
                <w:color w:val="000000"/>
                <w:szCs w:val="20"/>
              </w:rPr>
            </w:pPr>
            <w:r w:rsidRPr="00EF4250">
              <w:rPr>
                <w:rFonts w:eastAsia="Times New Roman" w:cs="Times New Roman"/>
                <w:b/>
                <w:bCs/>
                <w:color w:val="000000"/>
                <w:szCs w:val="20"/>
              </w:rPr>
              <w:t xml:space="preserve">Urban, N = </w:t>
            </w:r>
            <w:r w:rsidR="006C71A2">
              <w:rPr>
                <w:rFonts w:eastAsia="Times New Roman" w:cs="Times New Roman"/>
                <w:b/>
                <w:bCs/>
                <w:color w:val="000000"/>
                <w:szCs w:val="20"/>
              </w:rPr>
              <w:t>18</w:t>
            </w:r>
          </w:p>
        </w:tc>
        <w:tc>
          <w:tcPr>
            <w:tcW w:w="2396" w:type="dxa"/>
            <w:tcBorders>
              <w:top w:val="single" w:sz="4" w:space="0" w:color="auto"/>
              <w:left w:val="nil"/>
              <w:right w:val="nil"/>
            </w:tcBorders>
            <w:noWrap/>
            <w:tcMar>
              <w:left w:w="14" w:type="dxa"/>
              <w:right w:w="14" w:type="dxa"/>
            </w:tcMar>
            <w:vAlign w:val="center"/>
            <w:hideMark/>
          </w:tcPr>
          <w:p w14:paraId="23CFD75E" w14:textId="351E795D" w:rsidR="004C23A0" w:rsidRPr="00EF4250" w:rsidRDefault="004C23A0" w:rsidP="00435936">
            <w:pPr>
              <w:spacing w:after="0" w:line="240" w:lineRule="auto"/>
              <w:jc w:val="center"/>
              <w:rPr>
                <w:rFonts w:eastAsia="Times New Roman" w:cs="Times New Roman"/>
                <w:b/>
                <w:bCs/>
                <w:color w:val="000000"/>
                <w:szCs w:val="20"/>
              </w:rPr>
            </w:pPr>
            <w:r w:rsidRPr="00EF4250">
              <w:rPr>
                <w:rFonts w:eastAsia="Times New Roman" w:cs="Times New Roman"/>
                <w:b/>
                <w:bCs/>
                <w:color w:val="000000"/>
                <w:szCs w:val="20"/>
              </w:rPr>
              <w:t>Rural, N = 8</w:t>
            </w:r>
          </w:p>
        </w:tc>
      </w:tr>
      <w:tr w:rsidR="004C23A0" w:rsidRPr="00EF4250" w14:paraId="3AD35D49" w14:textId="77777777" w:rsidTr="00A264D8">
        <w:trPr>
          <w:trHeight w:val="288"/>
        </w:trPr>
        <w:tc>
          <w:tcPr>
            <w:tcW w:w="698" w:type="dxa"/>
            <w:tcBorders>
              <w:top w:val="single" w:sz="4" w:space="0" w:color="auto"/>
              <w:left w:val="nil"/>
              <w:bottom w:val="nil"/>
              <w:right w:val="nil"/>
            </w:tcBorders>
            <w:tcMar>
              <w:left w:w="101" w:type="dxa"/>
              <w:right w:w="29" w:type="dxa"/>
            </w:tcMar>
            <w:vAlign w:val="center"/>
          </w:tcPr>
          <w:p w14:paraId="6B8027AB" w14:textId="2EA8E7BA" w:rsidR="004C23A0" w:rsidRPr="00EF4250" w:rsidRDefault="004C23A0" w:rsidP="00A264D8">
            <w:pPr>
              <w:spacing w:after="0" w:line="240" w:lineRule="auto"/>
              <w:rPr>
                <w:rFonts w:eastAsia="Times New Roman" w:cs="Times New Roman"/>
                <w:color w:val="000000"/>
                <w:szCs w:val="20"/>
              </w:rPr>
            </w:pPr>
            <w:r w:rsidRPr="00EF4250">
              <w:rPr>
                <w:rFonts w:eastAsia="Times New Roman" w:cs="Times New Roman"/>
                <w:color w:val="000000"/>
                <w:szCs w:val="20"/>
              </w:rPr>
              <w:t>2017</w:t>
            </w:r>
            <w:r w:rsidRPr="00EF4250">
              <w:rPr>
                <w:rFonts w:eastAsia="Times New Roman" w:cs="Times New Roman"/>
                <w:color w:val="000000"/>
                <w:szCs w:val="20"/>
                <w:vertAlign w:val="superscript"/>
              </w:rPr>
              <w:t>b</w:t>
            </w:r>
          </w:p>
        </w:tc>
        <w:tc>
          <w:tcPr>
            <w:tcW w:w="2396" w:type="dxa"/>
            <w:tcBorders>
              <w:top w:val="single" w:sz="4" w:space="0" w:color="auto"/>
              <w:left w:val="nil"/>
              <w:bottom w:val="nil"/>
              <w:right w:val="nil"/>
            </w:tcBorders>
            <w:noWrap/>
            <w:tcMar>
              <w:left w:w="14" w:type="dxa"/>
              <w:right w:w="43" w:type="dxa"/>
            </w:tcMar>
            <w:vAlign w:val="center"/>
            <w:hideMark/>
          </w:tcPr>
          <w:p w14:paraId="34505357" w14:textId="3EBFB580" w:rsidR="004C23A0" w:rsidRPr="00EF4250" w:rsidRDefault="004C23A0" w:rsidP="008D02B8">
            <w:pPr>
              <w:spacing w:after="0" w:line="240" w:lineRule="auto"/>
              <w:jc w:val="center"/>
              <w:rPr>
                <w:rFonts w:eastAsia="Times New Roman" w:cs="Times New Roman"/>
                <w:color w:val="000000"/>
                <w:szCs w:val="20"/>
              </w:rPr>
            </w:pPr>
            <w:r w:rsidRPr="00EF4250">
              <w:rPr>
                <w:rFonts w:eastAsia="Times New Roman" w:cs="Times New Roman"/>
                <w:color w:val="000000"/>
                <w:szCs w:val="20"/>
              </w:rPr>
              <w:t>0.032 (0.020</w:t>
            </w:r>
            <w:r w:rsidR="0042483A" w:rsidRPr="00EF4250">
              <w:rPr>
                <w:rFonts w:eastAsia="Times New Roman" w:cs="Times New Roman"/>
                <w:color w:val="000000"/>
                <w:szCs w:val="20"/>
              </w:rPr>
              <w:t xml:space="preserve"> − </w:t>
            </w:r>
            <w:r w:rsidRPr="00EF4250">
              <w:rPr>
                <w:rFonts w:eastAsia="Times New Roman" w:cs="Times New Roman"/>
                <w:color w:val="000000"/>
                <w:szCs w:val="20"/>
              </w:rPr>
              <w:t>0.042)</w:t>
            </w:r>
          </w:p>
        </w:tc>
        <w:tc>
          <w:tcPr>
            <w:tcW w:w="2396" w:type="dxa"/>
            <w:tcBorders>
              <w:top w:val="single" w:sz="4" w:space="0" w:color="auto"/>
              <w:left w:val="nil"/>
              <w:bottom w:val="nil"/>
              <w:right w:val="nil"/>
            </w:tcBorders>
            <w:noWrap/>
            <w:tcMar>
              <w:left w:w="14" w:type="dxa"/>
              <w:right w:w="14" w:type="dxa"/>
            </w:tcMar>
            <w:vAlign w:val="center"/>
            <w:hideMark/>
          </w:tcPr>
          <w:p w14:paraId="03AA6438" w14:textId="4F2F2A5F" w:rsidR="004C23A0" w:rsidRPr="00EF4250" w:rsidRDefault="004C23A0" w:rsidP="008D02B8">
            <w:pPr>
              <w:spacing w:after="0" w:line="240" w:lineRule="auto"/>
              <w:jc w:val="center"/>
              <w:rPr>
                <w:rFonts w:eastAsia="Times New Roman" w:cs="Times New Roman"/>
                <w:color w:val="000000"/>
                <w:szCs w:val="20"/>
              </w:rPr>
            </w:pPr>
            <w:r w:rsidRPr="00EF4250">
              <w:rPr>
                <w:rFonts w:eastAsia="Times New Roman" w:cs="Times New Roman"/>
                <w:color w:val="000000"/>
                <w:szCs w:val="20"/>
              </w:rPr>
              <w:t>0.058 (0.034</w:t>
            </w:r>
            <w:r w:rsidR="0042483A" w:rsidRPr="00EF4250">
              <w:rPr>
                <w:rFonts w:eastAsia="Times New Roman" w:cs="Times New Roman"/>
                <w:color w:val="000000"/>
                <w:szCs w:val="20"/>
              </w:rPr>
              <w:t xml:space="preserve"> − </w:t>
            </w:r>
            <w:r w:rsidRPr="00EF4250">
              <w:rPr>
                <w:rFonts w:eastAsia="Times New Roman" w:cs="Times New Roman"/>
                <w:color w:val="000000"/>
                <w:szCs w:val="20"/>
              </w:rPr>
              <w:t>0.114)</w:t>
            </w:r>
          </w:p>
        </w:tc>
      </w:tr>
      <w:tr w:rsidR="004C23A0" w:rsidRPr="00EF4250" w14:paraId="0453B5FD" w14:textId="77777777" w:rsidTr="00A264D8">
        <w:trPr>
          <w:trHeight w:val="288"/>
        </w:trPr>
        <w:tc>
          <w:tcPr>
            <w:tcW w:w="698" w:type="dxa"/>
            <w:tcBorders>
              <w:top w:val="nil"/>
              <w:left w:val="nil"/>
              <w:bottom w:val="nil"/>
              <w:right w:val="nil"/>
            </w:tcBorders>
            <w:tcMar>
              <w:left w:w="101" w:type="dxa"/>
              <w:right w:w="29" w:type="dxa"/>
            </w:tcMar>
            <w:vAlign w:val="center"/>
          </w:tcPr>
          <w:p w14:paraId="59AE820D" w14:textId="77777777" w:rsidR="004C23A0" w:rsidRPr="00EF4250" w:rsidRDefault="004C23A0" w:rsidP="00A264D8">
            <w:pPr>
              <w:spacing w:after="0" w:line="240" w:lineRule="auto"/>
              <w:rPr>
                <w:rFonts w:eastAsia="Times New Roman" w:cs="Times New Roman"/>
                <w:color w:val="000000"/>
                <w:szCs w:val="20"/>
              </w:rPr>
            </w:pPr>
            <w:r w:rsidRPr="00EF4250">
              <w:rPr>
                <w:rFonts w:eastAsia="Times New Roman" w:cs="Times New Roman"/>
                <w:color w:val="000000"/>
                <w:szCs w:val="20"/>
              </w:rPr>
              <w:t>2018</w:t>
            </w:r>
          </w:p>
        </w:tc>
        <w:tc>
          <w:tcPr>
            <w:tcW w:w="2396" w:type="dxa"/>
            <w:tcBorders>
              <w:top w:val="nil"/>
              <w:left w:val="nil"/>
              <w:bottom w:val="nil"/>
              <w:right w:val="nil"/>
            </w:tcBorders>
            <w:noWrap/>
            <w:tcMar>
              <w:left w:w="14" w:type="dxa"/>
              <w:right w:w="43" w:type="dxa"/>
            </w:tcMar>
            <w:vAlign w:val="center"/>
            <w:hideMark/>
          </w:tcPr>
          <w:p w14:paraId="44AD9D8F" w14:textId="36B9DFFF" w:rsidR="004C23A0" w:rsidRPr="00EF4250" w:rsidRDefault="004C23A0" w:rsidP="004C23A0">
            <w:pPr>
              <w:spacing w:after="0" w:line="240" w:lineRule="auto"/>
              <w:jc w:val="center"/>
              <w:rPr>
                <w:rFonts w:eastAsia="Times New Roman" w:cs="Times New Roman"/>
                <w:color w:val="000000"/>
                <w:szCs w:val="20"/>
              </w:rPr>
            </w:pPr>
            <w:r w:rsidRPr="00EF4250">
              <w:rPr>
                <w:rFonts w:eastAsia="Times New Roman" w:cs="Times New Roman"/>
                <w:color w:val="000000"/>
                <w:szCs w:val="20"/>
              </w:rPr>
              <w:t>0.048 (0.020</w:t>
            </w:r>
            <w:r w:rsidR="0042483A" w:rsidRPr="00EF4250">
              <w:rPr>
                <w:rFonts w:eastAsia="Times New Roman" w:cs="Times New Roman"/>
                <w:color w:val="000000"/>
                <w:szCs w:val="20"/>
              </w:rPr>
              <w:t xml:space="preserve"> − </w:t>
            </w:r>
            <w:r w:rsidRPr="00EF4250">
              <w:rPr>
                <w:rFonts w:eastAsia="Times New Roman" w:cs="Times New Roman"/>
                <w:color w:val="000000"/>
                <w:szCs w:val="20"/>
              </w:rPr>
              <w:t>0.111)</w:t>
            </w:r>
          </w:p>
        </w:tc>
        <w:tc>
          <w:tcPr>
            <w:tcW w:w="2396" w:type="dxa"/>
            <w:tcBorders>
              <w:top w:val="nil"/>
              <w:left w:val="nil"/>
              <w:bottom w:val="nil"/>
              <w:right w:val="nil"/>
            </w:tcBorders>
            <w:noWrap/>
            <w:tcMar>
              <w:left w:w="14" w:type="dxa"/>
              <w:right w:w="14" w:type="dxa"/>
            </w:tcMar>
            <w:vAlign w:val="center"/>
            <w:hideMark/>
          </w:tcPr>
          <w:p w14:paraId="43969EB7" w14:textId="1F8EE8E9" w:rsidR="004C23A0" w:rsidRPr="00EF4250" w:rsidRDefault="004C23A0" w:rsidP="004C23A0">
            <w:pPr>
              <w:spacing w:after="0" w:line="240" w:lineRule="auto"/>
              <w:jc w:val="center"/>
              <w:rPr>
                <w:rFonts w:eastAsia="Times New Roman" w:cs="Times New Roman"/>
                <w:color w:val="000000"/>
                <w:szCs w:val="20"/>
              </w:rPr>
            </w:pPr>
            <w:r w:rsidRPr="00EF4250">
              <w:rPr>
                <w:rFonts w:eastAsia="Times New Roman" w:cs="Times New Roman"/>
                <w:color w:val="000000"/>
                <w:szCs w:val="20"/>
              </w:rPr>
              <w:t>0.064 (0.038</w:t>
            </w:r>
            <w:r w:rsidR="0042483A" w:rsidRPr="00EF4250">
              <w:rPr>
                <w:rFonts w:eastAsia="Times New Roman" w:cs="Times New Roman"/>
                <w:color w:val="000000"/>
                <w:szCs w:val="20"/>
              </w:rPr>
              <w:t xml:space="preserve"> −</w:t>
            </w:r>
            <w:r w:rsidRPr="00EF4250">
              <w:rPr>
                <w:rFonts w:eastAsia="Times New Roman" w:cs="Times New Roman"/>
                <w:color w:val="000000"/>
                <w:szCs w:val="20"/>
              </w:rPr>
              <w:t xml:space="preserve"> 0.116)</w:t>
            </w:r>
          </w:p>
        </w:tc>
      </w:tr>
      <w:tr w:rsidR="004C23A0" w:rsidRPr="00EF4250" w14:paraId="721511E9" w14:textId="77777777" w:rsidTr="00A264D8">
        <w:trPr>
          <w:trHeight w:val="288"/>
        </w:trPr>
        <w:tc>
          <w:tcPr>
            <w:tcW w:w="698" w:type="dxa"/>
            <w:tcBorders>
              <w:top w:val="nil"/>
              <w:left w:val="nil"/>
              <w:bottom w:val="nil"/>
              <w:right w:val="nil"/>
            </w:tcBorders>
            <w:tcMar>
              <w:left w:w="101" w:type="dxa"/>
              <w:right w:w="29" w:type="dxa"/>
            </w:tcMar>
            <w:vAlign w:val="center"/>
          </w:tcPr>
          <w:p w14:paraId="1A7966C8" w14:textId="77777777" w:rsidR="004C23A0" w:rsidRPr="00EF4250" w:rsidRDefault="004C23A0" w:rsidP="00A264D8">
            <w:pPr>
              <w:spacing w:after="0" w:line="240" w:lineRule="auto"/>
              <w:rPr>
                <w:rFonts w:eastAsia="Times New Roman" w:cs="Times New Roman"/>
                <w:color w:val="000000"/>
                <w:szCs w:val="20"/>
              </w:rPr>
            </w:pPr>
            <w:r w:rsidRPr="00EF4250">
              <w:rPr>
                <w:rFonts w:eastAsia="Times New Roman" w:cs="Times New Roman"/>
                <w:color w:val="000000"/>
                <w:szCs w:val="20"/>
              </w:rPr>
              <w:t>2019</w:t>
            </w:r>
          </w:p>
        </w:tc>
        <w:tc>
          <w:tcPr>
            <w:tcW w:w="2396" w:type="dxa"/>
            <w:tcBorders>
              <w:top w:val="nil"/>
              <w:left w:val="nil"/>
              <w:bottom w:val="nil"/>
              <w:right w:val="nil"/>
            </w:tcBorders>
            <w:noWrap/>
            <w:tcMar>
              <w:left w:w="14" w:type="dxa"/>
              <w:right w:w="43" w:type="dxa"/>
            </w:tcMar>
            <w:vAlign w:val="center"/>
            <w:hideMark/>
          </w:tcPr>
          <w:p w14:paraId="0D45823F" w14:textId="0F2121FB" w:rsidR="004C23A0" w:rsidRPr="00EF4250" w:rsidRDefault="004C23A0" w:rsidP="004C23A0">
            <w:pPr>
              <w:spacing w:after="0" w:line="240" w:lineRule="auto"/>
              <w:jc w:val="center"/>
              <w:rPr>
                <w:rFonts w:eastAsia="Times New Roman" w:cs="Times New Roman"/>
                <w:color w:val="000000"/>
                <w:szCs w:val="20"/>
              </w:rPr>
            </w:pPr>
            <w:r w:rsidRPr="00EF4250">
              <w:rPr>
                <w:rFonts w:eastAsia="Times New Roman" w:cs="Times New Roman"/>
                <w:color w:val="000000"/>
                <w:szCs w:val="20"/>
              </w:rPr>
              <w:t>0.048 (0.021</w:t>
            </w:r>
            <w:r w:rsidR="0042483A" w:rsidRPr="00EF4250">
              <w:rPr>
                <w:rFonts w:eastAsia="Times New Roman" w:cs="Times New Roman"/>
                <w:color w:val="000000"/>
                <w:szCs w:val="20"/>
              </w:rPr>
              <w:t xml:space="preserve"> −</w:t>
            </w:r>
            <w:r w:rsidRPr="00EF4250">
              <w:rPr>
                <w:rFonts w:eastAsia="Times New Roman" w:cs="Times New Roman"/>
                <w:color w:val="000000"/>
                <w:szCs w:val="20"/>
              </w:rPr>
              <w:t xml:space="preserve"> 0.106)</w:t>
            </w:r>
          </w:p>
        </w:tc>
        <w:tc>
          <w:tcPr>
            <w:tcW w:w="2396" w:type="dxa"/>
            <w:tcBorders>
              <w:top w:val="nil"/>
              <w:left w:val="nil"/>
              <w:bottom w:val="nil"/>
              <w:right w:val="nil"/>
            </w:tcBorders>
            <w:noWrap/>
            <w:tcMar>
              <w:left w:w="14" w:type="dxa"/>
              <w:right w:w="14" w:type="dxa"/>
            </w:tcMar>
            <w:vAlign w:val="center"/>
            <w:hideMark/>
          </w:tcPr>
          <w:p w14:paraId="5D611FFD" w14:textId="5D72974F" w:rsidR="004C23A0" w:rsidRPr="00EF4250" w:rsidRDefault="004C23A0" w:rsidP="004C23A0">
            <w:pPr>
              <w:spacing w:after="0" w:line="240" w:lineRule="auto"/>
              <w:jc w:val="center"/>
              <w:rPr>
                <w:rFonts w:eastAsia="Times New Roman" w:cs="Times New Roman"/>
                <w:color w:val="000000"/>
                <w:szCs w:val="20"/>
              </w:rPr>
            </w:pPr>
            <w:r w:rsidRPr="00EF4250">
              <w:rPr>
                <w:rFonts w:eastAsia="Times New Roman" w:cs="Times New Roman"/>
                <w:color w:val="000000"/>
                <w:szCs w:val="20"/>
              </w:rPr>
              <w:t>0.067 (0.038</w:t>
            </w:r>
            <w:r w:rsidR="0042483A" w:rsidRPr="00EF4250">
              <w:rPr>
                <w:rFonts w:eastAsia="Times New Roman" w:cs="Times New Roman"/>
                <w:color w:val="000000"/>
                <w:szCs w:val="20"/>
              </w:rPr>
              <w:t xml:space="preserve"> −</w:t>
            </w:r>
            <w:r w:rsidRPr="00EF4250">
              <w:rPr>
                <w:rFonts w:eastAsia="Times New Roman" w:cs="Times New Roman"/>
                <w:color w:val="000000"/>
                <w:szCs w:val="20"/>
              </w:rPr>
              <w:t xml:space="preserve"> 0.127)</w:t>
            </w:r>
          </w:p>
        </w:tc>
      </w:tr>
      <w:tr w:rsidR="004C23A0" w:rsidRPr="00EF4250" w14:paraId="2943278E" w14:textId="77777777" w:rsidTr="00A264D8">
        <w:trPr>
          <w:trHeight w:val="288"/>
        </w:trPr>
        <w:tc>
          <w:tcPr>
            <w:tcW w:w="698" w:type="dxa"/>
            <w:tcBorders>
              <w:top w:val="nil"/>
              <w:left w:val="nil"/>
              <w:bottom w:val="nil"/>
              <w:right w:val="nil"/>
            </w:tcBorders>
            <w:tcMar>
              <w:left w:w="101" w:type="dxa"/>
              <w:right w:w="29" w:type="dxa"/>
            </w:tcMar>
            <w:vAlign w:val="center"/>
          </w:tcPr>
          <w:p w14:paraId="2D5D1227" w14:textId="77777777" w:rsidR="004C23A0" w:rsidRPr="00EF4250" w:rsidRDefault="004C23A0" w:rsidP="00A264D8">
            <w:pPr>
              <w:spacing w:after="0" w:line="240" w:lineRule="auto"/>
              <w:rPr>
                <w:rFonts w:eastAsia="Times New Roman" w:cs="Times New Roman"/>
                <w:color w:val="000000"/>
                <w:szCs w:val="20"/>
              </w:rPr>
            </w:pPr>
            <w:r w:rsidRPr="00EF4250">
              <w:rPr>
                <w:rFonts w:eastAsia="Times New Roman" w:cs="Times New Roman"/>
                <w:color w:val="000000"/>
                <w:szCs w:val="20"/>
              </w:rPr>
              <w:t>2020</w:t>
            </w:r>
          </w:p>
        </w:tc>
        <w:tc>
          <w:tcPr>
            <w:tcW w:w="2396" w:type="dxa"/>
            <w:tcBorders>
              <w:top w:val="nil"/>
              <w:left w:val="nil"/>
              <w:bottom w:val="nil"/>
              <w:right w:val="nil"/>
            </w:tcBorders>
            <w:noWrap/>
            <w:tcMar>
              <w:left w:w="14" w:type="dxa"/>
              <w:right w:w="43" w:type="dxa"/>
            </w:tcMar>
            <w:vAlign w:val="center"/>
            <w:hideMark/>
          </w:tcPr>
          <w:p w14:paraId="3B19D552" w14:textId="3ACA096D" w:rsidR="004C23A0" w:rsidRPr="00EF4250" w:rsidRDefault="004C23A0" w:rsidP="004C23A0">
            <w:pPr>
              <w:spacing w:after="0" w:line="240" w:lineRule="auto"/>
              <w:jc w:val="center"/>
              <w:rPr>
                <w:rFonts w:eastAsia="Times New Roman" w:cs="Times New Roman"/>
                <w:color w:val="000000"/>
                <w:szCs w:val="20"/>
              </w:rPr>
            </w:pPr>
            <w:r w:rsidRPr="00EF4250">
              <w:rPr>
                <w:rFonts w:eastAsia="Times New Roman" w:cs="Times New Roman"/>
                <w:color w:val="000000"/>
                <w:szCs w:val="20"/>
              </w:rPr>
              <w:t>0.046 (0.02</w:t>
            </w:r>
            <w:r w:rsidR="0042483A" w:rsidRPr="00EF4250">
              <w:rPr>
                <w:rFonts w:eastAsia="Times New Roman" w:cs="Times New Roman"/>
                <w:color w:val="000000"/>
                <w:szCs w:val="20"/>
              </w:rPr>
              <w:t>0 −</w:t>
            </w:r>
            <w:r w:rsidRPr="00EF4250">
              <w:rPr>
                <w:rFonts w:eastAsia="Times New Roman" w:cs="Times New Roman"/>
                <w:color w:val="000000"/>
                <w:szCs w:val="20"/>
              </w:rPr>
              <w:t xml:space="preserve"> 0.102)</w:t>
            </w:r>
          </w:p>
        </w:tc>
        <w:tc>
          <w:tcPr>
            <w:tcW w:w="2396" w:type="dxa"/>
            <w:tcBorders>
              <w:top w:val="nil"/>
              <w:left w:val="nil"/>
              <w:bottom w:val="nil"/>
              <w:right w:val="nil"/>
            </w:tcBorders>
            <w:noWrap/>
            <w:tcMar>
              <w:left w:w="14" w:type="dxa"/>
              <w:right w:w="14" w:type="dxa"/>
            </w:tcMar>
            <w:vAlign w:val="center"/>
            <w:hideMark/>
          </w:tcPr>
          <w:p w14:paraId="3028D369" w14:textId="0882EBA2" w:rsidR="004C23A0" w:rsidRPr="00EF4250" w:rsidRDefault="004C23A0" w:rsidP="004C23A0">
            <w:pPr>
              <w:spacing w:after="0" w:line="240" w:lineRule="auto"/>
              <w:jc w:val="center"/>
              <w:rPr>
                <w:rFonts w:eastAsia="Times New Roman" w:cs="Times New Roman"/>
                <w:color w:val="000000"/>
                <w:szCs w:val="20"/>
              </w:rPr>
            </w:pPr>
            <w:r w:rsidRPr="00EF4250">
              <w:rPr>
                <w:rFonts w:eastAsia="Times New Roman" w:cs="Times New Roman"/>
                <w:color w:val="000000"/>
                <w:szCs w:val="20"/>
              </w:rPr>
              <w:t>0.066 (0.038</w:t>
            </w:r>
            <w:r w:rsidR="0042483A" w:rsidRPr="00EF4250">
              <w:rPr>
                <w:rFonts w:eastAsia="Times New Roman" w:cs="Times New Roman"/>
                <w:color w:val="000000"/>
                <w:szCs w:val="20"/>
              </w:rPr>
              <w:t xml:space="preserve"> −</w:t>
            </w:r>
            <w:r w:rsidRPr="00EF4250">
              <w:rPr>
                <w:rFonts w:eastAsia="Times New Roman" w:cs="Times New Roman"/>
                <w:color w:val="000000"/>
                <w:szCs w:val="20"/>
              </w:rPr>
              <w:t xml:space="preserve"> 0.134)</w:t>
            </w:r>
          </w:p>
        </w:tc>
      </w:tr>
      <w:tr w:rsidR="004C23A0" w:rsidRPr="00EF4250" w14:paraId="16B4B5CC" w14:textId="77777777" w:rsidTr="00A264D8">
        <w:trPr>
          <w:trHeight w:val="288"/>
        </w:trPr>
        <w:tc>
          <w:tcPr>
            <w:tcW w:w="698" w:type="dxa"/>
            <w:tcBorders>
              <w:top w:val="nil"/>
              <w:left w:val="nil"/>
              <w:right w:val="nil"/>
            </w:tcBorders>
            <w:tcMar>
              <w:left w:w="101" w:type="dxa"/>
              <w:right w:w="29" w:type="dxa"/>
            </w:tcMar>
            <w:vAlign w:val="center"/>
          </w:tcPr>
          <w:p w14:paraId="10514636" w14:textId="77777777" w:rsidR="004C23A0" w:rsidRPr="00EF4250" w:rsidRDefault="004C23A0" w:rsidP="00A264D8">
            <w:pPr>
              <w:spacing w:after="0" w:line="240" w:lineRule="auto"/>
              <w:rPr>
                <w:rFonts w:eastAsia="Times New Roman" w:cs="Times New Roman"/>
                <w:color w:val="000000"/>
                <w:szCs w:val="20"/>
              </w:rPr>
            </w:pPr>
            <w:r w:rsidRPr="00EF4250">
              <w:rPr>
                <w:rFonts w:eastAsia="Times New Roman" w:cs="Times New Roman"/>
                <w:color w:val="000000"/>
                <w:szCs w:val="20"/>
              </w:rPr>
              <w:t>2021</w:t>
            </w:r>
          </w:p>
        </w:tc>
        <w:tc>
          <w:tcPr>
            <w:tcW w:w="2396" w:type="dxa"/>
            <w:tcBorders>
              <w:top w:val="nil"/>
              <w:left w:val="nil"/>
              <w:right w:val="nil"/>
            </w:tcBorders>
            <w:noWrap/>
            <w:tcMar>
              <w:left w:w="14" w:type="dxa"/>
              <w:right w:w="43" w:type="dxa"/>
            </w:tcMar>
            <w:vAlign w:val="center"/>
            <w:hideMark/>
          </w:tcPr>
          <w:p w14:paraId="3391E0E7" w14:textId="25530D02" w:rsidR="004C23A0" w:rsidRPr="00EF4250" w:rsidRDefault="004C23A0" w:rsidP="004C23A0">
            <w:pPr>
              <w:spacing w:after="0" w:line="240" w:lineRule="auto"/>
              <w:jc w:val="center"/>
              <w:rPr>
                <w:rFonts w:eastAsia="Times New Roman" w:cs="Times New Roman"/>
                <w:color w:val="000000"/>
                <w:szCs w:val="20"/>
              </w:rPr>
            </w:pPr>
            <w:r w:rsidRPr="00EF4250">
              <w:rPr>
                <w:rFonts w:eastAsia="Times New Roman" w:cs="Times New Roman"/>
                <w:color w:val="000000"/>
                <w:szCs w:val="20"/>
              </w:rPr>
              <w:t>0.045 (0.020</w:t>
            </w:r>
            <w:r w:rsidR="0042483A" w:rsidRPr="00EF4250">
              <w:rPr>
                <w:rFonts w:eastAsia="Times New Roman" w:cs="Times New Roman"/>
                <w:color w:val="000000"/>
                <w:szCs w:val="20"/>
              </w:rPr>
              <w:t xml:space="preserve"> −</w:t>
            </w:r>
            <w:r w:rsidRPr="00EF4250">
              <w:rPr>
                <w:rFonts w:eastAsia="Times New Roman" w:cs="Times New Roman"/>
                <w:color w:val="000000"/>
                <w:szCs w:val="20"/>
              </w:rPr>
              <w:t xml:space="preserve"> 0.103)</w:t>
            </w:r>
          </w:p>
        </w:tc>
        <w:tc>
          <w:tcPr>
            <w:tcW w:w="2396" w:type="dxa"/>
            <w:tcBorders>
              <w:top w:val="nil"/>
              <w:left w:val="nil"/>
              <w:right w:val="nil"/>
            </w:tcBorders>
            <w:noWrap/>
            <w:tcMar>
              <w:left w:w="14" w:type="dxa"/>
              <w:right w:w="14" w:type="dxa"/>
            </w:tcMar>
            <w:vAlign w:val="center"/>
            <w:hideMark/>
          </w:tcPr>
          <w:p w14:paraId="1C9EE49A" w14:textId="50DF4BC1" w:rsidR="004C23A0" w:rsidRPr="00EF4250" w:rsidRDefault="004C23A0" w:rsidP="004C23A0">
            <w:pPr>
              <w:spacing w:after="0" w:line="240" w:lineRule="auto"/>
              <w:jc w:val="center"/>
              <w:rPr>
                <w:rFonts w:eastAsia="Times New Roman" w:cs="Times New Roman"/>
                <w:color w:val="000000"/>
                <w:szCs w:val="20"/>
              </w:rPr>
            </w:pPr>
            <w:r w:rsidRPr="00EF4250">
              <w:rPr>
                <w:rFonts w:eastAsia="Times New Roman" w:cs="Times New Roman"/>
                <w:color w:val="000000"/>
                <w:szCs w:val="20"/>
              </w:rPr>
              <w:t>0.069 (0.038</w:t>
            </w:r>
            <w:r w:rsidR="0042483A" w:rsidRPr="00EF4250">
              <w:rPr>
                <w:rFonts w:eastAsia="Times New Roman" w:cs="Times New Roman"/>
                <w:color w:val="000000"/>
                <w:szCs w:val="20"/>
              </w:rPr>
              <w:t xml:space="preserve"> −</w:t>
            </w:r>
            <w:r w:rsidRPr="00EF4250">
              <w:rPr>
                <w:rFonts w:eastAsia="Times New Roman" w:cs="Times New Roman"/>
                <w:color w:val="000000"/>
                <w:szCs w:val="20"/>
              </w:rPr>
              <w:t xml:space="preserve"> 0.144)</w:t>
            </w:r>
          </w:p>
        </w:tc>
      </w:tr>
      <w:tr w:rsidR="004C23A0" w:rsidRPr="00EF4250" w14:paraId="19737FC2" w14:textId="77777777" w:rsidTr="00A264D8">
        <w:trPr>
          <w:trHeight w:val="288"/>
        </w:trPr>
        <w:tc>
          <w:tcPr>
            <w:tcW w:w="698" w:type="dxa"/>
            <w:tcBorders>
              <w:top w:val="nil"/>
              <w:left w:val="nil"/>
              <w:bottom w:val="single" w:sz="4" w:space="0" w:color="auto"/>
              <w:right w:val="nil"/>
            </w:tcBorders>
            <w:tcMar>
              <w:left w:w="101" w:type="dxa"/>
              <w:right w:w="29" w:type="dxa"/>
            </w:tcMar>
            <w:vAlign w:val="center"/>
          </w:tcPr>
          <w:p w14:paraId="2DAF2263" w14:textId="77777777" w:rsidR="004C23A0" w:rsidRPr="00EF4250" w:rsidRDefault="004C23A0" w:rsidP="00A264D8">
            <w:pPr>
              <w:spacing w:after="0" w:line="240" w:lineRule="auto"/>
              <w:rPr>
                <w:rFonts w:eastAsia="Times New Roman" w:cs="Times New Roman"/>
                <w:szCs w:val="20"/>
              </w:rPr>
            </w:pPr>
            <w:r w:rsidRPr="00EF4250">
              <w:rPr>
                <w:rFonts w:eastAsia="Times New Roman" w:cs="Times New Roman"/>
                <w:szCs w:val="20"/>
              </w:rPr>
              <w:t>2022</w:t>
            </w:r>
          </w:p>
        </w:tc>
        <w:tc>
          <w:tcPr>
            <w:tcW w:w="2396" w:type="dxa"/>
            <w:tcBorders>
              <w:top w:val="nil"/>
              <w:left w:val="nil"/>
              <w:bottom w:val="single" w:sz="4" w:space="0" w:color="auto"/>
              <w:right w:val="nil"/>
            </w:tcBorders>
            <w:noWrap/>
            <w:tcMar>
              <w:left w:w="14" w:type="dxa"/>
              <w:right w:w="43" w:type="dxa"/>
            </w:tcMar>
            <w:vAlign w:val="center"/>
            <w:hideMark/>
          </w:tcPr>
          <w:p w14:paraId="34F7C7C2" w14:textId="6C33DFDC" w:rsidR="004C23A0" w:rsidRPr="00EF4250" w:rsidRDefault="004C23A0" w:rsidP="004C23A0">
            <w:pPr>
              <w:spacing w:after="0" w:line="240" w:lineRule="auto"/>
              <w:jc w:val="center"/>
              <w:rPr>
                <w:rFonts w:eastAsia="Times New Roman" w:cs="Times New Roman"/>
                <w:szCs w:val="20"/>
              </w:rPr>
            </w:pPr>
            <w:r w:rsidRPr="00EF4250">
              <w:rPr>
                <w:rFonts w:eastAsia="Times New Roman" w:cs="Times New Roman"/>
                <w:szCs w:val="20"/>
              </w:rPr>
              <w:t>0.04</w:t>
            </w:r>
            <w:r w:rsidR="00E1505D" w:rsidRPr="00EF4250">
              <w:rPr>
                <w:rFonts w:eastAsia="Times New Roman" w:cs="Times New Roman"/>
                <w:szCs w:val="20"/>
              </w:rPr>
              <w:t>6</w:t>
            </w:r>
            <w:r w:rsidRPr="00EF4250">
              <w:rPr>
                <w:rFonts w:eastAsia="Times New Roman" w:cs="Times New Roman"/>
                <w:szCs w:val="20"/>
              </w:rPr>
              <w:t xml:space="preserve"> (0.020</w:t>
            </w:r>
            <w:r w:rsidR="0042483A" w:rsidRPr="00EF4250">
              <w:rPr>
                <w:rFonts w:eastAsia="Times New Roman" w:cs="Times New Roman"/>
                <w:szCs w:val="20"/>
              </w:rPr>
              <w:t xml:space="preserve"> </w:t>
            </w:r>
            <w:r w:rsidR="0042483A" w:rsidRPr="00EF4250">
              <w:rPr>
                <w:rFonts w:eastAsia="Times New Roman" w:cs="Times New Roman"/>
                <w:color w:val="000000"/>
                <w:szCs w:val="20"/>
              </w:rPr>
              <w:t>−</w:t>
            </w:r>
            <w:r w:rsidRPr="00EF4250">
              <w:rPr>
                <w:rFonts w:eastAsia="Times New Roman" w:cs="Times New Roman"/>
                <w:szCs w:val="20"/>
              </w:rPr>
              <w:t xml:space="preserve"> 0.10</w:t>
            </w:r>
            <w:r w:rsidR="00A40732" w:rsidRPr="00EF4250">
              <w:rPr>
                <w:rFonts w:eastAsia="Times New Roman" w:cs="Times New Roman"/>
                <w:szCs w:val="20"/>
              </w:rPr>
              <w:t>9</w:t>
            </w:r>
            <w:r w:rsidRPr="00EF4250">
              <w:rPr>
                <w:rFonts w:eastAsia="Times New Roman" w:cs="Times New Roman"/>
                <w:szCs w:val="20"/>
              </w:rPr>
              <w:t>)</w:t>
            </w:r>
          </w:p>
        </w:tc>
        <w:tc>
          <w:tcPr>
            <w:tcW w:w="2396" w:type="dxa"/>
            <w:tcBorders>
              <w:top w:val="nil"/>
              <w:left w:val="nil"/>
              <w:bottom w:val="single" w:sz="4" w:space="0" w:color="auto"/>
              <w:right w:val="nil"/>
            </w:tcBorders>
            <w:noWrap/>
            <w:tcMar>
              <w:left w:w="14" w:type="dxa"/>
              <w:right w:w="14" w:type="dxa"/>
            </w:tcMar>
            <w:vAlign w:val="center"/>
            <w:hideMark/>
          </w:tcPr>
          <w:p w14:paraId="350B9C2F" w14:textId="3C48202D" w:rsidR="004C23A0" w:rsidRPr="00EF4250" w:rsidRDefault="004C23A0" w:rsidP="004C23A0">
            <w:pPr>
              <w:spacing w:after="0" w:line="240" w:lineRule="auto"/>
              <w:jc w:val="center"/>
              <w:rPr>
                <w:rFonts w:eastAsia="Times New Roman" w:cs="Times New Roman"/>
                <w:szCs w:val="20"/>
              </w:rPr>
            </w:pPr>
            <w:r w:rsidRPr="00EF4250">
              <w:rPr>
                <w:rFonts w:eastAsia="Times New Roman" w:cs="Times New Roman"/>
                <w:szCs w:val="20"/>
              </w:rPr>
              <w:t>0.069 (0.03</w:t>
            </w:r>
            <w:r w:rsidR="005660E4" w:rsidRPr="00EF4250">
              <w:rPr>
                <w:rFonts w:eastAsia="Times New Roman" w:cs="Times New Roman"/>
                <w:szCs w:val="20"/>
              </w:rPr>
              <w:t>7</w:t>
            </w:r>
            <w:r w:rsidR="0042483A" w:rsidRPr="00EF4250">
              <w:rPr>
                <w:rFonts w:eastAsia="Times New Roman" w:cs="Times New Roman"/>
                <w:szCs w:val="20"/>
              </w:rPr>
              <w:t xml:space="preserve"> </w:t>
            </w:r>
            <w:r w:rsidR="0042483A" w:rsidRPr="00EF4250">
              <w:rPr>
                <w:rFonts w:eastAsia="Times New Roman" w:cs="Times New Roman"/>
                <w:color w:val="000000"/>
                <w:szCs w:val="20"/>
              </w:rPr>
              <w:t>−</w:t>
            </w:r>
            <w:r w:rsidRPr="00EF4250">
              <w:rPr>
                <w:rFonts w:eastAsia="Times New Roman" w:cs="Times New Roman"/>
                <w:szCs w:val="20"/>
              </w:rPr>
              <w:t xml:space="preserve"> 0.145)</w:t>
            </w:r>
          </w:p>
        </w:tc>
      </w:tr>
    </w:tbl>
    <w:p w14:paraId="4BBC6772" w14:textId="212270EC" w:rsidR="004C23A0" w:rsidRPr="00EF4250" w:rsidRDefault="004C23A0" w:rsidP="008D02B8">
      <w:pPr>
        <w:spacing w:after="0" w:line="276" w:lineRule="auto"/>
        <w:rPr>
          <w:rFonts w:cs="Times New Roman"/>
          <w:szCs w:val="20"/>
        </w:rPr>
      </w:pPr>
      <w:proofErr w:type="spellStart"/>
      <w:r w:rsidRPr="00EF4250">
        <w:rPr>
          <w:rFonts w:cs="Times New Roman"/>
          <w:szCs w:val="20"/>
          <w:vertAlign w:val="superscript"/>
        </w:rPr>
        <w:t>a</w:t>
      </w:r>
      <w:proofErr w:type="spellEnd"/>
      <w:r w:rsidRPr="00EF4250">
        <w:rPr>
          <w:rFonts w:cs="Times New Roman"/>
          <w:szCs w:val="20"/>
          <w:vertAlign w:val="superscript"/>
        </w:rPr>
        <w:t xml:space="preserve"> </w:t>
      </w:r>
      <w:r w:rsidRPr="00EF4250">
        <w:rPr>
          <w:rFonts w:cs="Times New Roman"/>
          <w:szCs w:val="20"/>
        </w:rPr>
        <w:t>Among individuals aged 12 years and older.</w:t>
      </w:r>
      <w:r w:rsidR="008D02B8" w:rsidRPr="00EF4250">
        <w:rPr>
          <w:rFonts w:cs="Times New Roman"/>
          <w:szCs w:val="20"/>
        </w:rPr>
        <w:t xml:space="preserve"> </w:t>
      </w:r>
    </w:p>
    <w:p w14:paraId="7EF8F04B" w14:textId="1CE2F3CD" w:rsidR="008D02B8" w:rsidRPr="00EF4250" w:rsidRDefault="004C23A0" w:rsidP="008D02B8">
      <w:pPr>
        <w:spacing w:after="0" w:line="276" w:lineRule="auto"/>
        <w:rPr>
          <w:rFonts w:cs="Times New Roman"/>
          <w:szCs w:val="20"/>
        </w:rPr>
      </w:pPr>
      <w:r w:rsidRPr="00EF4250">
        <w:rPr>
          <w:rFonts w:cs="Times New Roman"/>
          <w:szCs w:val="20"/>
          <w:vertAlign w:val="superscript"/>
        </w:rPr>
        <w:t xml:space="preserve">b </w:t>
      </w:r>
      <w:r w:rsidRPr="00EF4250">
        <w:rPr>
          <w:rFonts w:cs="Times New Roman"/>
          <w:szCs w:val="20"/>
        </w:rPr>
        <w:t xml:space="preserve">Estimates for 2017 were unavailable for communities in Massachusetts.  </w:t>
      </w:r>
      <w:r w:rsidR="008D02B8" w:rsidRPr="00EF4250">
        <w:rPr>
          <w:rFonts w:cs="Times New Roman"/>
          <w:szCs w:val="20"/>
        </w:rPr>
        <w:t xml:space="preserve"> </w:t>
      </w:r>
    </w:p>
    <w:p w14:paraId="2F275DA4" w14:textId="77777777" w:rsidR="008D02B8" w:rsidRPr="00D2239A" w:rsidRDefault="008D02B8" w:rsidP="008D02B8">
      <w:pPr>
        <w:pStyle w:val="Heading2"/>
        <w:rPr>
          <w:rFonts w:cs="Times New Roman"/>
          <w:b w:val="0"/>
          <w:bCs/>
          <w:szCs w:val="22"/>
        </w:rPr>
      </w:pPr>
      <w:bookmarkStart w:id="16" w:name="_Toc206680988"/>
      <w:bookmarkStart w:id="17" w:name="_Toc226020678"/>
      <w:r w:rsidRPr="00D2239A">
        <w:rPr>
          <w:rFonts w:cs="Times New Roman"/>
          <w:bCs/>
          <w:szCs w:val="22"/>
        </w:rPr>
        <w:t>S1.2.2. Prevalence of prescription opioid misuse and illicit opioid use (without OUD)</w:t>
      </w:r>
      <w:bookmarkEnd w:id="16"/>
      <w:bookmarkEnd w:id="17"/>
    </w:p>
    <w:p w14:paraId="144021BD" w14:textId="56CA1188" w:rsidR="008D02B8" w:rsidRPr="00EF4250" w:rsidRDefault="008D02B8" w:rsidP="008D02B8">
      <w:pPr>
        <w:pStyle w:val="BodyText"/>
        <w:spacing w:line="276" w:lineRule="auto"/>
        <w:rPr>
          <w:szCs w:val="20"/>
        </w:rPr>
      </w:pPr>
      <w:r w:rsidRPr="00EF4250">
        <w:rPr>
          <w:i/>
          <w:iCs/>
          <w:szCs w:val="20"/>
          <w:u w:val="single"/>
        </w:rPr>
        <w:t>Base estimate</w:t>
      </w:r>
      <w:r w:rsidRPr="00EF4250">
        <w:rPr>
          <w:szCs w:val="20"/>
        </w:rPr>
        <w:t xml:space="preserve"> </w:t>
      </w:r>
    </w:p>
    <w:p w14:paraId="7B5B1C3C" w14:textId="3DE74CCE" w:rsidR="008D02B8" w:rsidRPr="00EF4250" w:rsidRDefault="00934BB1" w:rsidP="008D02B8">
      <w:pPr>
        <w:spacing w:after="0" w:line="276" w:lineRule="auto"/>
        <w:rPr>
          <w:rFonts w:cs="Times New Roman"/>
          <w:szCs w:val="20"/>
        </w:rPr>
      </w:pPr>
      <w:r w:rsidRPr="00934BB1">
        <w:rPr>
          <w:rFonts w:cs="Times New Roman"/>
          <w:szCs w:val="20"/>
        </w:rPr>
        <w:t xml:space="preserve">Data on the prevalence of prescription opioid misuse and illicit opioid use are unavailable from claims data. </w:t>
      </w:r>
      <w:r w:rsidR="008D02B8" w:rsidRPr="00EF4250">
        <w:rPr>
          <w:rFonts w:cs="Times New Roman"/>
          <w:szCs w:val="20"/>
        </w:rPr>
        <w:t xml:space="preserve">We estimated the community-level prevalence of prescription opioid misuse without OUD and of illicit opioid use without OUD </w:t>
      </w:r>
      <w:r w:rsidR="00AA7C6E">
        <w:rPr>
          <w:rFonts w:cs="Times New Roman"/>
          <w:szCs w:val="20"/>
        </w:rPr>
        <w:t>using</w:t>
      </w:r>
      <w:r w:rsidR="008D02B8" w:rsidRPr="00EF4250">
        <w:rPr>
          <w:rFonts w:cs="Times New Roman"/>
          <w:szCs w:val="20"/>
        </w:rPr>
        <w:t xml:space="preserve"> data from the NSDUH. The NSDUH is an annual survey that asks respondents questions about their behaviors, misuse of prescription opioids, and use of illicit opioids. </w:t>
      </w:r>
      <w:r w:rsidR="003D7150" w:rsidRPr="00EF4250">
        <w:rPr>
          <w:rFonts w:cs="Times New Roman"/>
          <w:szCs w:val="20"/>
        </w:rPr>
        <w:t xml:space="preserve">Data </w:t>
      </w:r>
      <w:r w:rsidR="00B419A7" w:rsidRPr="00EF4250">
        <w:rPr>
          <w:rFonts w:cs="Times New Roman"/>
          <w:szCs w:val="20"/>
        </w:rPr>
        <w:t>is</w:t>
      </w:r>
      <w:r w:rsidR="003D7150" w:rsidRPr="00EF4250">
        <w:rPr>
          <w:rFonts w:cs="Times New Roman"/>
          <w:szCs w:val="20"/>
        </w:rPr>
        <w:t xml:space="preserve"> available for the nation as a whole, </w:t>
      </w:r>
      <w:r w:rsidR="001C7E89" w:rsidRPr="00EF4250">
        <w:rPr>
          <w:rFonts w:cs="Times New Roman"/>
          <w:szCs w:val="20"/>
        </w:rPr>
        <w:t xml:space="preserve">as well as </w:t>
      </w:r>
      <w:r w:rsidR="003D7150" w:rsidRPr="00EF4250">
        <w:rPr>
          <w:rFonts w:cs="Times New Roman"/>
          <w:szCs w:val="20"/>
        </w:rPr>
        <w:t xml:space="preserve">by state and substate. However, </w:t>
      </w:r>
      <w:r w:rsidR="00FE3994" w:rsidRPr="00EF4250">
        <w:rPr>
          <w:rFonts w:cs="Times New Roman"/>
          <w:szCs w:val="20"/>
        </w:rPr>
        <w:t xml:space="preserve">the variables available for analysis are restricted </w:t>
      </w:r>
      <w:r w:rsidR="00B419A7" w:rsidRPr="00EF4250">
        <w:rPr>
          <w:rFonts w:cs="Times New Roman"/>
          <w:szCs w:val="20"/>
        </w:rPr>
        <w:t>to</w:t>
      </w:r>
      <w:r w:rsidR="00FE3994" w:rsidRPr="00EF4250">
        <w:rPr>
          <w:rFonts w:cs="Times New Roman"/>
          <w:szCs w:val="20"/>
        </w:rPr>
        <w:t xml:space="preserve"> smaller geographic areas. Furthermore, s</w:t>
      </w:r>
      <w:r w:rsidR="008D02B8" w:rsidRPr="00EF4250">
        <w:rPr>
          <w:rFonts w:cs="Times New Roman"/>
          <w:szCs w:val="20"/>
        </w:rPr>
        <w:t xml:space="preserve">tate and substate-level data are available as annual averages over two and three-year periods, respectively. </w:t>
      </w:r>
      <w:r w:rsidR="001C7E89" w:rsidRPr="00EF4250">
        <w:rPr>
          <w:rFonts w:cs="Times New Roman"/>
          <w:szCs w:val="20"/>
        </w:rPr>
        <w:t xml:space="preserve">Whenever possible, we used data from the smallest geographic area available. When data were unavailable at the substate level, we relied on state-level data. </w:t>
      </w:r>
      <w:r w:rsidR="008D02B8" w:rsidRPr="00EF4250">
        <w:rPr>
          <w:rFonts w:cs="Times New Roman"/>
          <w:szCs w:val="20"/>
        </w:rPr>
        <w:t>We used the average of substate-level data from 2016-2018</w:t>
      </w:r>
      <w:r w:rsidR="002F7FE7" w:rsidRPr="00EF4250">
        <w:rPr>
          <w:rFonts w:cs="Times New Roman"/>
          <w:szCs w:val="20"/>
        </w:rPr>
        <w:fldChar w:fldCharType="begin"/>
      </w:r>
      <w:r w:rsidR="002F7FE7" w:rsidRPr="00EF4250">
        <w:rPr>
          <w:rFonts w:cs="Times New Roman"/>
          <w:szCs w:val="20"/>
        </w:rPr>
        <w:instrText xml:space="preserve"> ADDIN EN.CITE &lt;EndNote&gt;&lt;Cite&gt;&lt;Author&gt;Substance Abuse and Mental Health Services Administration (SAMHSA)&lt;/Author&gt;&lt;Year&gt;2020&lt;/Year&gt;&lt;RecNum&gt;128&lt;/RecNum&gt;&lt;DisplayText&gt;&lt;style face="superscript"&gt;9&lt;/style&gt;&lt;/DisplayText&gt;&lt;record&gt;&lt;rec-number&gt;128&lt;/rec-number&gt;&lt;foreign-keys&gt;&lt;key app="EN" db-id="ffv9f0td1taf24ev0z1paazh2dx55xvtwsv9" timestamp="1713388380"&gt;128&lt;/key&gt;&lt;/foreign-keys&gt;&lt;ref-type name="Web Page"&gt;12&lt;/ref-type&gt;&lt;contributors&gt;&lt;authors&gt;&lt;author&gt;Substance Abuse and Mental Health Services Administration (SAMHSA),,&lt;/author&gt;&lt;/authors&gt;&lt;/contributors&gt;&lt;titles&gt;&lt;title&gt;2016-2018 NSDUH substate region estimates - Tables&lt;/title&gt;&lt;/titles&gt;&lt;volume&gt;2023&lt;/volume&gt;&lt;number&gt;Jan 17&lt;/number&gt;&lt;dates&gt;&lt;year&gt;2020&lt;/year&gt;&lt;/dates&gt;&lt;pub-location&gt;Rockville, MD&lt;/pub-location&gt;&lt;publisher&gt;Substance Abuse and Mental Health Services Administration&lt;/publisher&gt;&lt;urls&gt;&lt;related-urls&gt;&lt;url&gt;https://www.samhsa.gov/data/report/2016-2018-nsduh-substate-region-estimates-tables&lt;/url&gt;&lt;/related-urls&gt;&lt;/urls&gt;&lt;/record&gt;&lt;/Cite&gt;&lt;/EndNote&gt;</w:instrText>
      </w:r>
      <w:r w:rsidR="002F7FE7" w:rsidRPr="00EF4250">
        <w:rPr>
          <w:rFonts w:cs="Times New Roman"/>
          <w:szCs w:val="20"/>
        </w:rPr>
        <w:fldChar w:fldCharType="separate"/>
      </w:r>
      <w:r w:rsidR="002F7FE7" w:rsidRPr="00EF4250">
        <w:rPr>
          <w:rFonts w:cs="Times New Roman"/>
          <w:noProof/>
          <w:szCs w:val="20"/>
          <w:vertAlign w:val="superscript"/>
        </w:rPr>
        <w:t>9</w:t>
      </w:r>
      <w:r w:rsidR="002F7FE7" w:rsidRPr="00EF4250">
        <w:rPr>
          <w:rFonts w:cs="Times New Roman"/>
          <w:szCs w:val="20"/>
        </w:rPr>
        <w:fldChar w:fldCharType="end"/>
      </w:r>
      <w:r w:rsidR="008D02B8" w:rsidRPr="00EF4250">
        <w:rPr>
          <w:rFonts w:cs="Times New Roman"/>
          <w:szCs w:val="20"/>
        </w:rPr>
        <w:t xml:space="preserve"> to represent sub-state level prevalence in 2017</w:t>
      </w:r>
      <w:r w:rsidR="001C7E89" w:rsidRPr="00EF4250">
        <w:rPr>
          <w:rFonts w:cs="Times New Roman"/>
          <w:szCs w:val="20"/>
        </w:rPr>
        <w:t xml:space="preserve"> and the average of state-level data from 2016-2017 and 2017-2018 to represent state-level prevalence in 2017</w:t>
      </w:r>
      <w:r w:rsidR="008D02B8" w:rsidRPr="00EF4250">
        <w:rPr>
          <w:rFonts w:cs="Times New Roman"/>
          <w:szCs w:val="20"/>
        </w:rPr>
        <w:t>.</w:t>
      </w:r>
      <w:r w:rsidR="002F7FE7" w:rsidRPr="00EF4250">
        <w:rPr>
          <w:rFonts w:cs="Times New Roman"/>
          <w:szCs w:val="20"/>
        </w:rPr>
        <w:fldChar w:fldCharType="begin"/>
      </w:r>
      <w:r w:rsidR="009959E5">
        <w:rPr>
          <w:rFonts w:cs="Times New Roman"/>
          <w:szCs w:val="20"/>
        </w:rPr>
        <w:instrText xml:space="preserve"> ADDIN EN.CITE &lt;EndNote&gt;&lt;Cite&gt;&lt;Author&gt;Substance Abuse and Mental Health Services Administration (SAMHSA)&lt;/Author&gt;&lt;Year&gt;n.d.-b&lt;/Year&gt;&lt;RecNum&gt;294&lt;/RecNum&gt;&lt;DisplayText&gt;&lt;style face="superscript"&gt;10,11&lt;/style&gt;&lt;/DisplayText&gt;&lt;record&gt;&lt;rec-number&gt;294&lt;/rec-number&gt;&lt;foreign-keys&gt;&lt;key app="EN" db-id="avtevdx5n99twqeadeupredtzeaatxdp5xsr" timestamp="1715030002"&gt;294&lt;/key&gt;&lt;/foreign-keys&gt;&lt;ref-type name="Web Page"&gt;12&lt;/ref-type&gt;&lt;contributors&gt;&lt;authors&gt;&lt;author&gt;Substance Abuse and Mental Health Services Administration (SAMHSA),,&lt;/author&gt;&lt;/authors&gt;&lt;/contributors&gt;&lt;titles&gt;&lt;title&gt;National survey on drug use and health: 2-year RDAS (2016 to 2017) [Data set]&lt;/title&gt;&lt;/titles&gt;&lt;volume&gt;2023&lt;/volume&gt;&lt;number&gt;Jan 17&lt;/number&gt;&lt;dates&gt;&lt;year&gt;n.d.-b&lt;/year&gt;&lt;/dates&gt;&lt;publisher&gt;Substance Abuse and Mental Health Data Archive&lt;/publisher&gt;&lt;urls&gt;&lt;related-urls&gt;&lt;url&gt;https://rdas.samhsa.gov/#/survey/NSDUH-2016-2017-RD02YR&lt;/url&gt;&lt;/related-urls&gt;&lt;/urls&gt;&lt;/record&gt;&lt;/Cite&gt;&lt;Cite&gt;&lt;Author&gt;Substance Abuse and Mental Health Services Administration (SAMHSA)&lt;/Author&gt;&lt;Year&gt;n.d.-c&lt;/Year&gt;&lt;RecNum&gt;295&lt;/RecNum&gt;&lt;record&gt;&lt;rec-number&gt;295&lt;/rec-number&gt;&lt;foreign-keys&gt;&lt;key app="EN" db-id="avtevdx5n99twqeadeupredtzeaatxdp5xsr" timestamp="1715030002"&gt;295&lt;/key&gt;&lt;/foreign-keys&gt;&lt;ref-type name="Web Page"&gt;12&lt;/ref-type&gt;&lt;contributors&gt;&lt;authors&gt;&lt;author&gt;Substance Abuse and Mental Health Services Administration (SAMHSA),,&lt;/author&gt;&lt;/authors&gt;&lt;/contributors&gt;&lt;titles&gt;&lt;title&gt;National survey on drug use and health: 2-year RDAS (2017 to 2018) [Data set]&lt;/title&gt;&lt;/titles&gt;&lt;volume&gt;2023&lt;/volume&gt;&lt;number&gt;Jan 17&lt;/number&gt;&lt;dates&gt;&lt;year&gt;n.d.-c&lt;/year&gt;&lt;/dates&gt;&lt;publisher&gt;Substance Abuse and Mental Health Data Archive&lt;/publisher&gt;&lt;urls&gt;&lt;related-urls&gt;&lt;url&gt;https://rdas.samhsa.gov/#/survey/NSDUH-2017-2018-RD02YR&lt;/url&gt;&lt;/related-urls&gt;&lt;/urls&gt;&lt;/record&gt;&lt;/Cite&gt;&lt;/EndNote&gt;</w:instrText>
      </w:r>
      <w:r w:rsidR="002F7FE7" w:rsidRPr="00EF4250">
        <w:rPr>
          <w:rFonts w:cs="Times New Roman"/>
          <w:szCs w:val="20"/>
        </w:rPr>
        <w:fldChar w:fldCharType="separate"/>
      </w:r>
      <w:r w:rsidR="002F7FE7" w:rsidRPr="00EF4250">
        <w:rPr>
          <w:rFonts w:cs="Times New Roman"/>
          <w:noProof/>
          <w:szCs w:val="20"/>
          <w:vertAlign w:val="superscript"/>
        </w:rPr>
        <w:t>10,11</w:t>
      </w:r>
      <w:r w:rsidR="002F7FE7" w:rsidRPr="00EF4250">
        <w:rPr>
          <w:rFonts w:cs="Times New Roman"/>
          <w:szCs w:val="20"/>
        </w:rPr>
        <w:fldChar w:fldCharType="end"/>
      </w:r>
      <w:r w:rsidR="008D02B8" w:rsidRPr="00EF4250">
        <w:rPr>
          <w:rFonts w:cs="Times New Roman"/>
          <w:szCs w:val="20"/>
        </w:rPr>
        <w:t xml:space="preserve"> </w:t>
      </w:r>
    </w:p>
    <w:p w14:paraId="373A6451" w14:textId="77777777" w:rsidR="008D02B8" w:rsidRPr="00EF4250" w:rsidRDefault="008D02B8" w:rsidP="00754108">
      <w:pPr>
        <w:spacing w:after="0" w:line="276" w:lineRule="auto"/>
        <w:rPr>
          <w:rFonts w:cs="Times New Roman"/>
          <w:szCs w:val="20"/>
        </w:rPr>
      </w:pPr>
    </w:p>
    <w:p w14:paraId="1A5E9A26" w14:textId="3D81F7A4" w:rsidR="00A213B8" w:rsidRPr="00EF4250" w:rsidRDefault="00626C29" w:rsidP="00A213B8">
      <w:pPr>
        <w:spacing w:after="0" w:line="276" w:lineRule="auto"/>
        <w:rPr>
          <w:rFonts w:cs="Times New Roman"/>
          <w:szCs w:val="20"/>
        </w:rPr>
      </w:pPr>
      <w:r>
        <w:rPr>
          <w:rFonts w:cs="Times New Roman"/>
          <w:b/>
          <w:bCs/>
          <w:szCs w:val="20"/>
        </w:rPr>
        <w:t xml:space="preserve">Supplementary </w:t>
      </w:r>
      <w:r w:rsidR="00A213B8" w:rsidRPr="00EF4250">
        <w:rPr>
          <w:rFonts w:cs="Times New Roman"/>
          <w:b/>
          <w:bCs/>
          <w:szCs w:val="20"/>
        </w:rPr>
        <w:t xml:space="preserve">Figure </w:t>
      </w:r>
      <w:r>
        <w:rPr>
          <w:rFonts w:cs="Times New Roman"/>
          <w:b/>
          <w:bCs/>
          <w:szCs w:val="20"/>
        </w:rPr>
        <w:t>2</w:t>
      </w:r>
      <w:r w:rsidR="00A213B8" w:rsidRPr="00EF4250">
        <w:rPr>
          <w:rFonts w:cs="Times New Roman"/>
          <w:szCs w:val="20"/>
        </w:rPr>
        <w:t xml:space="preserve"> shows our conceptual model that maps the variables available in the NSDUH data to the health states for different types of opioid use defined for our simulation model. Given that the NSDUH tracks prescription pain reliever misuse, heroin use, and opioid use disorder, separately, it resulted in six elements, which were then grouped as: Prescription Opioid Misuse without OUD (element 1), Illicit Opioid Use without OUD </w:t>
      </w:r>
      <w:r w:rsidR="00A213B8" w:rsidRPr="00EF4250">
        <w:rPr>
          <w:rFonts w:cs="Times New Roman"/>
          <w:szCs w:val="20"/>
        </w:rPr>
        <w:lastRenderedPageBreak/>
        <w:t>(elements 2 and 3), and OUD (elements 4, 5, and 6). Note that because NSDUH does not include a variable explicitly for illicit</w:t>
      </w:r>
      <w:r w:rsidR="00047F13" w:rsidRPr="00EF4250">
        <w:rPr>
          <w:rFonts w:cs="Times New Roman"/>
          <w:szCs w:val="20"/>
        </w:rPr>
        <w:t>ly manufactured</w:t>
      </w:r>
      <w:r w:rsidR="00A213B8" w:rsidRPr="00EF4250">
        <w:rPr>
          <w:rFonts w:cs="Times New Roman"/>
          <w:szCs w:val="20"/>
        </w:rPr>
        <w:t xml:space="preserve"> opioid use, we used the variable for heroin use as a proxy for illicit</w:t>
      </w:r>
      <w:r w:rsidR="00D16F1F" w:rsidRPr="00EF4250">
        <w:rPr>
          <w:rFonts w:cs="Times New Roman"/>
          <w:szCs w:val="20"/>
        </w:rPr>
        <w:t>ly manufactured</w:t>
      </w:r>
      <w:r w:rsidR="00A213B8" w:rsidRPr="00EF4250">
        <w:rPr>
          <w:rFonts w:cs="Times New Roman"/>
          <w:szCs w:val="20"/>
        </w:rPr>
        <w:t xml:space="preserve"> opioid use. </w:t>
      </w:r>
      <w:r w:rsidR="0029565F" w:rsidRPr="00EF4250">
        <w:rPr>
          <w:rFonts w:cs="Times New Roman"/>
          <w:szCs w:val="20"/>
        </w:rPr>
        <w:t>We</w:t>
      </w:r>
      <w:r w:rsidR="00A213B8" w:rsidRPr="00EF4250">
        <w:rPr>
          <w:rFonts w:cs="Times New Roman"/>
          <w:szCs w:val="20"/>
        </w:rPr>
        <w:t xml:space="preserve"> illustrate our approach </w:t>
      </w:r>
      <w:r w:rsidR="0061480D" w:rsidRPr="00EF4250">
        <w:rPr>
          <w:rFonts w:cs="Times New Roman"/>
          <w:szCs w:val="20"/>
        </w:rPr>
        <w:t>for</w:t>
      </w:r>
      <w:r w:rsidR="00A213B8" w:rsidRPr="00EF4250">
        <w:rPr>
          <w:rFonts w:cs="Times New Roman"/>
          <w:szCs w:val="20"/>
        </w:rPr>
        <w:t xml:space="preserve"> estimating substate-level prevalence for the </w:t>
      </w:r>
      <w:r w:rsidR="0061480D" w:rsidRPr="00EF4250">
        <w:rPr>
          <w:rFonts w:cs="Times New Roman"/>
          <w:i/>
          <w:iCs/>
          <w:szCs w:val="20"/>
        </w:rPr>
        <w:t>P</w:t>
      </w:r>
      <w:r w:rsidR="00A213B8" w:rsidRPr="00EF4250">
        <w:rPr>
          <w:rFonts w:cs="Times New Roman"/>
          <w:i/>
          <w:iCs/>
          <w:szCs w:val="20"/>
        </w:rPr>
        <w:t xml:space="preserve">rescription </w:t>
      </w:r>
      <w:r w:rsidR="0061480D" w:rsidRPr="00EF4250">
        <w:rPr>
          <w:rFonts w:cs="Times New Roman"/>
          <w:i/>
          <w:iCs/>
          <w:szCs w:val="20"/>
        </w:rPr>
        <w:t>O</w:t>
      </w:r>
      <w:r w:rsidR="00A213B8" w:rsidRPr="00EF4250">
        <w:rPr>
          <w:rFonts w:cs="Times New Roman"/>
          <w:i/>
          <w:iCs/>
          <w:szCs w:val="20"/>
        </w:rPr>
        <w:t xml:space="preserve">pioid </w:t>
      </w:r>
      <w:r w:rsidR="0061480D" w:rsidRPr="00EF4250">
        <w:rPr>
          <w:rFonts w:cs="Times New Roman"/>
          <w:i/>
          <w:iCs/>
          <w:szCs w:val="20"/>
        </w:rPr>
        <w:t>M</w:t>
      </w:r>
      <w:r w:rsidR="00A213B8" w:rsidRPr="00EF4250">
        <w:rPr>
          <w:rFonts w:cs="Times New Roman"/>
          <w:i/>
          <w:iCs/>
          <w:szCs w:val="20"/>
        </w:rPr>
        <w:t>isuse</w:t>
      </w:r>
      <w:r w:rsidR="00A213B8" w:rsidRPr="00EF4250">
        <w:rPr>
          <w:rFonts w:cs="Times New Roman"/>
          <w:szCs w:val="20"/>
        </w:rPr>
        <w:t xml:space="preserve"> and </w:t>
      </w:r>
      <w:r w:rsidR="00047592" w:rsidRPr="00EF4250">
        <w:rPr>
          <w:rFonts w:cs="Times New Roman"/>
          <w:i/>
          <w:iCs/>
          <w:szCs w:val="20"/>
        </w:rPr>
        <w:t>I</w:t>
      </w:r>
      <w:r w:rsidR="00A213B8" w:rsidRPr="00EF4250">
        <w:rPr>
          <w:rFonts w:cs="Times New Roman"/>
          <w:i/>
          <w:iCs/>
          <w:szCs w:val="20"/>
        </w:rPr>
        <w:t xml:space="preserve">llicit </w:t>
      </w:r>
      <w:r w:rsidR="00047592" w:rsidRPr="00EF4250">
        <w:rPr>
          <w:rFonts w:cs="Times New Roman"/>
          <w:i/>
          <w:iCs/>
          <w:szCs w:val="20"/>
        </w:rPr>
        <w:t>O</w:t>
      </w:r>
      <w:r w:rsidR="00A213B8" w:rsidRPr="00EF4250">
        <w:rPr>
          <w:rFonts w:cs="Times New Roman"/>
          <w:i/>
          <w:iCs/>
          <w:szCs w:val="20"/>
        </w:rPr>
        <w:t xml:space="preserve">pioid </w:t>
      </w:r>
      <w:r w:rsidR="00047592" w:rsidRPr="00EF4250">
        <w:rPr>
          <w:rFonts w:cs="Times New Roman"/>
          <w:i/>
          <w:iCs/>
          <w:szCs w:val="20"/>
        </w:rPr>
        <w:t>U</w:t>
      </w:r>
      <w:r w:rsidR="00A213B8" w:rsidRPr="00EF4250">
        <w:rPr>
          <w:rFonts w:cs="Times New Roman"/>
          <w:i/>
          <w:iCs/>
          <w:szCs w:val="20"/>
        </w:rPr>
        <w:t>se</w:t>
      </w:r>
      <w:r w:rsidR="00A213B8" w:rsidRPr="00EF4250">
        <w:rPr>
          <w:rFonts w:cs="Times New Roman"/>
          <w:szCs w:val="20"/>
        </w:rPr>
        <w:t xml:space="preserve"> states using the available estimates from NSDUH in </w:t>
      </w:r>
      <w:r>
        <w:rPr>
          <w:b/>
          <w:szCs w:val="20"/>
        </w:rPr>
        <w:t xml:space="preserve">Supplementary </w:t>
      </w:r>
      <w:r w:rsidR="00A213B8" w:rsidRPr="00EF4250">
        <w:rPr>
          <w:rFonts w:cs="Times New Roman"/>
          <w:b/>
          <w:bCs/>
          <w:szCs w:val="20"/>
        </w:rPr>
        <w:t>Tables 2</w:t>
      </w:r>
      <w:r w:rsidR="00A213B8" w:rsidRPr="00EF4250">
        <w:rPr>
          <w:rFonts w:cs="Times New Roman"/>
          <w:szCs w:val="20"/>
        </w:rPr>
        <w:t xml:space="preserve"> and </w:t>
      </w:r>
      <w:r w:rsidR="00A213B8" w:rsidRPr="00EF4250">
        <w:rPr>
          <w:rFonts w:cs="Times New Roman"/>
          <w:b/>
          <w:bCs/>
          <w:szCs w:val="20"/>
        </w:rPr>
        <w:t xml:space="preserve">3 </w:t>
      </w:r>
      <w:r w:rsidR="00A213B8" w:rsidRPr="00EF4250">
        <w:rPr>
          <w:rFonts w:cs="Times New Roman"/>
          <w:szCs w:val="20"/>
        </w:rPr>
        <w:t xml:space="preserve">below. </w:t>
      </w:r>
    </w:p>
    <w:p w14:paraId="29FEAE89" w14:textId="77777777" w:rsidR="00006CE0" w:rsidRPr="00EF4250" w:rsidRDefault="00006CE0" w:rsidP="00754108">
      <w:pPr>
        <w:spacing w:after="0" w:line="276" w:lineRule="auto"/>
        <w:rPr>
          <w:rFonts w:cs="Times New Roman"/>
          <w:szCs w:val="20"/>
        </w:rPr>
      </w:pPr>
    </w:p>
    <w:p w14:paraId="65DAB440" w14:textId="26859508" w:rsidR="004C23A0" w:rsidRPr="00D2239A" w:rsidRDefault="004C23A0" w:rsidP="00D94086">
      <w:pPr>
        <w:spacing w:after="0" w:line="276" w:lineRule="auto"/>
        <w:jc w:val="center"/>
        <w:rPr>
          <w:rFonts w:cs="Times New Roman"/>
        </w:rPr>
      </w:pPr>
      <w:bookmarkStart w:id="18" w:name="_Toc125124768"/>
      <w:bookmarkStart w:id="19" w:name="_Toc125124769"/>
      <w:r w:rsidRPr="00D2239A">
        <w:rPr>
          <w:rFonts w:cs="Times New Roman"/>
          <w:noProof/>
        </w:rPr>
        <w:drawing>
          <wp:inline distT="0" distB="0" distL="0" distR="0" wp14:anchorId="622156E6" wp14:editId="6D45D682">
            <wp:extent cx="4206240" cy="1830731"/>
            <wp:effectExtent l="0" t="0" r="3810" b="0"/>
            <wp:docPr id="229770546" name="Picture 22977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6240" cy="1830731"/>
                    </a:xfrm>
                    <a:prstGeom prst="rect">
                      <a:avLst/>
                    </a:prstGeom>
                    <a:noFill/>
                  </pic:spPr>
                </pic:pic>
              </a:graphicData>
            </a:graphic>
          </wp:inline>
        </w:drawing>
      </w:r>
    </w:p>
    <w:p w14:paraId="03637FF6" w14:textId="4FB8D26E" w:rsidR="007879EE" w:rsidRPr="00EF4250" w:rsidRDefault="00626C29" w:rsidP="00626C29">
      <w:pPr>
        <w:pStyle w:val="figure-title"/>
        <w:ind w:left="0" w:firstLine="0"/>
        <w:rPr>
          <w:szCs w:val="20"/>
        </w:rPr>
      </w:pPr>
      <w:r>
        <w:rPr>
          <w:b/>
          <w:szCs w:val="20"/>
        </w:rPr>
        <w:t xml:space="preserve">Supplementary </w:t>
      </w:r>
      <w:r w:rsidR="007879EE" w:rsidRPr="00EF4250">
        <w:rPr>
          <w:b/>
          <w:szCs w:val="20"/>
        </w:rPr>
        <w:t xml:space="preserve">Figure </w:t>
      </w:r>
      <w:r>
        <w:rPr>
          <w:b/>
          <w:szCs w:val="20"/>
        </w:rPr>
        <w:t>2</w:t>
      </w:r>
      <w:r w:rsidR="007879EE" w:rsidRPr="00EF4250">
        <w:rPr>
          <w:b/>
          <w:szCs w:val="20"/>
        </w:rPr>
        <w:t>.</w:t>
      </w:r>
      <w:r w:rsidR="007879EE" w:rsidRPr="00EF4250">
        <w:rPr>
          <w:szCs w:val="20"/>
        </w:rPr>
        <w:t xml:space="preserve"> Conceptual model of mapping variables for opioid uses from NSDUH to health states in OPSiM.</w:t>
      </w:r>
    </w:p>
    <w:p w14:paraId="3CEAFA22" w14:textId="710026DE" w:rsidR="009B63EA" w:rsidRPr="00D2239A" w:rsidRDefault="009B63EA" w:rsidP="009B63EA">
      <w:pPr>
        <w:spacing w:after="0" w:line="276" w:lineRule="auto"/>
        <w:rPr>
          <w:rFonts w:cs="Times New Roman"/>
          <w:szCs w:val="20"/>
        </w:rPr>
      </w:pPr>
      <w:r w:rsidRPr="00D2239A">
        <w:rPr>
          <w:rFonts w:cs="Times New Roman"/>
          <w:i/>
          <w:iCs/>
          <w:szCs w:val="20"/>
        </w:rPr>
        <w:t>Note:</w:t>
      </w:r>
      <w:r w:rsidRPr="00D2239A">
        <w:rPr>
          <w:rFonts w:cs="Times New Roman"/>
          <w:szCs w:val="20"/>
        </w:rPr>
        <w:t xml:space="preserve"> This figure is only for illustrating the conceptual relationship between the multiple states and the size of each subregion does not imply the relative size of the corresponding subpopulation.</w:t>
      </w:r>
    </w:p>
    <w:p w14:paraId="6A4E3F67" w14:textId="3627A4E6" w:rsidR="00A213B8" w:rsidRPr="00EF4250" w:rsidRDefault="00626C29" w:rsidP="0002535B">
      <w:pPr>
        <w:pStyle w:val="table-title"/>
        <w:ind w:left="0" w:firstLine="0"/>
        <w:rPr>
          <w:rFonts w:ascii="Times New Roman" w:hAnsi="Times New Roman"/>
          <w:szCs w:val="20"/>
        </w:rPr>
      </w:pPr>
      <w:r w:rsidRPr="00626C29">
        <w:rPr>
          <w:rFonts w:ascii="Times New Roman" w:hAnsi="Times New Roman"/>
          <w:b/>
          <w:szCs w:val="20"/>
        </w:rPr>
        <w:t xml:space="preserve">Supplementary </w:t>
      </w:r>
      <w:r w:rsidR="00A213B8" w:rsidRPr="00EF4250">
        <w:rPr>
          <w:rFonts w:ascii="Times New Roman" w:hAnsi="Times New Roman"/>
          <w:b/>
          <w:szCs w:val="20"/>
        </w:rPr>
        <w:t xml:space="preserve">Table 2. </w:t>
      </w:r>
      <w:r w:rsidR="00A213B8" w:rsidRPr="00EF4250">
        <w:rPr>
          <w:rFonts w:ascii="Times New Roman" w:hAnsi="Times New Roman"/>
          <w:szCs w:val="20"/>
        </w:rPr>
        <w:t>Worksheet to demonstrate the calculation of the substate-level past-year prevalence of prescription opioid misuse without OUD during the period 2016-2018 for an example community (not in the HEALing Communities Study</w:t>
      </w:r>
      <w:r w:rsidR="004C23A0" w:rsidRPr="00EF4250">
        <w:rPr>
          <w:rFonts w:ascii="Times New Roman" w:hAnsi="Times New Roman"/>
          <w:szCs w:val="20"/>
        </w:rPr>
        <w:t>)</w:t>
      </w:r>
      <w:r w:rsidR="004C23A0" w:rsidRPr="00EF4250">
        <w:rPr>
          <w:rFonts w:ascii="Times New Roman" w:hAnsi="Times New Roman"/>
          <w:szCs w:val="20"/>
          <w:vertAlign w:val="superscript"/>
        </w:rPr>
        <w:t>a</w:t>
      </w:r>
      <w:r w:rsidR="004C23A0" w:rsidRPr="00EF4250">
        <w:rPr>
          <w:rFonts w:ascii="Times New Roman" w:hAnsi="Times New Roman"/>
          <w:szCs w:val="20"/>
        </w:rPr>
        <w:t xml:space="preserve"> </w:t>
      </w:r>
      <w:r w:rsidR="00A213B8" w:rsidRPr="00EF4250">
        <w:rPr>
          <w:rFonts w:ascii="Times New Roman" w:hAnsi="Times New Roman"/>
          <w:szCs w:val="20"/>
        </w:rPr>
        <w:t>using data from NSDUH.</w:t>
      </w:r>
    </w:p>
    <w:tbl>
      <w:tblPr>
        <w:tblStyle w:val="TableGrid"/>
        <w:tblW w:w="9355" w:type="dxa"/>
        <w:tblLayout w:type="fixed"/>
        <w:tblLook w:val="04A0" w:firstRow="1" w:lastRow="0" w:firstColumn="1" w:lastColumn="0" w:noHBand="0" w:noVBand="1"/>
      </w:tblPr>
      <w:tblGrid>
        <w:gridCol w:w="4225"/>
        <w:gridCol w:w="1170"/>
        <w:gridCol w:w="2250"/>
        <w:gridCol w:w="1710"/>
      </w:tblGrid>
      <w:tr w:rsidR="00A213B8" w:rsidRPr="00D2239A" w14:paraId="3391AD8B" w14:textId="77777777" w:rsidTr="00435936">
        <w:trPr>
          <w:trHeight w:val="288"/>
        </w:trPr>
        <w:tc>
          <w:tcPr>
            <w:tcW w:w="4225" w:type="dxa"/>
            <w:tcMar>
              <w:top w:w="58" w:type="dxa"/>
              <w:left w:w="58" w:type="dxa"/>
              <w:bottom w:w="58" w:type="dxa"/>
              <w:right w:w="58" w:type="dxa"/>
            </w:tcMar>
          </w:tcPr>
          <w:p w14:paraId="56E350BF" w14:textId="77777777" w:rsidR="00A213B8" w:rsidRPr="00D2239A" w:rsidRDefault="00A213B8" w:rsidP="00803CAB">
            <w:pPr>
              <w:jc w:val="center"/>
              <w:rPr>
                <w:rFonts w:cs="Times New Roman"/>
                <w:b/>
                <w:bCs/>
                <w:sz w:val="18"/>
                <w:szCs w:val="18"/>
              </w:rPr>
            </w:pPr>
            <w:r w:rsidRPr="00D2239A">
              <w:rPr>
                <w:rFonts w:cs="Times New Roman"/>
                <w:b/>
                <w:bCs/>
                <w:sz w:val="18"/>
                <w:szCs w:val="18"/>
              </w:rPr>
              <w:t>Steps</w:t>
            </w:r>
          </w:p>
        </w:tc>
        <w:tc>
          <w:tcPr>
            <w:tcW w:w="1170" w:type="dxa"/>
            <w:tcMar>
              <w:top w:w="58" w:type="dxa"/>
              <w:left w:w="58" w:type="dxa"/>
              <w:bottom w:w="58" w:type="dxa"/>
              <w:right w:w="58" w:type="dxa"/>
            </w:tcMar>
          </w:tcPr>
          <w:p w14:paraId="699D92AA" w14:textId="77777777" w:rsidR="00A213B8" w:rsidRPr="00D2239A" w:rsidRDefault="00A213B8" w:rsidP="00803CAB">
            <w:pPr>
              <w:jc w:val="center"/>
              <w:rPr>
                <w:rFonts w:cs="Times New Roman"/>
                <w:b/>
                <w:bCs/>
                <w:sz w:val="18"/>
                <w:szCs w:val="18"/>
              </w:rPr>
            </w:pPr>
            <w:r w:rsidRPr="00D2239A">
              <w:rPr>
                <w:rFonts w:cs="Times New Roman"/>
                <w:b/>
                <w:bCs/>
                <w:sz w:val="18"/>
                <w:szCs w:val="18"/>
              </w:rPr>
              <w:t>Variable notation</w:t>
            </w:r>
          </w:p>
        </w:tc>
        <w:tc>
          <w:tcPr>
            <w:tcW w:w="2250" w:type="dxa"/>
            <w:tcMar>
              <w:top w:w="58" w:type="dxa"/>
              <w:left w:w="58" w:type="dxa"/>
              <w:bottom w:w="58" w:type="dxa"/>
              <w:right w:w="58" w:type="dxa"/>
            </w:tcMar>
          </w:tcPr>
          <w:p w14:paraId="5D107772" w14:textId="1E4AD6A8" w:rsidR="00A213B8" w:rsidRPr="00D2239A" w:rsidRDefault="00A213B8" w:rsidP="00803CAB">
            <w:pPr>
              <w:jc w:val="center"/>
              <w:rPr>
                <w:rFonts w:cs="Times New Roman"/>
                <w:b/>
                <w:bCs/>
                <w:sz w:val="18"/>
                <w:szCs w:val="18"/>
              </w:rPr>
            </w:pPr>
            <w:r w:rsidRPr="00D2239A">
              <w:rPr>
                <w:rFonts w:cs="Times New Roman"/>
                <w:b/>
                <w:bCs/>
                <w:sz w:val="18"/>
                <w:szCs w:val="18"/>
              </w:rPr>
              <w:t>Example value</w:t>
            </w:r>
          </w:p>
          <w:p w14:paraId="5BC33BA3" w14:textId="77777777" w:rsidR="00A213B8" w:rsidRPr="00D2239A" w:rsidRDefault="00A213B8" w:rsidP="00803CAB">
            <w:pPr>
              <w:jc w:val="center"/>
              <w:rPr>
                <w:rFonts w:cs="Times New Roman"/>
                <w:b/>
                <w:bCs/>
                <w:sz w:val="18"/>
                <w:szCs w:val="18"/>
              </w:rPr>
            </w:pPr>
            <w:r w:rsidRPr="00D2239A">
              <w:rPr>
                <w:rFonts w:cs="Times New Roman"/>
                <w:b/>
                <w:bCs/>
                <w:sz w:val="18"/>
                <w:szCs w:val="18"/>
              </w:rPr>
              <w:t>for 2016–2018</w:t>
            </w:r>
          </w:p>
        </w:tc>
        <w:tc>
          <w:tcPr>
            <w:tcW w:w="1710" w:type="dxa"/>
            <w:tcMar>
              <w:top w:w="58" w:type="dxa"/>
              <w:left w:w="58" w:type="dxa"/>
              <w:bottom w:w="58" w:type="dxa"/>
              <w:right w:w="58" w:type="dxa"/>
            </w:tcMar>
          </w:tcPr>
          <w:p w14:paraId="6BD3B347" w14:textId="77777777" w:rsidR="00A213B8" w:rsidRPr="00D2239A" w:rsidRDefault="00A213B8" w:rsidP="00803CAB">
            <w:pPr>
              <w:jc w:val="center"/>
              <w:rPr>
                <w:rFonts w:cs="Times New Roman"/>
                <w:b/>
                <w:bCs/>
                <w:sz w:val="18"/>
                <w:szCs w:val="18"/>
              </w:rPr>
            </w:pPr>
            <w:r w:rsidRPr="00D2239A">
              <w:rPr>
                <w:rFonts w:cs="Times New Roman"/>
                <w:b/>
                <w:bCs/>
                <w:sz w:val="18"/>
                <w:szCs w:val="18"/>
              </w:rPr>
              <w:t>Source</w:t>
            </w:r>
          </w:p>
        </w:tc>
      </w:tr>
      <w:tr w:rsidR="00A213B8" w:rsidRPr="00D2239A" w14:paraId="5251B3DE" w14:textId="77777777" w:rsidTr="00435936">
        <w:tc>
          <w:tcPr>
            <w:tcW w:w="4225" w:type="dxa"/>
            <w:tcMar>
              <w:top w:w="58" w:type="dxa"/>
              <w:left w:w="58" w:type="dxa"/>
              <w:bottom w:w="58" w:type="dxa"/>
              <w:right w:w="58" w:type="dxa"/>
            </w:tcMar>
          </w:tcPr>
          <w:p w14:paraId="76BB85FC" w14:textId="03C1DBE9" w:rsidR="00A213B8" w:rsidRPr="00D2239A" w:rsidRDefault="00A213B8" w:rsidP="00803CAB">
            <w:pPr>
              <w:rPr>
                <w:rFonts w:cs="Times New Roman"/>
                <w:sz w:val="18"/>
                <w:szCs w:val="18"/>
                <w:vertAlign w:val="superscript"/>
              </w:rPr>
            </w:pPr>
            <w:r w:rsidRPr="00D2239A">
              <w:rPr>
                <w:rFonts w:cs="Times New Roman"/>
                <w:sz w:val="18"/>
                <w:szCs w:val="18"/>
              </w:rPr>
              <w:t xml:space="preserve">State average annual estimate of number of individuals with misuse of pain </w:t>
            </w:r>
            <w:proofErr w:type="spellStart"/>
            <w:r w:rsidRPr="00D2239A">
              <w:rPr>
                <w:rFonts w:cs="Times New Roman"/>
                <w:sz w:val="18"/>
                <w:szCs w:val="18"/>
              </w:rPr>
              <w:t>relievers</w:t>
            </w:r>
            <w:r w:rsidR="001C7E89" w:rsidRPr="00D2239A">
              <w:rPr>
                <w:rFonts w:cs="Times New Roman"/>
                <w:sz w:val="18"/>
                <w:szCs w:val="18"/>
                <w:vertAlign w:val="superscript"/>
              </w:rPr>
              <w:t>b</w:t>
            </w:r>
            <w:proofErr w:type="spellEnd"/>
          </w:p>
        </w:tc>
        <w:tc>
          <w:tcPr>
            <w:tcW w:w="1170" w:type="dxa"/>
            <w:tcMar>
              <w:top w:w="58" w:type="dxa"/>
              <w:left w:w="58" w:type="dxa"/>
              <w:bottom w:w="58" w:type="dxa"/>
              <w:right w:w="58" w:type="dxa"/>
            </w:tcMar>
          </w:tcPr>
          <w:p w14:paraId="1310023F" w14:textId="77777777" w:rsidR="00A213B8" w:rsidRPr="00D2239A" w:rsidRDefault="00A213B8" w:rsidP="00803CAB">
            <w:pPr>
              <w:jc w:val="center"/>
              <w:rPr>
                <w:rFonts w:cs="Times New Roman"/>
                <w:sz w:val="18"/>
                <w:szCs w:val="18"/>
              </w:rPr>
            </w:pPr>
            <w:r w:rsidRPr="00D2239A">
              <w:rPr>
                <w:rFonts w:cs="Times New Roman"/>
                <w:sz w:val="18"/>
                <w:szCs w:val="18"/>
              </w:rPr>
              <w:t>g</w:t>
            </w:r>
          </w:p>
        </w:tc>
        <w:tc>
          <w:tcPr>
            <w:tcW w:w="2250" w:type="dxa"/>
            <w:tcMar>
              <w:top w:w="58" w:type="dxa"/>
              <w:left w:w="58" w:type="dxa"/>
              <w:bottom w:w="58" w:type="dxa"/>
              <w:right w:w="58" w:type="dxa"/>
            </w:tcMar>
          </w:tcPr>
          <w:p w14:paraId="6832DB5D" w14:textId="77777777" w:rsidR="00A213B8" w:rsidRPr="00D2239A" w:rsidRDefault="00A213B8" w:rsidP="00803CAB">
            <w:pPr>
              <w:rPr>
                <w:rFonts w:cs="Times New Roman"/>
                <w:sz w:val="18"/>
                <w:szCs w:val="18"/>
              </w:rPr>
            </w:pPr>
            <w:r w:rsidRPr="00D2239A">
              <w:rPr>
                <w:rFonts w:cs="Times New Roman"/>
                <w:sz w:val="18"/>
                <w:szCs w:val="18"/>
              </w:rPr>
              <w:t>Average of:</w:t>
            </w:r>
          </w:p>
          <w:p w14:paraId="02166CA2" w14:textId="77777777" w:rsidR="00A213B8" w:rsidRPr="00D2239A" w:rsidRDefault="00A213B8" w:rsidP="00803CAB">
            <w:pPr>
              <w:rPr>
                <w:rFonts w:cs="Times New Roman"/>
                <w:sz w:val="18"/>
                <w:szCs w:val="18"/>
              </w:rPr>
            </w:pPr>
            <w:r w:rsidRPr="00D2239A">
              <w:rPr>
                <w:rFonts w:cs="Times New Roman"/>
                <w:sz w:val="18"/>
                <w:szCs w:val="18"/>
              </w:rPr>
              <w:t>484,000 (2016–2017) and 430,000 (2017–2018)</w:t>
            </w:r>
          </w:p>
          <w:p w14:paraId="31524145" w14:textId="77777777" w:rsidR="00A213B8" w:rsidRPr="00D2239A" w:rsidRDefault="00A213B8" w:rsidP="00803CAB">
            <w:pPr>
              <w:rPr>
                <w:rFonts w:cs="Times New Roman"/>
                <w:sz w:val="18"/>
                <w:szCs w:val="18"/>
              </w:rPr>
            </w:pPr>
            <w:r w:rsidRPr="00D2239A">
              <w:rPr>
                <w:rFonts w:cs="Times New Roman"/>
                <w:sz w:val="18"/>
                <w:szCs w:val="18"/>
              </w:rPr>
              <w:t>= 457,000</w:t>
            </w:r>
          </w:p>
        </w:tc>
        <w:tc>
          <w:tcPr>
            <w:tcW w:w="1710" w:type="dxa"/>
            <w:tcMar>
              <w:top w:w="58" w:type="dxa"/>
              <w:left w:w="58" w:type="dxa"/>
              <w:bottom w:w="58" w:type="dxa"/>
              <w:right w:w="58" w:type="dxa"/>
            </w:tcMar>
          </w:tcPr>
          <w:p w14:paraId="3B9EB34F" w14:textId="066D9A41" w:rsidR="00A213B8" w:rsidRPr="00D2239A" w:rsidRDefault="00A213B8" w:rsidP="00803CAB">
            <w:pPr>
              <w:rPr>
                <w:rFonts w:cs="Times New Roman"/>
                <w:sz w:val="18"/>
                <w:szCs w:val="18"/>
              </w:rPr>
            </w:pPr>
            <w:r w:rsidRPr="00D2239A">
              <w:rPr>
                <w:rFonts w:cs="Times New Roman"/>
                <w:sz w:val="18"/>
                <w:szCs w:val="18"/>
              </w:rPr>
              <w:t>SAMHSA</w:t>
            </w:r>
            <w:r w:rsidR="00803CAB" w:rsidRPr="00D2239A">
              <w:rPr>
                <w:rFonts w:cs="Times New Roman"/>
                <w:sz w:val="18"/>
                <w:szCs w:val="18"/>
              </w:rPr>
              <w:t>,</w:t>
            </w:r>
            <w:r w:rsidRPr="00D2239A">
              <w:rPr>
                <w:rFonts w:cs="Times New Roman"/>
                <w:sz w:val="18"/>
                <w:szCs w:val="18"/>
              </w:rPr>
              <w:fldChar w:fldCharType="begin"/>
            </w:r>
            <w:r w:rsidR="009959E5">
              <w:rPr>
                <w:rFonts w:cs="Times New Roman"/>
                <w:sz w:val="18"/>
                <w:szCs w:val="18"/>
              </w:rPr>
              <w:instrText xml:space="preserve"> ADDIN EN.CITE &lt;EndNote&gt;&lt;Cite ExcludeAuth="1"&gt;&lt;Author&gt;Substance Abuse and Mental Health Services Administration (SAMHSA)&lt;/Author&gt;&lt;RecNum&gt;441&lt;/RecNum&gt;&lt;DisplayText&gt;&lt;style face="superscript"&gt;12,13&lt;/style&gt;&lt;/DisplayText&gt;&lt;record&gt;&lt;rec-number&gt;441&lt;/rec-number&gt;&lt;foreign-keys&gt;&lt;key app="EN" db-id="avtevdx5n99twqeadeupredtzeaatxdp5xsr" timestamp="1727801651"&gt;441&lt;/key&gt;&lt;/foreign-keys&gt;&lt;ref-type name="Web Page"&gt;12&lt;/ref-type&gt;&lt;contributors&gt;&lt;authors&gt;&lt;author&gt;Substance Abuse and Mental Health Services Administration (SAMHSA),,&lt;/author&gt;&lt;/authors&gt;&lt;/contributors&gt;&lt;titles&gt;&lt;title&gt;National survey on drug use and health: 2-year RDAS (2016 to 2017) [Data set]&lt;/title&gt;&lt;/titles&gt;&lt;volume&gt;2023&lt;/volume&gt;&lt;number&gt;Jan 17&lt;/number&gt;&lt;dates&gt;&lt;/dates&gt;&lt;publisher&gt;Substance Abuse and Mental Health Data Archive&lt;/publisher&gt;&lt;urls&gt;&lt;related-urls&gt;&lt;url&gt;https://rdas.samhsa.gov/#/survey/NSDUH-2016-2017-RD02YR&lt;/url&gt;&lt;/related-urls&gt;&lt;/urls&gt;&lt;/record&gt;&lt;/Cite&gt;&lt;Cite ExcludeAuth="1"&gt;&lt;Author&gt;Substance Abuse and Mental Health Services Administration (SAMHSA)&lt;/Author&gt;&lt;RecNum&gt;442&lt;/RecNum&gt;&lt;record&gt;&lt;rec-number&gt;442&lt;/rec-number&gt;&lt;foreign-keys&gt;&lt;key app="EN" db-id="avtevdx5n99twqeadeupredtzeaatxdp5xsr" timestamp="1727801651"&gt;442&lt;/key&gt;&lt;/foreign-keys&gt;&lt;ref-type name="Web Page"&gt;12&lt;/ref-type&gt;&lt;contributors&gt;&lt;authors&gt;&lt;author&gt;Substance Abuse and Mental Health Services Administration (SAMHSA),,&lt;/author&gt;&lt;/authors&gt;&lt;/contributors&gt;&lt;titles&gt;&lt;title&gt;National survey on drug use and health: 2-year RDAS (2017 to 2018) [Data set]&lt;/title&gt;&lt;/titles&gt;&lt;volume&gt;2023&lt;/volume&gt;&lt;number&gt;Jan 17&lt;/number&gt;&lt;dates&gt;&lt;/dates&gt;&lt;publisher&gt;Substance Abuse and Mental Health Data Archive&lt;/publisher&gt;&lt;urls&gt;&lt;related-urls&gt;&lt;url&gt;https://rdas.samhsa.gov/#/survey/NSDUH-2017-2018-RD02YR&lt;/url&gt;&lt;/related-urls&gt;&lt;/urls&gt;&lt;/record&gt;&lt;/Cite&gt;&lt;/EndNote&gt;</w:instrText>
            </w:r>
            <w:r w:rsidRPr="00D2239A">
              <w:rPr>
                <w:rFonts w:cs="Times New Roman"/>
                <w:sz w:val="18"/>
                <w:szCs w:val="18"/>
              </w:rPr>
              <w:fldChar w:fldCharType="separate"/>
            </w:r>
            <w:r w:rsidR="002F7FE7" w:rsidRPr="00D2239A">
              <w:rPr>
                <w:rFonts w:cs="Times New Roman"/>
                <w:noProof/>
                <w:sz w:val="18"/>
                <w:szCs w:val="18"/>
                <w:vertAlign w:val="superscript"/>
              </w:rPr>
              <w:t>12,13</w:t>
            </w:r>
            <w:r w:rsidRPr="00D2239A">
              <w:rPr>
                <w:rFonts w:cs="Times New Roman"/>
                <w:sz w:val="18"/>
                <w:szCs w:val="18"/>
              </w:rPr>
              <w:fldChar w:fldCharType="end"/>
            </w:r>
            <w:r w:rsidRPr="00D2239A">
              <w:rPr>
                <w:rFonts w:cs="Times New Roman"/>
                <w:sz w:val="18"/>
                <w:szCs w:val="18"/>
              </w:rPr>
              <w:t xml:space="preserve"> variable PNRMYR = 1</w:t>
            </w:r>
          </w:p>
        </w:tc>
      </w:tr>
      <w:tr w:rsidR="00A213B8" w:rsidRPr="00D2239A" w14:paraId="0405695A" w14:textId="77777777" w:rsidTr="00435936">
        <w:tc>
          <w:tcPr>
            <w:tcW w:w="4225" w:type="dxa"/>
            <w:tcMar>
              <w:top w:w="58" w:type="dxa"/>
              <w:left w:w="58" w:type="dxa"/>
              <w:bottom w:w="58" w:type="dxa"/>
              <w:right w:w="58" w:type="dxa"/>
            </w:tcMar>
          </w:tcPr>
          <w:p w14:paraId="236E2125" w14:textId="5D0258C4" w:rsidR="00A213B8" w:rsidRPr="00D2239A" w:rsidRDefault="00A213B8" w:rsidP="00803CAB">
            <w:pPr>
              <w:rPr>
                <w:rFonts w:cs="Times New Roman"/>
                <w:sz w:val="18"/>
                <w:szCs w:val="18"/>
                <w:vertAlign w:val="superscript"/>
              </w:rPr>
            </w:pPr>
            <w:r w:rsidRPr="00D2239A">
              <w:rPr>
                <w:rFonts w:cs="Times New Roman"/>
                <w:sz w:val="18"/>
                <w:szCs w:val="18"/>
              </w:rPr>
              <w:t xml:space="preserve">State annual average estimate of number of individuals with misuse of pain relievers but no heroin use and no </w:t>
            </w:r>
            <w:proofErr w:type="spellStart"/>
            <w:r w:rsidRPr="00D2239A">
              <w:rPr>
                <w:rFonts w:cs="Times New Roman"/>
                <w:sz w:val="18"/>
                <w:szCs w:val="18"/>
              </w:rPr>
              <w:t>OUD</w:t>
            </w:r>
            <w:r w:rsidR="001C7E89" w:rsidRPr="00D2239A">
              <w:rPr>
                <w:rFonts w:cs="Times New Roman"/>
                <w:sz w:val="18"/>
                <w:szCs w:val="18"/>
                <w:vertAlign w:val="superscript"/>
              </w:rPr>
              <w:t>b</w:t>
            </w:r>
            <w:proofErr w:type="spellEnd"/>
          </w:p>
        </w:tc>
        <w:tc>
          <w:tcPr>
            <w:tcW w:w="1170" w:type="dxa"/>
            <w:tcMar>
              <w:top w:w="58" w:type="dxa"/>
              <w:left w:w="58" w:type="dxa"/>
              <w:bottom w:w="58" w:type="dxa"/>
              <w:right w:w="58" w:type="dxa"/>
            </w:tcMar>
          </w:tcPr>
          <w:p w14:paraId="52FA4595" w14:textId="77777777" w:rsidR="00A213B8" w:rsidRPr="00D2239A" w:rsidRDefault="00A213B8" w:rsidP="00803CAB">
            <w:pPr>
              <w:jc w:val="center"/>
              <w:rPr>
                <w:rFonts w:cs="Times New Roman"/>
                <w:sz w:val="18"/>
                <w:szCs w:val="18"/>
              </w:rPr>
            </w:pPr>
            <w:r w:rsidRPr="00D2239A">
              <w:rPr>
                <w:rFonts w:cs="Times New Roman"/>
                <w:sz w:val="18"/>
                <w:szCs w:val="18"/>
              </w:rPr>
              <w:t>h</w:t>
            </w:r>
          </w:p>
        </w:tc>
        <w:tc>
          <w:tcPr>
            <w:tcW w:w="2250" w:type="dxa"/>
            <w:tcMar>
              <w:top w:w="58" w:type="dxa"/>
              <w:left w:w="58" w:type="dxa"/>
              <w:bottom w:w="58" w:type="dxa"/>
              <w:right w:w="58" w:type="dxa"/>
            </w:tcMar>
          </w:tcPr>
          <w:p w14:paraId="664C475C" w14:textId="77777777" w:rsidR="00A213B8" w:rsidRPr="00D2239A" w:rsidRDefault="00A213B8" w:rsidP="00803CAB">
            <w:pPr>
              <w:rPr>
                <w:rFonts w:cs="Times New Roman"/>
                <w:sz w:val="18"/>
                <w:szCs w:val="18"/>
              </w:rPr>
            </w:pPr>
            <w:r w:rsidRPr="00D2239A">
              <w:rPr>
                <w:rFonts w:cs="Times New Roman"/>
                <w:sz w:val="18"/>
                <w:szCs w:val="18"/>
              </w:rPr>
              <w:t>383,000 (2016–2017) and 301,000 (2017–2018) = 342,000</w:t>
            </w:r>
          </w:p>
        </w:tc>
        <w:tc>
          <w:tcPr>
            <w:tcW w:w="1710" w:type="dxa"/>
            <w:tcMar>
              <w:top w:w="58" w:type="dxa"/>
              <w:left w:w="58" w:type="dxa"/>
              <w:bottom w:w="58" w:type="dxa"/>
              <w:right w:w="58" w:type="dxa"/>
            </w:tcMar>
          </w:tcPr>
          <w:p w14:paraId="175A7349" w14:textId="77777777" w:rsidR="00A213B8" w:rsidRPr="00D2239A" w:rsidRDefault="00A213B8" w:rsidP="00803CAB">
            <w:pPr>
              <w:rPr>
                <w:rFonts w:cs="Times New Roman"/>
                <w:sz w:val="18"/>
                <w:szCs w:val="18"/>
              </w:rPr>
            </w:pPr>
            <w:r w:rsidRPr="00D2239A">
              <w:rPr>
                <w:rFonts w:cs="Times New Roman"/>
                <w:sz w:val="18"/>
                <w:szCs w:val="18"/>
              </w:rPr>
              <w:t>Prevalence tables provided by the National Institute on Drug Abuse</w:t>
            </w:r>
            <w:r w:rsidRPr="00D2239A" w:rsidDel="006049C5">
              <w:rPr>
                <w:rFonts w:cs="Times New Roman"/>
                <w:sz w:val="18"/>
                <w:szCs w:val="18"/>
              </w:rPr>
              <w:t xml:space="preserve"> </w:t>
            </w:r>
            <w:r w:rsidRPr="00D2239A">
              <w:rPr>
                <w:rFonts w:cs="Times New Roman"/>
                <w:sz w:val="18"/>
                <w:szCs w:val="18"/>
              </w:rPr>
              <w:t>on March 9, 2020</w:t>
            </w:r>
          </w:p>
        </w:tc>
      </w:tr>
      <w:tr w:rsidR="00A213B8" w:rsidRPr="00D2239A" w14:paraId="507B8723" w14:textId="77777777" w:rsidTr="00435936">
        <w:tc>
          <w:tcPr>
            <w:tcW w:w="4225" w:type="dxa"/>
            <w:tcMar>
              <w:top w:w="58" w:type="dxa"/>
              <w:left w:w="58" w:type="dxa"/>
              <w:bottom w:w="58" w:type="dxa"/>
              <w:right w:w="58" w:type="dxa"/>
            </w:tcMar>
          </w:tcPr>
          <w:p w14:paraId="5EA74D27" w14:textId="77777777" w:rsidR="00A213B8" w:rsidRPr="00D2239A" w:rsidRDefault="00A213B8" w:rsidP="00803CAB">
            <w:pPr>
              <w:rPr>
                <w:rFonts w:cs="Times New Roman"/>
                <w:sz w:val="18"/>
                <w:szCs w:val="18"/>
              </w:rPr>
            </w:pPr>
            <w:r w:rsidRPr="00D2239A">
              <w:rPr>
                <w:rFonts w:cs="Times New Roman"/>
                <w:sz w:val="18"/>
                <w:szCs w:val="18"/>
              </w:rPr>
              <w:t>Proportion of those who misuse pain relievers who do not use heroin or have OUD</w:t>
            </w:r>
          </w:p>
        </w:tc>
        <w:tc>
          <w:tcPr>
            <w:tcW w:w="1170" w:type="dxa"/>
            <w:tcMar>
              <w:top w:w="58" w:type="dxa"/>
              <w:left w:w="58" w:type="dxa"/>
              <w:bottom w:w="58" w:type="dxa"/>
              <w:right w:w="58" w:type="dxa"/>
            </w:tcMar>
          </w:tcPr>
          <w:p w14:paraId="5347B87E" w14:textId="77777777" w:rsidR="00A213B8" w:rsidRPr="00D2239A" w:rsidRDefault="00A213B8" w:rsidP="00803CAB">
            <w:pPr>
              <w:jc w:val="center"/>
              <w:rPr>
                <w:rFonts w:cs="Times New Roman"/>
                <w:sz w:val="18"/>
                <w:szCs w:val="18"/>
              </w:rPr>
            </w:pPr>
            <w:r w:rsidRPr="00D2239A">
              <w:rPr>
                <w:rFonts w:cs="Times New Roman"/>
                <w:sz w:val="18"/>
                <w:szCs w:val="18"/>
              </w:rPr>
              <w:t>h/g</w:t>
            </w:r>
          </w:p>
        </w:tc>
        <w:tc>
          <w:tcPr>
            <w:tcW w:w="2250" w:type="dxa"/>
            <w:tcMar>
              <w:top w:w="58" w:type="dxa"/>
              <w:left w:w="58" w:type="dxa"/>
              <w:bottom w:w="58" w:type="dxa"/>
              <w:right w:w="58" w:type="dxa"/>
            </w:tcMar>
          </w:tcPr>
          <w:p w14:paraId="017DA620" w14:textId="77777777" w:rsidR="00A213B8" w:rsidRPr="00D2239A" w:rsidRDefault="00A213B8" w:rsidP="00803CAB">
            <w:pPr>
              <w:rPr>
                <w:rFonts w:cs="Times New Roman"/>
                <w:sz w:val="18"/>
                <w:szCs w:val="18"/>
              </w:rPr>
            </w:pPr>
            <w:r w:rsidRPr="00D2239A">
              <w:rPr>
                <w:rFonts w:cs="Times New Roman"/>
                <w:sz w:val="18"/>
                <w:szCs w:val="18"/>
              </w:rPr>
              <w:t>0.748</w:t>
            </w:r>
          </w:p>
        </w:tc>
        <w:tc>
          <w:tcPr>
            <w:tcW w:w="1710" w:type="dxa"/>
            <w:tcMar>
              <w:top w:w="58" w:type="dxa"/>
              <w:left w:w="58" w:type="dxa"/>
              <w:bottom w:w="58" w:type="dxa"/>
              <w:right w:w="58" w:type="dxa"/>
            </w:tcMar>
          </w:tcPr>
          <w:p w14:paraId="4C5ABFC3" w14:textId="77777777" w:rsidR="00A213B8" w:rsidRPr="00D2239A" w:rsidRDefault="00A213B8" w:rsidP="00803CAB">
            <w:pPr>
              <w:rPr>
                <w:rFonts w:cs="Times New Roman"/>
                <w:sz w:val="18"/>
                <w:szCs w:val="18"/>
              </w:rPr>
            </w:pPr>
          </w:p>
        </w:tc>
      </w:tr>
      <w:tr w:rsidR="00A213B8" w:rsidRPr="00D2239A" w14:paraId="6DE8A6C8" w14:textId="77777777" w:rsidTr="00435936">
        <w:tc>
          <w:tcPr>
            <w:tcW w:w="4225" w:type="dxa"/>
            <w:tcBorders>
              <w:bottom w:val="single" w:sz="4" w:space="0" w:color="auto"/>
            </w:tcBorders>
            <w:tcMar>
              <w:top w:w="58" w:type="dxa"/>
              <w:left w:w="58" w:type="dxa"/>
              <w:bottom w:w="58" w:type="dxa"/>
              <w:right w:w="58" w:type="dxa"/>
            </w:tcMar>
          </w:tcPr>
          <w:p w14:paraId="2DFC3337" w14:textId="77777777" w:rsidR="00A213B8" w:rsidRPr="00D2239A" w:rsidRDefault="00A213B8" w:rsidP="00803CAB">
            <w:pPr>
              <w:rPr>
                <w:rFonts w:cs="Times New Roman"/>
                <w:sz w:val="18"/>
                <w:szCs w:val="18"/>
              </w:rPr>
            </w:pPr>
            <w:r w:rsidRPr="00D2239A">
              <w:rPr>
                <w:rFonts w:cs="Times New Roman"/>
                <w:sz w:val="18"/>
                <w:szCs w:val="18"/>
              </w:rPr>
              <w:t>Substate annual average estimate of past-year misuse of pain relievers</w:t>
            </w:r>
          </w:p>
        </w:tc>
        <w:tc>
          <w:tcPr>
            <w:tcW w:w="1170" w:type="dxa"/>
            <w:tcBorders>
              <w:bottom w:val="single" w:sz="4" w:space="0" w:color="auto"/>
            </w:tcBorders>
            <w:tcMar>
              <w:top w:w="58" w:type="dxa"/>
              <w:left w:w="58" w:type="dxa"/>
              <w:bottom w:w="58" w:type="dxa"/>
              <w:right w:w="58" w:type="dxa"/>
            </w:tcMar>
          </w:tcPr>
          <w:p w14:paraId="3F45953B" w14:textId="77777777" w:rsidR="00A213B8" w:rsidRPr="00D2239A" w:rsidRDefault="00A213B8" w:rsidP="00803CAB">
            <w:pPr>
              <w:jc w:val="center"/>
              <w:rPr>
                <w:rFonts w:cs="Times New Roman"/>
                <w:sz w:val="18"/>
                <w:szCs w:val="18"/>
              </w:rPr>
            </w:pPr>
            <w:r w:rsidRPr="00D2239A">
              <w:rPr>
                <w:rFonts w:cs="Times New Roman"/>
                <w:sz w:val="18"/>
                <w:szCs w:val="18"/>
              </w:rPr>
              <w:t>i</w:t>
            </w:r>
          </w:p>
        </w:tc>
        <w:tc>
          <w:tcPr>
            <w:tcW w:w="2250" w:type="dxa"/>
            <w:tcBorders>
              <w:bottom w:val="single" w:sz="4" w:space="0" w:color="auto"/>
            </w:tcBorders>
            <w:tcMar>
              <w:top w:w="58" w:type="dxa"/>
              <w:left w:w="58" w:type="dxa"/>
              <w:bottom w:w="58" w:type="dxa"/>
              <w:right w:w="58" w:type="dxa"/>
            </w:tcMar>
          </w:tcPr>
          <w:p w14:paraId="6B7AC083" w14:textId="77777777" w:rsidR="00A213B8" w:rsidRPr="00D2239A" w:rsidRDefault="00A213B8" w:rsidP="00803CAB">
            <w:pPr>
              <w:rPr>
                <w:rFonts w:cs="Times New Roman"/>
                <w:sz w:val="18"/>
                <w:szCs w:val="18"/>
              </w:rPr>
            </w:pPr>
            <w:r w:rsidRPr="00D2239A">
              <w:rPr>
                <w:rFonts w:cs="Times New Roman"/>
                <w:sz w:val="18"/>
                <w:szCs w:val="18"/>
              </w:rPr>
              <w:t>4.834%</w:t>
            </w:r>
          </w:p>
        </w:tc>
        <w:tc>
          <w:tcPr>
            <w:tcW w:w="1710" w:type="dxa"/>
            <w:tcBorders>
              <w:bottom w:val="single" w:sz="4" w:space="0" w:color="auto"/>
            </w:tcBorders>
            <w:tcMar>
              <w:top w:w="58" w:type="dxa"/>
              <w:left w:w="58" w:type="dxa"/>
              <w:bottom w:w="58" w:type="dxa"/>
              <w:right w:w="58" w:type="dxa"/>
            </w:tcMar>
          </w:tcPr>
          <w:p w14:paraId="5F3857C0" w14:textId="1DCB3E1C" w:rsidR="00A213B8" w:rsidRPr="00D2239A" w:rsidRDefault="00A213B8" w:rsidP="00803CAB">
            <w:pPr>
              <w:rPr>
                <w:rFonts w:cs="Times New Roman"/>
                <w:sz w:val="18"/>
                <w:szCs w:val="18"/>
              </w:rPr>
            </w:pPr>
            <w:r w:rsidRPr="00D2239A">
              <w:rPr>
                <w:rFonts w:cs="Times New Roman"/>
                <w:sz w:val="18"/>
                <w:szCs w:val="18"/>
              </w:rPr>
              <w:t>SAMHSA,</w:t>
            </w:r>
            <w:r w:rsidRPr="00D2239A">
              <w:rPr>
                <w:rFonts w:cs="Times New Roman"/>
                <w:sz w:val="18"/>
                <w:szCs w:val="18"/>
              </w:rPr>
              <w:fldChar w:fldCharType="begin"/>
            </w:r>
            <w:r w:rsidR="002F7FE7" w:rsidRPr="00D2239A">
              <w:rPr>
                <w:rFonts w:cs="Times New Roman"/>
                <w:sz w:val="18"/>
                <w:szCs w:val="18"/>
              </w:rPr>
              <w:instrText xml:space="preserve"> ADDIN EN.CITE &lt;EndNote&gt;&lt;Cite ExcludeAuth="1"&gt;&lt;Author&gt;Substance Abuse and Mental Health Services Administration (SAMHSA)&lt;/Author&gt;&lt;Year&gt;2020&lt;/Year&gt;&lt;RecNum&gt;128&lt;/RecNum&gt;&lt;DisplayText&gt;&lt;style face="superscript"&gt;9&lt;/style&gt;&lt;/DisplayText&gt;&lt;record&gt;&lt;rec-number&gt;128&lt;/rec-number&gt;&lt;foreign-keys&gt;&lt;key app="EN" db-id="ffv9f0td1taf24ev0z1paazh2dx55xvtwsv9" timestamp="1713388380"&gt;128&lt;/key&gt;&lt;/foreign-keys&gt;&lt;ref-type name="Web Page"&gt;12&lt;/ref-type&gt;&lt;contributors&gt;&lt;authors&gt;&lt;author&gt;Substance Abuse and Mental Health Services Administration (SAMHSA),,&lt;/author&gt;&lt;/authors&gt;&lt;/contributors&gt;&lt;titles&gt;&lt;title&gt;2016-2018 NSDUH substate region estimates - Tables&lt;/title&gt;&lt;/titles&gt;&lt;volume&gt;2023&lt;/volume&gt;&lt;number&gt;Jan 17&lt;/number&gt;&lt;dates&gt;&lt;year&gt;2020&lt;/year&gt;&lt;/dates&gt;&lt;pub-location&gt;Rockville, MD&lt;/pub-location&gt;&lt;publisher&gt;Substance Abuse and Mental Health Services Administration&lt;/publisher&gt;&lt;urls&gt;&lt;related-urls&gt;&lt;url&gt;https://www.samhsa.gov/data/report/2016-2018-nsduh-substate-region-estimates-tables&lt;/url&gt;&lt;/related-urls&gt;&lt;/urls&gt;&lt;/record&gt;&lt;/Cite&gt;&lt;/EndNote&gt;</w:instrText>
            </w:r>
            <w:r w:rsidRPr="00D2239A">
              <w:rPr>
                <w:rFonts w:cs="Times New Roman"/>
                <w:sz w:val="18"/>
                <w:szCs w:val="18"/>
              </w:rPr>
              <w:fldChar w:fldCharType="separate"/>
            </w:r>
            <w:r w:rsidR="002F7FE7" w:rsidRPr="00D2239A">
              <w:rPr>
                <w:rFonts w:cs="Times New Roman"/>
                <w:noProof/>
                <w:sz w:val="18"/>
                <w:szCs w:val="18"/>
                <w:vertAlign w:val="superscript"/>
              </w:rPr>
              <w:t>9</w:t>
            </w:r>
            <w:r w:rsidRPr="00D2239A">
              <w:rPr>
                <w:rFonts w:cs="Times New Roman"/>
                <w:sz w:val="18"/>
                <w:szCs w:val="18"/>
              </w:rPr>
              <w:fldChar w:fldCharType="end"/>
            </w:r>
            <w:r w:rsidRPr="00D2239A">
              <w:rPr>
                <w:rFonts w:cs="Times New Roman"/>
                <w:sz w:val="18"/>
                <w:szCs w:val="18"/>
              </w:rPr>
              <w:t xml:space="preserve"> Table 12</w:t>
            </w:r>
          </w:p>
          <w:p w14:paraId="0F8B4BD3" w14:textId="77777777" w:rsidR="00A213B8" w:rsidRPr="00D2239A" w:rsidRDefault="00A213B8" w:rsidP="00803CAB">
            <w:pPr>
              <w:rPr>
                <w:rFonts w:cs="Times New Roman"/>
                <w:sz w:val="18"/>
                <w:szCs w:val="18"/>
              </w:rPr>
            </w:pPr>
          </w:p>
        </w:tc>
      </w:tr>
      <w:tr w:rsidR="00A213B8" w:rsidRPr="00D2239A" w14:paraId="2C6A64B9" w14:textId="77777777" w:rsidTr="00435936">
        <w:tc>
          <w:tcPr>
            <w:tcW w:w="4225" w:type="dxa"/>
            <w:tcBorders>
              <w:bottom w:val="single" w:sz="4" w:space="0" w:color="auto"/>
            </w:tcBorders>
            <w:tcMar>
              <w:top w:w="58" w:type="dxa"/>
              <w:left w:w="58" w:type="dxa"/>
              <w:bottom w:w="58" w:type="dxa"/>
              <w:right w:w="58" w:type="dxa"/>
            </w:tcMar>
          </w:tcPr>
          <w:p w14:paraId="11532B4A" w14:textId="77777777" w:rsidR="00A213B8" w:rsidRPr="00D2239A" w:rsidRDefault="00A213B8" w:rsidP="00803CAB">
            <w:pPr>
              <w:rPr>
                <w:rFonts w:cs="Times New Roman"/>
                <w:sz w:val="18"/>
                <w:szCs w:val="18"/>
              </w:rPr>
            </w:pPr>
            <w:r w:rsidRPr="00D2239A">
              <w:rPr>
                <w:rFonts w:cs="Times New Roman"/>
                <w:sz w:val="18"/>
                <w:szCs w:val="18"/>
              </w:rPr>
              <w:t>Estimated substate prevalence of past year misuse of pain relievers, but no heroin use and no OUD</w:t>
            </w:r>
          </w:p>
        </w:tc>
        <w:tc>
          <w:tcPr>
            <w:tcW w:w="1170" w:type="dxa"/>
            <w:tcBorders>
              <w:bottom w:val="single" w:sz="4" w:space="0" w:color="auto"/>
            </w:tcBorders>
            <w:tcMar>
              <w:top w:w="58" w:type="dxa"/>
              <w:left w:w="58" w:type="dxa"/>
              <w:bottom w:w="58" w:type="dxa"/>
              <w:right w:w="58" w:type="dxa"/>
            </w:tcMar>
          </w:tcPr>
          <w:p w14:paraId="3EB06743" w14:textId="77777777" w:rsidR="00A213B8" w:rsidRPr="00D2239A" w:rsidRDefault="00A213B8" w:rsidP="00803CAB">
            <w:pPr>
              <w:jc w:val="center"/>
              <w:rPr>
                <w:rFonts w:cs="Times New Roman"/>
                <w:sz w:val="18"/>
                <w:szCs w:val="18"/>
              </w:rPr>
            </w:pPr>
            <w:r w:rsidRPr="00D2239A">
              <w:rPr>
                <w:rFonts w:cs="Times New Roman"/>
                <w:sz w:val="18"/>
                <w:szCs w:val="18"/>
              </w:rPr>
              <w:t>h/g × i</w:t>
            </w:r>
          </w:p>
        </w:tc>
        <w:tc>
          <w:tcPr>
            <w:tcW w:w="2250" w:type="dxa"/>
            <w:tcBorders>
              <w:bottom w:val="single" w:sz="4" w:space="0" w:color="auto"/>
            </w:tcBorders>
            <w:tcMar>
              <w:top w:w="58" w:type="dxa"/>
              <w:left w:w="58" w:type="dxa"/>
              <w:bottom w:w="58" w:type="dxa"/>
              <w:right w:w="58" w:type="dxa"/>
            </w:tcMar>
          </w:tcPr>
          <w:p w14:paraId="107643B8" w14:textId="3762B84C" w:rsidR="00A213B8" w:rsidRPr="00D2239A" w:rsidRDefault="00A213B8" w:rsidP="00803CAB">
            <w:pPr>
              <w:rPr>
                <w:rFonts w:cs="Times New Roman"/>
                <w:sz w:val="18"/>
                <w:szCs w:val="18"/>
              </w:rPr>
            </w:pPr>
            <w:r w:rsidRPr="00D2239A">
              <w:rPr>
                <w:rFonts w:cs="Times New Roman"/>
                <w:sz w:val="18"/>
                <w:szCs w:val="18"/>
              </w:rPr>
              <w:t>3.618</w:t>
            </w:r>
            <w:r w:rsidR="004C23A0" w:rsidRPr="00D2239A">
              <w:rPr>
                <w:rFonts w:cs="Times New Roman"/>
                <w:sz w:val="18"/>
                <w:szCs w:val="18"/>
              </w:rPr>
              <w:t>%</w:t>
            </w:r>
            <w:r w:rsidR="001C7E89" w:rsidRPr="00D2239A">
              <w:rPr>
                <w:rFonts w:cs="Times New Roman"/>
                <w:sz w:val="18"/>
                <w:szCs w:val="18"/>
                <w:vertAlign w:val="superscript"/>
              </w:rPr>
              <w:t>c</w:t>
            </w:r>
          </w:p>
        </w:tc>
        <w:tc>
          <w:tcPr>
            <w:tcW w:w="1710" w:type="dxa"/>
            <w:tcBorders>
              <w:bottom w:val="single" w:sz="4" w:space="0" w:color="auto"/>
            </w:tcBorders>
            <w:tcMar>
              <w:top w:w="58" w:type="dxa"/>
              <w:left w:w="58" w:type="dxa"/>
              <w:bottom w:w="58" w:type="dxa"/>
              <w:right w:w="58" w:type="dxa"/>
            </w:tcMar>
          </w:tcPr>
          <w:p w14:paraId="24109D2C" w14:textId="77777777" w:rsidR="00A213B8" w:rsidRPr="00D2239A" w:rsidRDefault="00A213B8" w:rsidP="00803CAB">
            <w:pPr>
              <w:rPr>
                <w:rFonts w:cs="Times New Roman"/>
                <w:sz w:val="18"/>
                <w:szCs w:val="18"/>
              </w:rPr>
            </w:pPr>
          </w:p>
        </w:tc>
      </w:tr>
      <w:tr w:rsidR="00A213B8" w:rsidRPr="00D2239A" w14:paraId="372F0DE8" w14:textId="77777777" w:rsidTr="00803CAB">
        <w:tc>
          <w:tcPr>
            <w:tcW w:w="9355" w:type="dxa"/>
            <w:gridSpan w:val="4"/>
            <w:tcBorders>
              <w:top w:val="single" w:sz="4" w:space="0" w:color="auto"/>
              <w:left w:val="nil"/>
              <w:bottom w:val="nil"/>
              <w:right w:val="nil"/>
            </w:tcBorders>
            <w:tcMar>
              <w:top w:w="0" w:type="dxa"/>
              <w:left w:w="58" w:type="dxa"/>
              <w:bottom w:w="58" w:type="dxa"/>
              <w:right w:w="58" w:type="dxa"/>
            </w:tcMar>
          </w:tcPr>
          <w:p w14:paraId="08A6C87B" w14:textId="4D9D38CB" w:rsidR="00A213B8" w:rsidRPr="00D2239A" w:rsidRDefault="004C23A0" w:rsidP="00803CAB">
            <w:pPr>
              <w:rPr>
                <w:rFonts w:cs="Times New Roman"/>
                <w:sz w:val="18"/>
                <w:szCs w:val="18"/>
              </w:rPr>
            </w:pPr>
            <w:r w:rsidRPr="00D2239A">
              <w:rPr>
                <w:rFonts w:cs="Times New Roman"/>
                <w:sz w:val="18"/>
                <w:szCs w:val="18"/>
                <w:vertAlign w:val="superscript"/>
              </w:rPr>
              <w:t>a</w:t>
            </w:r>
            <w:r w:rsidRPr="00D2239A">
              <w:rPr>
                <w:rFonts w:cs="Times New Roman"/>
                <w:sz w:val="18"/>
                <w:szCs w:val="18"/>
              </w:rPr>
              <w:t xml:space="preserve"> </w:t>
            </w:r>
            <w:r w:rsidR="00A213B8" w:rsidRPr="00D2239A">
              <w:rPr>
                <w:rFonts w:cs="Times New Roman"/>
                <w:sz w:val="18"/>
                <w:szCs w:val="18"/>
              </w:rPr>
              <w:t>Montgomery County, Ohio.</w:t>
            </w:r>
          </w:p>
          <w:p w14:paraId="6927C935" w14:textId="719CD322" w:rsidR="001C7E89" w:rsidRPr="00D2239A" w:rsidRDefault="004C23A0" w:rsidP="00803CAB">
            <w:pPr>
              <w:rPr>
                <w:rFonts w:cs="Times New Roman"/>
                <w:sz w:val="18"/>
                <w:szCs w:val="18"/>
              </w:rPr>
            </w:pPr>
            <w:r w:rsidRPr="00D2239A">
              <w:rPr>
                <w:rFonts w:cs="Times New Roman"/>
                <w:sz w:val="18"/>
                <w:szCs w:val="18"/>
                <w:vertAlign w:val="superscript"/>
              </w:rPr>
              <w:t>b</w:t>
            </w:r>
            <w:r w:rsidRPr="00D2239A">
              <w:rPr>
                <w:rFonts w:cs="Times New Roman"/>
                <w:sz w:val="18"/>
                <w:szCs w:val="18"/>
              </w:rPr>
              <w:t xml:space="preserve"> </w:t>
            </w:r>
            <w:r w:rsidR="00983B5C" w:rsidRPr="00D2239A">
              <w:rPr>
                <w:rFonts w:cs="Times New Roman"/>
                <w:sz w:val="18"/>
                <w:szCs w:val="18"/>
              </w:rPr>
              <w:t>Unavailable</w:t>
            </w:r>
            <w:r w:rsidR="001C7E89" w:rsidRPr="00D2239A">
              <w:rPr>
                <w:rFonts w:cs="Times New Roman"/>
                <w:sz w:val="18"/>
                <w:szCs w:val="18"/>
              </w:rPr>
              <w:t xml:space="preserve"> from NSDUH substate data.</w:t>
            </w:r>
          </w:p>
          <w:p w14:paraId="0165BDCD" w14:textId="52F81B09" w:rsidR="00A213B8" w:rsidRPr="00D2239A" w:rsidRDefault="001C7E89" w:rsidP="00803CAB">
            <w:pPr>
              <w:rPr>
                <w:rFonts w:cs="Times New Roman"/>
                <w:sz w:val="18"/>
                <w:szCs w:val="18"/>
              </w:rPr>
            </w:pPr>
            <w:r w:rsidRPr="00D2239A">
              <w:rPr>
                <w:rFonts w:cs="Times New Roman"/>
                <w:sz w:val="18"/>
                <w:szCs w:val="18"/>
                <w:vertAlign w:val="superscript"/>
              </w:rPr>
              <w:t>c</w:t>
            </w:r>
            <w:r w:rsidRPr="00D2239A">
              <w:rPr>
                <w:rFonts w:cs="Times New Roman"/>
                <w:sz w:val="18"/>
                <w:szCs w:val="18"/>
              </w:rPr>
              <w:t xml:space="preserve"> </w:t>
            </w:r>
            <w:r w:rsidR="00A213B8" w:rsidRPr="00D2239A">
              <w:rPr>
                <w:rFonts w:cs="Times New Roman"/>
                <w:sz w:val="18"/>
                <w:szCs w:val="18"/>
              </w:rPr>
              <w:t xml:space="preserve">Unadjusted for underreporting in NSDUH. </w:t>
            </w:r>
          </w:p>
        </w:tc>
      </w:tr>
      <w:bookmarkEnd w:id="18"/>
    </w:tbl>
    <w:p w14:paraId="5F0A4DDD" w14:textId="77777777" w:rsidR="001C7E89" w:rsidRPr="00D2239A" w:rsidRDefault="001C7E89" w:rsidP="006B78ED">
      <w:pPr>
        <w:spacing w:after="0" w:line="276" w:lineRule="auto"/>
        <w:rPr>
          <w:rFonts w:cs="Times New Roman"/>
          <w:b/>
          <w:sz w:val="22"/>
          <w:szCs w:val="22"/>
        </w:rPr>
      </w:pPr>
    </w:p>
    <w:p w14:paraId="4C68911B" w14:textId="1FFB2432" w:rsidR="00542574" w:rsidRPr="00EF4250" w:rsidRDefault="00626C29" w:rsidP="0002535B">
      <w:pPr>
        <w:pStyle w:val="table-title"/>
        <w:ind w:left="0" w:firstLine="0"/>
        <w:rPr>
          <w:rFonts w:ascii="Times New Roman" w:hAnsi="Times New Roman"/>
          <w:szCs w:val="20"/>
        </w:rPr>
      </w:pPr>
      <w:r w:rsidRPr="00626C29">
        <w:rPr>
          <w:rFonts w:ascii="Times New Roman" w:hAnsi="Times New Roman"/>
          <w:b/>
          <w:szCs w:val="20"/>
        </w:rPr>
        <w:lastRenderedPageBreak/>
        <w:t xml:space="preserve">Supplementary </w:t>
      </w:r>
      <w:r w:rsidR="004A4ECF" w:rsidRPr="00EF4250">
        <w:rPr>
          <w:rFonts w:ascii="Times New Roman" w:hAnsi="Times New Roman"/>
          <w:b/>
          <w:szCs w:val="20"/>
        </w:rPr>
        <w:t xml:space="preserve">Table </w:t>
      </w:r>
      <w:r w:rsidR="006B78ED" w:rsidRPr="00EF4250">
        <w:rPr>
          <w:rFonts w:ascii="Times New Roman" w:hAnsi="Times New Roman"/>
          <w:b/>
          <w:szCs w:val="20"/>
        </w:rPr>
        <w:t>3</w:t>
      </w:r>
      <w:r w:rsidR="004A4ECF" w:rsidRPr="00EF4250">
        <w:rPr>
          <w:rFonts w:ascii="Times New Roman" w:hAnsi="Times New Roman"/>
          <w:b/>
          <w:szCs w:val="20"/>
        </w:rPr>
        <w:t xml:space="preserve">. </w:t>
      </w:r>
      <w:r w:rsidR="004A4ECF" w:rsidRPr="00EF4250">
        <w:rPr>
          <w:rFonts w:ascii="Times New Roman" w:hAnsi="Times New Roman"/>
          <w:szCs w:val="20"/>
        </w:rPr>
        <w:t xml:space="preserve">Worksheet to demonstrate the calculation of the substate-level past-year prevalence of illicit opioid use without OUD during the period 2016-2018 </w:t>
      </w:r>
      <w:bookmarkEnd w:id="19"/>
      <w:r w:rsidR="006B78ED" w:rsidRPr="00EF4250">
        <w:rPr>
          <w:rFonts w:ascii="Times New Roman" w:hAnsi="Times New Roman"/>
          <w:szCs w:val="20"/>
        </w:rPr>
        <w:t xml:space="preserve">for an </w:t>
      </w:r>
      <w:r w:rsidR="000E2D09" w:rsidRPr="00EF4250">
        <w:rPr>
          <w:rFonts w:ascii="Times New Roman" w:hAnsi="Times New Roman"/>
          <w:szCs w:val="20"/>
        </w:rPr>
        <w:t>example</w:t>
      </w:r>
      <w:r w:rsidR="006B78ED" w:rsidRPr="00EF4250">
        <w:rPr>
          <w:rFonts w:ascii="Times New Roman" w:hAnsi="Times New Roman"/>
          <w:szCs w:val="20"/>
        </w:rPr>
        <w:t xml:space="preserve"> community (not in the HEALing Communities Study</w:t>
      </w:r>
      <w:r w:rsidR="004C23A0" w:rsidRPr="00EF4250">
        <w:rPr>
          <w:rFonts w:ascii="Times New Roman" w:hAnsi="Times New Roman"/>
          <w:szCs w:val="20"/>
        </w:rPr>
        <w:t>)</w:t>
      </w:r>
      <w:r w:rsidR="004C23A0" w:rsidRPr="00EF4250">
        <w:rPr>
          <w:rFonts w:ascii="Times New Roman" w:hAnsi="Times New Roman"/>
          <w:szCs w:val="20"/>
          <w:vertAlign w:val="superscript"/>
        </w:rPr>
        <w:t>a</w:t>
      </w:r>
      <w:r w:rsidR="004C23A0" w:rsidRPr="00EF4250">
        <w:rPr>
          <w:rFonts w:ascii="Times New Roman" w:hAnsi="Times New Roman"/>
          <w:szCs w:val="20"/>
        </w:rPr>
        <w:t xml:space="preserve"> </w:t>
      </w:r>
      <w:r w:rsidR="006B78ED" w:rsidRPr="00EF4250">
        <w:rPr>
          <w:rFonts w:ascii="Times New Roman" w:hAnsi="Times New Roman"/>
          <w:szCs w:val="20"/>
        </w:rPr>
        <w:t>using data from NSDUH.</w:t>
      </w:r>
    </w:p>
    <w:tbl>
      <w:tblPr>
        <w:tblStyle w:val="TableGrid"/>
        <w:tblW w:w="9355" w:type="dxa"/>
        <w:tblLook w:val="04A0" w:firstRow="1" w:lastRow="0" w:firstColumn="1" w:lastColumn="0" w:noHBand="0" w:noVBand="1"/>
      </w:tblPr>
      <w:tblGrid>
        <w:gridCol w:w="4225"/>
        <w:gridCol w:w="1170"/>
        <w:gridCol w:w="2160"/>
        <w:gridCol w:w="1800"/>
      </w:tblGrid>
      <w:tr w:rsidR="00542574" w:rsidRPr="00D2239A" w14:paraId="07DB51BA" w14:textId="77777777" w:rsidTr="0040725E">
        <w:trPr>
          <w:trHeight w:val="144"/>
        </w:trPr>
        <w:tc>
          <w:tcPr>
            <w:tcW w:w="4225" w:type="dxa"/>
            <w:tcMar>
              <w:top w:w="58" w:type="dxa"/>
              <w:left w:w="58" w:type="dxa"/>
              <w:bottom w:w="58" w:type="dxa"/>
              <w:right w:w="58" w:type="dxa"/>
            </w:tcMar>
          </w:tcPr>
          <w:p w14:paraId="15D993AD" w14:textId="77777777" w:rsidR="00542574" w:rsidRPr="00D2239A" w:rsidRDefault="00542574" w:rsidP="004C23A0">
            <w:pPr>
              <w:pStyle w:val="table-headers"/>
              <w:spacing w:before="0" w:after="0"/>
              <w:rPr>
                <w:rFonts w:ascii="Times New Roman" w:hAnsi="Times New Roman"/>
                <w:b/>
                <w:bCs w:val="0"/>
                <w:color w:val="auto"/>
              </w:rPr>
            </w:pPr>
            <w:r w:rsidRPr="00D2239A">
              <w:rPr>
                <w:rFonts w:ascii="Times New Roman" w:hAnsi="Times New Roman"/>
                <w:b/>
                <w:bCs w:val="0"/>
                <w:color w:val="auto"/>
              </w:rPr>
              <w:t>Steps</w:t>
            </w:r>
          </w:p>
        </w:tc>
        <w:tc>
          <w:tcPr>
            <w:tcW w:w="1170" w:type="dxa"/>
            <w:tcMar>
              <w:top w:w="58" w:type="dxa"/>
              <w:left w:w="58" w:type="dxa"/>
              <w:bottom w:w="58" w:type="dxa"/>
              <w:right w:w="58" w:type="dxa"/>
            </w:tcMar>
          </w:tcPr>
          <w:p w14:paraId="5703152F" w14:textId="77777777" w:rsidR="00542574" w:rsidRPr="00D2239A" w:rsidRDefault="00542574" w:rsidP="004C23A0">
            <w:pPr>
              <w:pStyle w:val="table-headers"/>
              <w:spacing w:before="0" w:after="0"/>
              <w:jc w:val="center"/>
              <w:rPr>
                <w:rFonts w:ascii="Times New Roman" w:hAnsi="Times New Roman"/>
                <w:b/>
                <w:bCs w:val="0"/>
                <w:color w:val="auto"/>
              </w:rPr>
            </w:pPr>
            <w:r w:rsidRPr="00D2239A">
              <w:rPr>
                <w:rFonts w:ascii="Times New Roman" w:hAnsi="Times New Roman"/>
                <w:b/>
                <w:bCs w:val="0"/>
                <w:color w:val="auto"/>
              </w:rPr>
              <w:t>Variable notation</w:t>
            </w:r>
          </w:p>
        </w:tc>
        <w:tc>
          <w:tcPr>
            <w:tcW w:w="2160" w:type="dxa"/>
            <w:tcMar>
              <w:top w:w="58" w:type="dxa"/>
              <w:left w:w="58" w:type="dxa"/>
              <w:bottom w:w="58" w:type="dxa"/>
              <w:right w:w="58" w:type="dxa"/>
            </w:tcMar>
          </w:tcPr>
          <w:p w14:paraId="2C5094E7" w14:textId="77777777" w:rsidR="00542574" w:rsidRPr="00D2239A" w:rsidRDefault="00542574" w:rsidP="004C23A0">
            <w:pPr>
              <w:pStyle w:val="table-headers"/>
              <w:spacing w:before="0" w:after="0"/>
              <w:jc w:val="center"/>
              <w:rPr>
                <w:rFonts w:ascii="Times New Roman" w:hAnsi="Times New Roman"/>
                <w:b/>
                <w:bCs w:val="0"/>
                <w:color w:val="auto"/>
              </w:rPr>
            </w:pPr>
            <w:r w:rsidRPr="00D2239A">
              <w:rPr>
                <w:rFonts w:ascii="Times New Roman" w:hAnsi="Times New Roman"/>
                <w:b/>
                <w:bCs w:val="0"/>
                <w:color w:val="auto"/>
              </w:rPr>
              <w:t xml:space="preserve">Example value </w:t>
            </w:r>
          </w:p>
          <w:p w14:paraId="2A6D19D1" w14:textId="77777777" w:rsidR="00542574" w:rsidRPr="00D2239A" w:rsidRDefault="00542574" w:rsidP="004C23A0">
            <w:pPr>
              <w:pStyle w:val="table-headers"/>
              <w:spacing w:before="0" w:after="0"/>
              <w:jc w:val="center"/>
              <w:rPr>
                <w:rFonts w:ascii="Times New Roman" w:hAnsi="Times New Roman"/>
                <w:b/>
                <w:bCs w:val="0"/>
                <w:color w:val="auto"/>
              </w:rPr>
            </w:pPr>
            <w:r w:rsidRPr="00D2239A">
              <w:rPr>
                <w:rFonts w:ascii="Times New Roman" w:hAnsi="Times New Roman"/>
                <w:b/>
                <w:bCs w:val="0"/>
                <w:color w:val="auto"/>
              </w:rPr>
              <w:t>for 2016–2018</w:t>
            </w:r>
          </w:p>
        </w:tc>
        <w:tc>
          <w:tcPr>
            <w:tcW w:w="1800" w:type="dxa"/>
            <w:tcMar>
              <w:top w:w="58" w:type="dxa"/>
              <w:left w:w="58" w:type="dxa"/>
              <w:bottom w:w="58" w:type="dxa"/>
              <w:right w:w="58" w:type="dxa"/>
            </w:tcMar>
          </w:tcPr>
          <w:p w14:paraId="36842DBC" w14:textId="77777777" w:rsidR="00542574" w:rsidRPr="00D2239A" w:rsidRDefault="00542574" w:rsidP="004C23A0">
            <w:pPr>
              <w:pStyle w:val="table-headers"/>
              <w:spacing w:before="0" w:after="0"/>
              <w:jc w:val="center"/>
              <w:rPr>
                <w:rFonts w:ascii="Times New Roman" w:hAnsi="Times New Roman"/>
                <w:b/>
                <w:bCs w:val="0"/>
                <w:color w:val="auto"/>
              </w:rPr>
            </w:pPr>
            <w:r w:rsidRPr="00D2239A">
              <w:rPr>
                <w:rFonts w:ascii="Times New Roman" w:hAnsi="Times New Roman"/>
                <w:b/>
                <w:bCs w:val="0"/>
                <w:color w:val="auto"/>
              </w:rPr>
              <w:t>Source</w:t>
            </w:r>
          </w:p>
        </w:tc>
      </w:tr>
      <w:tr w:rsidR="00542574" w:rsidRPr="00D2239A" w14:paraId="61D4DF0A" w14:textId="77777777" w:rsidTr="0040725E">
        <w:tc>
          <w:tcPr>
            <w:tcW w:w="4225" w:type="dxa"/>
            <w:tcMar>
              <w:top w:w="58" w:type="dxa"/>
              <w:left w:w="58" w:type="dxa"/>
              <w:bottom w:w="58" w:type="dxa"/>
              <w:right w:w="58" w:type="dxa"/>
            </w:tcMar>
          </w:tcPr>
          <w:p w14:paraId="03DB0A8A" w14:textId="5D6ECCED" w:rsidR="00542574" w:rsidRPr="00D2239A" w:rsidRDefault="00542574" w:rsidP="004C23A0">
            <w:pPr>
              <w:pStyle w:val="table-first-column"/>
              <w:spacing w:before="0" w:after="0"/>
              <w:rPr>
                <w:rFonts w:ascii="Times New Roman" w:hAnsi="Times New Roman"/>
                <w:b w:val="0"/>
                <w:bCs w:val="0"/>
                <w:color w:val="auto"/>
                <w:szCs w:val="18"/>
                <w:vertAlign w:val="superscript"/>
              </w:rPr>
            </w:pPr>
            <w:r w:rsidRPr="00D2239A">
              <w:rPr>
                <w:rFonts w:ascii="Times New Roman" w:hAnsi="Times New Roman"/>
                <w:b w:val="0"/>
                <w:bCs w:val="0"/>
                <w:color w:val="auto"/>
                <w:szCs w:val="18"/>
              </w:rPr>
              <w:t>State average annual estimate of number of individuals with past</w:t>
            </w:r>
            <w:r w:rsidR="002B3FB6" w:rsidRPr="00D2239A">
              <w:rPr>
                <w:rFonts w:ascii="Times New Roman" w:hAnsi="Times New Roman"/>
                <w:b w:val="0"/>
                <w:bCs w:val="0"/>
                <w:color w:val="auto"/>
                <w:szCs w:val="18"/>
              </w:rPr>
              <w:t>-</w:t>
            </w:r>
            <w:r w:rsidRPr="00D2239A">
              <w:rPr>
                <w:rFonts w:ascii="Times New Roman" w:hAnsi="Times New Roman"/>
                <w:b w:val="0"/>
                <w:bCs w:val="0"/>
                <w:color w:val="auto"/>
                <w:szCs w:val="18"/>
              </w:rPr>
              <w:t>year use of heroin (includes use disorder and misuse)</w:t>
            </w:r>
            <w:r w:rsidR="001C7E89" w:rsidRPr="00D2239A">
              <w:rPr>
                <w:rFonts w:ascii="Times New Roman" w:hAnsi="Times New Roman"/>
                <w:b w:val="0"/>
                <w:bCs w:val="0"/>
                <w:color w:val="auto"/>
                <w:szCs w:val="18"/>
                <w:vertAlign w:val="superscript"/>
              </w:rPr>
              <w:t>b</w:t>
            </w:r>
          </w:p>
        </w:tc>
        <w:tc>
          <w:tcPr>
            <w:tcW w:w="1170" w:type="dxa"/>
            <w:tcMar>
              <w:top w:w="58" w:type="dxa"/>
              <w:left w:w="58" w:type="dxa"/>
              <w:bottom w:w="58" w:type="dxa"/>
              <w:right w:w="58" w:type="dxa"/>
            </w:tcMar>
          </w:tcPr>
          <w:p w14:paraId="05300BEE" w14:textId="77777777" w:rsidR="00542574" w:rsidRPr="00D2239A" w:rsidRDefault="00542574" w:rsidP="004C23A0">
            <w:pPr>
              <w:pStyle w:val="table-text"/>
              <w:spacing w:before="0" w:after="0"/>
              <w:jc w:val="center"/>
              <w:rPr>
                <w:rFonts w:ascii="Times New Roman" w:hAnsi="Times New Roman"/>
                <w:szCs w:val="18"/>
              </w:rPr>
            </w:pPr>
            <w:r w:rsidRPr="00D2239A">
              <w:rPr>
                <w:rFonts w:ascii="Times New Roman" w:hAnsi="Times New Roman"/>
                <w:szCs w:val="18"/>
              </w:rPr>
              <w:t>a</w:t>
            </w:r>
          </w:p>
        </w:tc>
        <w:tc>
          <w:tcPr>
            <w:tcW w:w="2160" w:type="dxa"/>
            <w:tcMar>
              <w:top w:w="58" w:type="dxa"/>
              <w:left w:w="58" w:type="dxa"/>
              <w:bottom w:w="58" w:type="dxa"/>
              <w:right w:w="58" w:type="dxa"/>
            </w:tcMar>
          </w:tcPr>
          <w:p w14:paraId="1F465AFE" w14:textId="77777777" w:rsidR="00542574" w:rsidRPr="00D2239A" w:rsidRDefault="00542574" w:rsidP="004C23A0">
            <w:pPr>
              <w:pStyle w:val="table-text"/>
              <w:spacing w:before="0" w:after="0"/>
              <w:rPr>
                <w:rFonts w:ascii="Times New Roman" w:hAnsi="Times New Roman"/>
                <w:szCs w:val="18"/>
              </w:rPr>
            </w:pPr>
            <w:r w:rsidRPr="00D2239A">
              <w:rPr>
                <w:rFonts w:ascii="Times New Roman" w:hAnsi="Times New Roman"/>
                <w:szCs w:val="18"/>
              </w:rPr>
              <w:t>Average of:</w:t>
            </w:r>
          </w:p>
          <w:p w14:paraId="691D7838" w14:textId="77777777" w:rsidR="00542574" w:rsidRPr="00D2239A" w:rsidRDefault="00542574" w:rsidP="004C23A0">
            <w:pPr>
              <w:pStyle w:val="table-text"/>
              <w:spacing w:before="0" w:after="0"/>
              <w:rPr>
                <w:rFonts w:ascii="Times New Roman" w:hAnsi="Times New Roman"/>
                <w:szCs w:val="18"/>
              </w:rPr>
            </w:pPr>
            <w:r w:rsidRPr="00D2239A">
              <w:rPr>
                <w:rFonts w:ascii="Times New Roman" w:hAnsi="Times New Roman"/>
                <w:szCs w:val="18"/>
              </w:rPr>
              <w:t xml:space="preserve">51,000 (2016–2017) and 56,000 (2017–2018) </w:t>
            </w:r>
          </w:p>
          <w:p w14:paraId="2A99F428" w14:textId="77777777" w:rsidR="00542574" w:rsidRPr="00D2239A" w:rsidRDefault="00542574" w:rsidP="004C23A0">
            <w:pPr>
              <w:pStyle w:val="table-text"/>
              <w:spacing w:before="0" w:after="0"/>
              <w:rPr>
                <w:rFonts w:ascii="Times New Roman" w:hAnsi="Times New Roman"/>
                <w:szCs w:val="18"/>
              </w:rPr>
            </w:pPr>
            <w:r w:rsidRPr="00D2239A">
              <w:rPr>
                <w:rFonts w:ascii="Times New Roman" w:hAnsi="Times New Roman"/>
                <w:szCs w:val="18"/>
              </w:rPr>
              <w:t>= 53,500</w:t>
            </w:r>
          </w:p>
        </w:tc>
        <w:tc>
          <w:tcPr>
            <w:tcW w:w="1800" w:type="dxa"/>
            <w:tcMar>
              <w:top w:w="58" w:type="dxa"/>
              <w:left w:w="58" w:type="dxa"/>
              <w:bottom w:w="58" w:type="dxa"/>
              <w:right w:w="58" w:type="dxa"/>
            </w:tcMar>
          </w:tcPr>
          <w:p w14:paraId="6F386703" w14:textId="0F3F75C9" w:rsidR="00542574" w:rsidRPr="00D2239A" w:rsidRDefault="00542574" w:rsidP="004C23A0">
            <w:pPr>
              <w:pStyle w:val="table-text"/>
              <w:spacing w:before="0" w:after="0"/>
              <w:rPr>
                <w:rFonts w:ascii="Times New Roman" w:hAnsi="Times New Roman"/>
                <w:szCs w:val="18"/>
              </w:rPr>
            </w:pPr>
            <w:r w:rsidRPr="00D2239A">
              <w:rPr>
                <w:rFonts w:ascii="Times New Roman" w:hAnsi="Times New Roman"/>
                <w:szCs w:val="18"/>
              </w:rPr>
              <w:t>SAMHSA</w:t>
            </w:r>
            <w:r w:rsidR="004C23A0" w:rsidRPr="00D2239A">
              <w:rPr>
                <w:rFonts w:ascii="Times New Roman" w:hAnsi="Times New Roman"/>
                <w:szCs w:val="18"/>
              </w:rPr>
              <w:t>;</w:t>
            </w:r>
            <w:r w:rsidRPr="00D2239A">
              <w:rPr>
                <w:rFonts w:ascii="Times New Roman" w:hAnsi="Times New Roman"/>
                <w:szCs w:val="18"/>
              </w:rPr>
              <w:fldChar w:fldCharType="begin"/>
            </w:r>
            <w:r w:rsidR="009959E5">
              <w:rPr>
                <w:rFonts w:ascii="Times New Roman" w:hAnsi="Times New Roman"/>
                <w:szCs w:val="18"/>
              </w:rPr>
              <w:instrText xml:space="preserve"> ADDIN EN.CITE &lt;EndNote&gt;&lt;Cite ExcludeAuth="1"&gt;&lt;Author&gt;Substance Abuse and Mental Health Services Administration (SAMHSA)&lt;/Author&gt;&lt;RecNum&gt;441&lt;/RecNum&gt;&lt;DisplayText&gt;&lt;style face="superscript"&gt;12,13&lt;/style&gt;&lt;/DisplayText&gt;&lt;record&gt;&lt;rec-number&gt;441&lt;/rec-number&gt;&lt;foreign-keys&gt;&lt;key app="EN" db-id="avtevdx5n99twqeadeupredtzeaatxdp5xsr" timestamp="1727801651"&gt;441&lt;/key&gt;&lt;/foreign-keys&gt;&lt;ref-type name="Web Page"&gt;12&lt;/ref-type&gt;&lt;contributors&gt;&lt;authors&gt;&lt;author&gt;Substance Abuse and Mental Health Services Administration (SAMHSA),,&lt;/author&gt;&lt;/authors&gt;&lt;/contributors&gt;&lt;titles&gt;&lt;title&gt;National survey on drug use and health: 2-year RDAS (2016 to 2017) [Data set]&lt;/title&gt;&lt;/titles&gt;&lt;volume&gt;2023&lt;/volume&gt;&lt;number&gt;Jan 17&lt;/number&gt;&lt;dates&gt;&lt;/dates&gt;&lt;publisher&gt;Substance Abuse and Mental Health Data Archive&lt;/publisher&gt;&lt;urls&gt;&lt;related-urls&gt;&lt;url&gt;https://rdas.samhsa.gov/#/survey/NSDUH-2016-2017-RD02YR&lt;/url&gt;&lt;/related-urls&gt;&lt;/urls&gt;&lt;/record&gt;&lt;/Cite&gt;&lt;Cite ExcludeAuth="1"&gt;&lt;Author&gt;Substance Abuse and Mental Health Services Administration (SAMHSA)&lt;/Author&gt;&lt;RecNum&gt;442&lt;/RecNum&gt;&lt;record&gt;&lt;rec-number&gt;442&lt;/rec-number&gt;&lt;foreign-keys&gt;&lt;key app="EN" db-id="avtevdx5n99twqeadeupredtzeaatxdp5xsr" timestamp="1727801651"&gt;442&lt;/key&gt;&lt;/foreign-keys&gt;&lt;ref-type name="Web Page"&gt;12&lt;/ref-type&gt;&lt;contributors&gt;&lt;authors&gt;&lt;author&gt;Substance Abuse and Mental Health Services Administration (SAMHSA),,&lt;/author&gt;&lt;/authors&gt;&lt;/contributors&gt;&lt;titles&gt;&lt;title&gt;National survey on drug use and health: 2-year RDAS (2017 to 2018) [Data set]&lt;/title&gt;&lt;/titles&gt;&lt;volume&gt;2023&lt;/volume&gt;&lt;number&gt;Jan 17&lt;/number&gt;&lt;dates&gt;&lt;/dates&gt;&lt;publisher&gt;Substance Abuse and Mental Health Data Archive&lt;/publisher&gt;&lt;urls&gt;&lt;related-urls&gt;&lt;url&gt;https://rdas.samhsa.gov/#/survey/NSDUH-2017-2018-RD02YR&lt;/url&gt;&lt;/related-urls&gt;&lt;/urls&gt;&lt;/record&gt;&lt;/Cite&gt;&lt;/EndNote&gt;</w:instrText>
            </w:r>
            <w:r w:rsidRPr="00D2239A">
              <w:rPr>
                <w:rFonts w:ascii="Times New Roman" w:hAnsi="Times New Roman"/>
                <w:szCs w:val="18"/>
              </w:rPr>
              <w:fldChar w:fldCharType="separate"/>
            </w:r>
            <w:r w:rsidR="002F7FE7" w:rsidRPr="00D2239A">
              <w:rPr>
                <w:rFonts w:ascii="Times New Roman" w:hAnsi="Times New Roman"/>
                <w:noProof/>
                <w:szCs w:val="18"/>
                <w:vertAlign w:val="superscript"/>
              </w:rPr>
              <w:t>12,13</w:t>
            </w:r>
            <w:r w:rsidRPr="00D2239A">
              <w:rPr>
                <w:rFonts w:ascii="Times New Roman" w:hAnsi="Times New Roman"/>
                <w:szCs w:val="18"/>
              </w:rPr>
              <w:fldChar w:fldCharType="end"/>
            </w:r>
            <w:r w:rsidRPr="00D2239A">
              <w:rPr>
                <w:rFonts w:ascii="Times New Roman" w:hAnsi="Times New Roman"/>
                <w:szCs w:val="18"/>
              </w:rPr>
              <w:t xml:space="preserve"> variable HERYR = 1</w:t>
            </w:r>
          </w:p>
        </w:tc>
      </w:tr>
      <w:tr w:rsidR="00542574" w:rsidRPr="00D2239A" w14:paraId="267D6026" w14:textId="77777777" w:rsidTr="0040725E">
        <w:tc>
          <w:tcPr>
            <w:tcW w:w="4225" w:type="dxa"/>
            <w:tcMar>
              <w:top w:w="58" w:type="dxa"/>
              <w:left w:w="58" w:type="dxa"/>
              <w:bottom w:w="58" w:type="dxa"/>
              <w:right w:w="58" w:type="dxa"/>
            </w:tcMar>
          </w:tcPr>
          <w:p w14:paraId="3E7D73B3" w14:textId="4888519C" w:rsidR="00542574" w:rsidRPr="00D2239A" w:rsidRDefault="00542574" w:rsidP="004C23A0">
            <w:pPr>
              <w:pStyle w:val="table-first-column"/>
              <w:spacing w:before="0" w:after="0"/>
              <w:rPr>
                <w:rFonts w:ascii="Times New Roman" w:hAnsi="Times New Roman"/>
                <w:b w:val="0"/>
                <w:bCs w:val="0"/>
                <w:color w:val="auto"/>
                <w:szCs w:val="18"/>
                <w:vertAlign w:val="superscript"/>
              </w:rPr>
            </w:pPr>
            <w:r w:rsidRPr="00D2239A">
              <w:rPr>
                <w:rFonts w:ascii="Times New Roman" w:hAnsi="Times New Roman"/>
                <w:b w:val="0"/>
                <w:bCs w:val="0"/>
                <w:color w:val="auto"/>
                <w:szCs w:val="18"/>
              </w:rPr>
              <w:t xml:space="preserve">State average annual estimate of number of individuals who use heroin in the past year but did not have </w:t>
            </w:r>
            <w:proofErr w:type="spellStart"/>
            <w:r w:rsidRPr="00D2239A">
              <w:rPr>
                <w:rFonts w:ascii="Times New Roman" w:hAnsi="Times New Roman"/>
                <w:b w:val="0"/>
                <w:bCs w:val="0"/>
                <w:color w:val="auto"/>
                <w:szCs w:val="18"/>
              </w:rPr>
              <w:t>OUD</w:t>
            </w:r>
            <w:r w:rsidR="001C7E89" w:rsidRPr="00D2239A">
              <w:rPr>
                <w:rFonts w:ascii="Times New Roman" w:hAnsi="Times New Roman"/>
                <w:b w:val="0"/>
                <w:bCs w:val="0"/>
                <w:color w:val="auto"/>
                <w:szCs w:val="18"/>
                <w:vertAlign w:val="superscript"/>
              </w:rPr>
              <w:t>b</w:t>
            </w:r>
            <w:proofErr w:type="spellEnd"/>
          </w:p>
        </w:tc>
        <w:tc>
          <w:tcPr>
            <w:tcW w:w="1170" w:type="dxa"/>
            <w:tcMar>
              <w:top w:w="58" w:type="dxa"/>
              <w:left w:w="58" w:type="dxa"/>
              <w:bottom w:w="58" w:type="dxa"/>
              <w:right w:w="58" w:type="dxa"/>
            </w:tcMar>
          </w:tcPr>
          <w:p w14:paraId="6DCC7789" w14:textId="77777777" w:rsidR="00542574" w:rsidRPr="00D2239A" w:rsidRDefault="00542574" w:rsidP="004C23A0">
            <w:pPr>
              <w:pStyle w:val="table-text"/>
              <w:spacing w:before="0" w:after="0"/>
              <w:jc w:val="center"/>
              <w:rPr>
                <w:rFonts w:ascii="Times New Roman" w:hAnsi="Times New Roman"/>
                <w:szCs w:val="18"/>
              </w:rPr>
            </w:pPr>
            <w:r w:rsidRPr="00D2239A">
              <w:rPr>
                <w:rFonts w:ascii="Times New Roman" w:hAnsi="Times New Roman"/>
                <w:szCs w:val="18"/>
              </w:rPr>
              <w:t>y</w:t>
            </w:r>
          </w:p>
        </w:tc>
        <w:tc>
          <w:tcPr>
            <w:tcW w:w="2160" w:type="dxa"/>
            <w:tcMar>
              <w:top w:w="58" w:type="dxa"/>
              <w:left w:w="58" w:type="dxa"/>
              <w:bottom w:w="58" w:type="dxa"/>
              <w:right w:w="58" w:type="dxa"/>
            </w:tcMar>
          </w:tcPr>
          <w:p w14:paraId="5812B6FB" w14:textId="77777777" w:rsidR="00542574" w:rsidRPr="00D2239A" w:rsidRDefault="00542574" w:rsidP="004C23A0">
            <w:pPr>
              <w:pStyle w:val="table-text"/>
              <w:spacing w:before="0" w:after="0"/>
              <w:rPr>
                <w:rFonts w:ascii="Times New Roman" w:hAnsi="Times New Roman"/>
                <w:szCs w:val="18"/>
              </w:rPr>
            </w:pPr>
            <w:r w:rsidRPr="00D2239A">
              <w:rPr>
                <w:rFonts w:ascii="Times New Roman" w:hAnsi="Times New Roman"/>
                <w:szCs w:val="18"/>
              </w:rPr>
              <w:t xml:space="preserve">Average of: </w:t>
            </w:r>
          </w:p>
          <w:p w14:paraId="6102B0E5" w14:textId="77777777" w:rsidR="00542574" w:rsidRPr="00D2239A" w:rsidRDefault="00542574" w:rsidP="004C23A0">
            <w:pPr>
              <w:pStyle w:val="table-text"/>
              <w:spacing w:before="0" w:after="0"/>
              <w:rPr>
                <w:rFonts w:ascii="Times New Roman" w:hAnsi="Times New Roman"/>
                <w:szCs w:val="18"/>
              </w:rPr>
            </w:pPr>
            <w:r w:rsidRPr="00D2239A">
              <w:rPr>
                <w:rFonts w:ascii="Times New Roman" w:hAnsi="Times New Roman"/>
                <w:szCs w:val="18"/>
              </w:rPr>
              <w:t>8,000 (2016–2017) and 15,000 (2017–2018)</w:t>
            </w:r>
          </w:p>
          <w:p w14:paraId="3F4928BE" w14:textId="77777777" w:rsidR="00542574" w:rsidRPr="00D2239A" w:rsidRDefault="00542574" w:rsidP="004C23A0">
            <w:pPr>
              <w:pStyle w:val="table-text"/>
              <w:spacing w:before="0" w:after="0"/>
              <w:rPr>
                <w:rFonts w:ascii="Times New Roman" w:hAnsi="Times New Roman"/>
                <w:szCs w:val="18"/>
              </w:rPr>
            </w:pPr>
            <w:r w:rsidRPr="00D2239A">
              <w:rPr>
                <w:rFonts w:ascii="Times New Roman" w:hAnsi="Times New Roman"/>
                <w:szCs w:val="18"/>
              </w:rPr>
              <w:t>= 11,500</w:t>
            </w:r>
          </w:p>
        </w:tc>
        <w:tc>
          <w:tcPr>
            <w:tcW w:w="1800" w:type="dxa"/>
            <w:tcMar>
              <w:top w:w="58" w:type="dxa"/>
              <w:left w:w="58" w:type="dxa"/>
              <w:bottom w:w="58" w:type="dxa"/>
              <w:right w:w="58" w:type="dxa"/>
            </w:tcMar>
          </w:tcPr>
          <w:p w14:paraId="74ACDBE9" w14:textId="0F94EADE" w:rsidR="00542574" w:rsidRPr="00D2239A" w:rsidRDefault="00542574" w:rsidP="004C23A0">
            <w:pPr>
              <w:pStyle w:val="table-text"/>
              <w:spacing w:before="0" w:after="0"/>
              <w:rPr>
                <w:rFonts w:ascii="Times New Roman" w:hAnsi="Times New Roman"/>
                <w:szCs w:val="18"/>
              </w:rPr>
            </w:pPr>
            <w:r w:rsidRPr="00D2239A">
              <w:rPr>
                <w:rFonts w:ascii="Times New Roman" w:hAnsi="Times New Roman"/>
                <w:szCs w:val="18"/>
              </w:rPr>
              <w:t>SAMHSA</w:t>
            </w:r>
            <w:r w:rsidR="004C23A0" w:rsidRPr="00D2239A">
              <w:rPr>
                <w:rFonts w:ascii="Times New Roman" w:hAnsi="Times New Roman"/>
                <w:szCs w:val="18"/>
              </w:rPr>
              <w:t>;</w:t>
            </w:r>
            <w:r w:rsidRPr="00D2239A">
              <w:rPr>
                <w:rFonts w:ascii="Times New Roman" w:hAnsi="Times New Roman"/>
                <w:szCs w:val="18"/>
              </w:rPr>
              <w:fldChar w:fldCharType="begin"/>
            </w:r>
            <w:r w:rsidR="009959E5">
              <w:rPr>
                <w:rFonts w:ascii="Times New Roman" w:hAnsi="Times New Roman"/>
                <w:szCs w:val="18"/>
              </w:rPr>
              <w:instrText xml:space="preserve"> ADDIN EN.CITE &lt;EndNote&gt;&lt;Cite ExcludeAuth="1"&gt;&lt;Author&gt;Substance Abuse and Mental Health Services Administration (SAMHSA)&lt;/Author&gt;&lt;RecNum&gt;441&lt;/RecNum&gt;&lt;DisplayText&gt;&lt;style face="superscript"&gt;12,13&lt;/style&gt;&lt;/DisplayText&gt;&lt;record&gt;&lt;rec-number&gt;441&lt;/rec-number&gt;&lt;foreign-keys&gt;&lt;key app="EN" db-id="avtevdx5n99twqeadeupredtzeaatxdp5xsr" timestamp="1727801651"&gt;441&lt;/key&gt;&lt;/foreign-keys&gt;&lt;ref-type name="Web Page"&gt;12&lt;/ref-type&gt;&lt;contributors&gt;&lt;authors&gt;&lt;author&gt;Substance Abuse and Mental Health Services Administration (SAMHSA),,&lt;/author&gt;&lt;/authors&gt;&lt;/contributors&gt;&lt;titles&gt;&lt;title&gt;National survey on drug use and health: 2-year RDAS (2016 to 2017) [Data set]&lt;/title&gt;&lt;/titles&gt;&lt;volume&gt;2023&lt;/volume&gt;&lt;number&gt;Jan 17&lt;/number&gt;&lt;dates&gt;&lt;/dates&gt;&lt;publisher&gt;Substance Abuse and Mental Health Data Archive&lt;/publisher&gt;&lt;urls&gt;&lt;related-urls&gt;&lt;url&gt;https://rdas.samhsa.gov/#/survey/NSDUH-2016-2017-RD02YR&lt;/url&gt;&lt;/related-urls&gt;&lt;/urls&gt;&lt;/record&gt;&lt;/Cite&gt;&lt;Cite&gt;&lt;Author&gt;Substance Abuse and Mental Health Services Administration (SAMHSA)&lt;/Author&gt;&lt;RecNum&gt;442&lt;/RecNum&gt;&lt;record&gt;&lt;rec-number&gt;442&lt;/rec-number&gt;&lt;foreign-keys&gt;&lt;key app="EN" db-id="avtevdx5n99twqeadeupredtzeaatxdp5xsr" timestamp="1727801651"&gt;442&lt;/key&gt;&lt;/foreign-keys&gt;&lt;ref-type name="Web Page"&gt;12&lt;/ref-type&gt;&lt;contributors&gt;&lt;authors&gt;&lt;author&gt;Substance Abuse and Mental Health Services Administration (SAMHSA),,&lt;/author&gt;&lt;/authors&gt;&lt;/contributors&gt;&lt;titles&gt;&lt;title&gt;National survey on drug use and health: 2-year RDAS (2017 to 2018) [Data set]&lt;/title&gt;&lt;/titles&gt;&lt;volume&gt;2023&lt;/volume&gt;&lt;number&gt;Jan 17&lt;/number&gt;&lt;dates&gt;&lt;/dates&gt;&lt;publisher&gt;Substance Abuse and Mental Health Data Archive&lt;/publisher&gt;&lt;urls&gt;&lt;related-urls&gt;&lt;url&gt;https://rdas.samhsa.gov/#/survey/NSDUH-2017-2018-RD02YR&lt;/url&gt;&lt;/related-urls&gt;&lt;/urls&gt;&lt;/record&gt;&lt;/Cite&gt;&lt;/EndNote&gt;</w:instrText>
            </w:r>
            <w:r w:rsidRPr="00D2239A">
              <w:rPr>
                <w:rFonts w:ascii="Times New Roman" w:hAnsi="Times New Roman"/>
                <w:szCs w:val="18"/>
              </w:rPr>
              <w:fldChar w:fldCharType="separate"/>
            </w:r>
            <w:r w:rsidR="002F7FE7" w:rsidRPr="00D2239A">
              <w:rPr>
                <w:rFonts w:ascii="Times New Roman" w:hAnsi="Times New Roman"/>
                <w:noProof/>
                <w:szCs w:val="18"/>
                <w:vertAlign w:val="superscript"/>
              </w:rPr>
              <w:t>12,13</w:t>
            </w:r>
            <w:r w:rsidRPr="00D2239A">
              <w:rPr>
                <w:rFonts w:ascii="Times New Roman" w:hAnsi="Times New Roman"/>
                <w:szCs w:val="18"/>
              </w:rPr>
              <w:fldChar w:fldCharType="end"/>
            </w:r>
            <w:r w:rsidRPr="00D2239A">
              <w:rPr>
                <w:rFonts w:ascii="Times New Roman" w:hAnsi="Times New Roman"/>
                <w:szCs w:val="18"/>
              </w:rPr>
              <w:t xml:space="preserve"> variable HERYR = 1 and variable UDPYOPI  = 0</w:t>
            </w:r>
          </w:p>
        </w:tc>
      </w:tr>
      <w:tr w:rsidR="00542574" w:rsidRPr="00D2239A" w14:paraId="0E7B79FE" w14:textId="77777777" w:rsidTr="0040725E">
        <w:tc>
          <w:tcPr>
            <w:tcW w:w="4225" w:type="dxa"/>
            <w:tcMar>
              <w:top w:w="58" w:type="dxa"/>
              <w:left w:w="58" w:type="dxa"/>
              <w:bottom w:w="58" w:type="dxa"/>
              <w:right w:w="58" w:type="dxa"/>
            </w:tcMar>
          </w:tcPr>
          <w:p w14:paraId="32DE57DD" w14:textId="77777777" w:rsidR="00542574" w:rsidRPr="00D2239A" w:rsidRDefault="00542574" w:rsidP="004C23A0">
            <w:pPr>
              <w:pStyle w:val="table-first-column"/>
              <w:spacing w:before="0" w:after="0"/>
              <w:rPr>
                <w:rFonts w:ascii="Times New Roman" w:hAnsi="Times New Roman"/>
                <w:b w:val="0"/>
                <w:bCs w:val="0"/>
                <w:color w:val="auto"/>
                <w:szCs w:val="18"/>
              </w:rPr>
            </w:pPr>
            <w:r w:rsidRPr="00D2239A">
              <w:rPr>
                <w:rFonts w:ascii="Times New Roman" w:hAnsi="Times New Roman"/>
                <w:b w:val="0"/>
                <w:bCs w:val="0"/>
                <w:color w:val="auto"/>
                <w:szCs w:val="18"/>
              </w:rPr>
              <w:t>Proportion of heroin users that do not have OUD</w:t>
            </w:r>
          </w:p>
        </w:tc>
        <w:tc>
          <w:tcPr>
            <w:tcW w:w="1170" w:type="dxa"/>
            <w:tcMar>
              <w:top w:w="58" w:type="dxa"/>
              <w:left w:w="58" w:type="dxa"/>
              <w:bottom w:w="58" w:type="dxa"/>
              <w:right w:w="58" w:type="dxa"/>
            </w:tcMar>
          </w:tcPr>
          <w:p w14:paraId="16DD8CC2" w14:textId="77777777" w:rsidR="00542574" w:rsidRPr="00D2239A" w:rsidRDefault="00542574" w:rsidP="004C23A0">
            <w:pPr>
              <w:pStyle w:val="table-text"/>
              <w:spacing w:before="0" w:after="0"/>
              <w:jc w:val="center"/>
              <w:rPr>
                <w:rFonts w:ascii="Times New Roman" w:hAnsi="Times New Roman"/>
                <w:szCs w:val="18"/>
              </w:rPr>
            </w:pPr>
            <w:r w:rsidRPr="00D2239A">
              <w:rPr>
                <w:rFonts w:ascii="Times New Roman" w:hAnsi="Times New Roman"/>
                <w:szCs w:val="18"/>
              </w:rPr>
              <w:t>y/a</w:t>
            </w:r>
          </w:p>
        </w:tc>
        <w:tc>
          <w:tcPr>
            <w:tcW w:w="2160" w:type="dxa"/>
            <w:tcMar>
              <w:top w:w="58" w:type="dxa"/>
              <w:left w:w="58" w:type="dxa"/>
              <w:bottom w:w="58" w:type="dxa"/>
              <w:right w:w="58" w:type="dxa"/>
            </w:tcMar>
          </w:tcPr>
          <w:p w14:paraId="4C6DAF4A" w14:textId="77777777" w:rsidR="00542574" w:rsidRPr="00D2239A" w:rsidRDefault="00542574" w:rsidP="004C23A0">
            <w:pPr>
              <w:pStyle w:val="table-text"/>
              <w:spacing w:before="0" w:after="0"/>
              <w:jc w:val="center"/>
              <w:rPr>
                <w:rFonts w:ascii="Times New Roman" w:hAnsi="Times New Roman"/>
                <w:szCs w:val="18"/>
              </w:rPr>
            </w:pPr>
            <w:r w:rsidRPr="00D2239A">
              <w:rPr>
                <w:rFonts w:ascii="Times New Roman" w:hAnsi="Times New Roman"/>
                <w:szCs w:val="18"/>
              </w:rPr>
              <w:t>0.215</w:t>
            </w:r>
          </w:p>
        </w:tc>
        <w:tc>
          <w:tcPr>
            <w:tcW w:w="1800" w:type="dxa"/>
            <w:tcMar>
              <w:top w:w="58" w:type="dxa"/>
              <w:left w:w="58" w:type="dxa"/>
              <w:bottom w:w="58" w:type="dxa"/>
              <w:right w:w="58" w:type="dxa"/>
            </w:tcMar>
          </w:tcPr>
          <w:p w14:paraId="26EA884B" w14:textId="77777777" w:rsidR="00542574" w:rsidRPr="00D2239A" w:rsidRDefault="00542574" w:rsidP="004C23A0">
            <w:pPr>
              <w:pStyle w:val="table-text"/>
              <w:spacing w:before="0" w:after="0"/>
              <w:rPr>
                <w:rFonts w:ascii="Times New Roman" w:hAnsi="Times New Roman"/>
                <w:szCs w:val="18"/>
              </w:rPr>
            </w:pPr>
          </w:p>
        </w:tc>
      </w:tr>
      <w:tr w:rsidR="00542574" w:rsidRPr="00D2239A" w14:paraId="32CEFEBC" w14:textId="77777777" w:rsidTr="0040725E">
        <w:tc>
          <w:tcPr>
            <w:tcW w:w="4225" w:type="dxa"/>
            <w:tcMar>
              <w:top w:w="58" w:type="dxa"/>
              <w:left w:w="58" w:type="dxa"/>
              <w:bottom w:w="58" w:type="dxa"/>
              <w:right w:w="58" w:type="dxa"/>
            </w:tcMar>
          </w:tcPr>
          <w:p w14:paraId="3203C976" w14:textId="77777777" w:rsidR="00542574" w:rsidRPr="00D2239A" w:rsidRDefault="00542574" w:rsidP="004C23A0">
            <w:pPr>
              <w:pStyle w:val="table-first-column"/>
              <w:spacing w:before="0" w:after="0"/>
              <w:rPr>
                <w:rFonts w:ascii="Times New Roman" w:hAnsi="Times New Roman"/>
                <w:b w:val="0"/>
                <w:bCs w:val="0"/>
                <w:color w:val="auto"/>
                <w:szCs w:val="18"/>
              </w:rPr>
            </w:pPr>
            <w:r w:rsidRPr="00D2239A">
              <w:rPr>
                <w:rFonts w:ascii="Times New Roman" w:hAnsi="Times New Roman"/>
                <w:b w:val="0"/>
                <w:bCs w:val="0"/>
                <w:color w:val="auto"/>
                <w:szCs w:val="18"/>
              </w:rPr>
              <w:t>Substate annual average estimate of percent of population with past-year heroin use</w:t>
            </w:r>
          </w:p>
        </w:tc>
        <w:tc>
          <w:tcPr>
            <w:tcW w:w="1170" w:type="dxa"/>
            <w:tcMar>
              <w:top w:w="58" w:type="dxa"/>
              <w:left w:w="58" w:type="dxa"/>
              <w:bottom w:w="58" w:type="dxa"/>
              <w:right w:w="58" w:type="dxa"/>
            </w:tcMar>
          </w:tcPr>
          <w:p w14:paraId="56547295" w14:textId="77777777" w:rsidR="00542574" w:rsidRPr="00D2239A" w:rsidRDefault="00542574" w:rsidP="004C23A0">
            <w:pPr>
              <w:pStyle w:val="table-text"/>
              <w:spacing w:before="0" w:after="0"/>
              <w:jc w:val="center"/>
              <w:rPr>
                <w:rFonts w:ascii="Times New Roman" w:hAnsi="Times New Roman"/>
                <w:szCs w:val="18"/>
              </w:rPr>
            </w:pPr>
            <w:r w:rsidRPr="00D2239A">
              <w:rPr>
                <w:rFonts w:ascii="Times New Roman" w:hAnsi="Times New Roman"/>
                <w:szCs w:val="18"/>
              </w:rPr>
              <w:t>c</w:t>
            </w:r>
          </w:p>
        </w:tc>
        <w:tc>
          <w:tcPr>
            <w:tcW w:w="2160" w:type="dxa"/>
            <w:tcMar>
              <w:top w:w="58" w:type="dxa"/>
              <w:left w:w="58" w:type="dxa"/>
              <w:bottom w:w="58" w:type="dxa"/>
              <w:right w:w="58" w:type="dxa"/>
            </w:tcMar>
          </w:tcPr>
          <w:p w14:paraId="00BC993F" w14:textId="77777777" w:rsidR="00542574" w:rsidRPr="00D2239A" w:rsidRDefault="00542574" w:rsidP="004C23A0">
            <w:pPr>
              <w:pStyle w:val="table-text"/>
              <w:spacing w:before="0" w:after="0"/>
              <w:jc w:val="center"/>
              <w:rPr>
                <w:rFonts w:ascii="Times New Roman" w:hAnsi="Times New Roman"/>
                <w:szCs w:val="18"/>
                <w:highlight w:val="green"/>
              </w:rPr>
            </w:pPr>
            <w:r w:rsidRPr="00D2239A">
              <w:rPr>
                <w:rFonts w:ascii="Times New Roman" w:hAnsi="Times New Roman"/>
                <w:szCs w:val="18"/>
              </w:rPr>
              <w:t>0.443%</w:t>
            </w:r>
          </w:p>
        </w:tc>
        <w:tc>
          <w:tcPr>
            <w:tcW w:w="1800" w:type="dxa"/>
            <w:tcMar>
              <w:top w:w="58" w:type="dxa"/>
              <w:left w:w="58" w:type="dxa"/>
              <w:bottom w:w="58" w:type="dxa"/>
              <w:right w:w="58" w:type="dxa"/>
            </w:tcMar>
          </w:tcPr>
          <w:p w14:paraId="5E4FB491" w14:textId="5815DCFC" w:rsidR="00542574" w:rsidRPr="00D2239A" w:rsidRDefault="00542574" w:rsidP="004C23A0">
            <w:pPr>
              <w:pStyle w:val="table-text"/>
              <w:spacing w:before="0" w:after="0"/>
              <w:rPr>
                <w:rFonts w:ascii="Times New Roman" w:hAnsi="Times New Roman"/>
                <w:szCs w:val="18"/>
              </w:rPr>
            </w:pPr>
            <w:r w:rsidRPr="00D2239A">
              <w:rPr>
                <w:rFonts w:ascii="Times New Roman" w:hAnsi="Times New Roman"/>
                <w:szCs w:val="18"/>
              </w:rPr>
              <w:t>SAMHSA</w:t>
            </w:r>
            <w:r w:rsidRPr="00D2239A">
              <w:rPr>
                <w:rFonts w:ascii="Times New Roman" w:hAnsi="Times New Roman"/>
                <w:szCs w:val="18"/>
              </w:rPr>
              <w:fldChar w:fldCharType="begin"/>
            </w:r>
            <w:r w:rsidR="002F7FE7" w:rsidRPr="00D2239A">
              <w:rPr>
                <w:rFonts w:ascii="Times New Roman" w:hAnsi="Times New Roman"/>
                <w:szCs w:val="18"/>
              </w:rPr>
              <w:instrText xml:space="preserve"> ADDIN EN.CITE &lt;EndNote&gt;&lt;Cite ExcludeAuth="1"&gt;&lt;Author&gt;Substance Abuse and Mental Health Services Administration (SAMHSA)&lt;/Author&gt;&lt;Year&gt;2020&lt;/Year&gt;&lt;RecNum&gt;128&lt;/RecNum&gt;&lt;DisplayText&gt;&lt;style face="superscript"&gt;9&lt;/style&gt;&lt;/DisplayText&gt;&lt;record&gt;&lt;rec-number&gt;128&lt;/rec-number&gt;&lt;foreign-keys&gt;&lt;key app="EN" db-id="ffv9f0td1taf24ev0z1paazh2dx55xvtwsv9" timestamp="1713388380"&gt;128&lt;/key&gt;&lt;/foreign-keys&gt;&lt;ref-type name="Web Page"&gt;12&lt;/ref-type&gt;&lt;contributors&gt;&lt;authors&gt;&lt;author&gt;Substance Abuse and Mental Health Services Administration (SAMHSA),,&lt;/author&gt;&lt;/authors&gt;&lt;/contributors&gt;&lt;titles&gt;&lt;title&gt;2016-2018 NSDUH substate region estimates - Tables&lt;/title&gt;&lt;/titles&gt;&lt;volume&gt;2023&lt;/volume&gt;&lt;number&gt;Jan 17&lt;/number&gt;&lt;dates&gt;&lt;year&gt;2020&lt;/year&gt;&lt;/dates&gt;&lt;pub-location&gt;Rockville, MD&lt;/pub-location&gt;&lt;publisher&gt;Substance Abuse and Mental Health Services Administration&lt;/publisher&gt;&lt;urls&gt;&lt;related-urls&gt;&lt;url&gt;https://www.samhsa.gov/data/report/2016-2018-nsduh-substate-region-estimates-tables&lt;/url&gt;&lt;/related-urls&gt;&lt;/urls&gt;&lt;/record&gt;&lt;/Cite&gt;&lt;/EndNote&gt;</w:instrText>
            </w:r>
            <w:r w:rsidRPr="00D2239A">
              <w:rPr>
                <w:rFonts w:ascii="Times New Roman" w:hAnsi="Times New Roman"/>
                <w:szCs w:val="18"/>
              </w:rPr>
              <w:fldChar w:fldCharType="separate"/>
            </w:r>
            <w:r w:rsidR="002F7FE7" w:rsidRPr="00D2239A">
              <w:rPr>
                <w:rFonts w:ascii="Times New Roman" w:hAnsi="Times New Roman"/>
                <w:noProof/>
                <w:szCs w:val="18"/>
                <w:vertAlign w:val="superscript"/>
              </w:rPr>
              <w:t>9</w:t>
            </w:r>
            <w:r w:rsidRPr="00D2239A">
              <w:rPr>
                <w:rFonts w:ascii="Times New Roman" w:hAnsi="Times New Roman"/>
                <w:szCs w:val="18"/>
              </w:rPr>
              <w:fldChar w:fldCharType="end"/>
            </w:r>
            <w:r w:rsidRPr="00D2239A">
              <w:rPr>
                <w:rFonts w:ascii="Times New Roman" w:hAnsi="Times New Roman"/>
                <w:szCs w:val="18"/>
              </w:rPr>
              <w:t xml:space="preserve"> Table 9</w:t>
            </w:r>
          </w:p>
        </w:tc>
      </w:tr>
      <w:tr w:rsidR="00542574" w:rsidRPr="00D2239A" w14:paraId="42795FE6" w14:textId="77777777" w:rsidTr="0040725E">
        <w:tc>
          <w:tcPr>
            <w:tcW w:w="4225" w:type="dxa"/>
            <w:tcMar>
              <w:top w:w="58" w:type="dxa"/>
              <w:left w:w="58" w:type="dxa"/>
              <w:bottom w:w="58" w:type="dxa"/>
              <w:right w:w="58" w:type="dxa"/>
            </w:tcMar>
          </w:tcPr>
          <w:p w14:paraId="4A0F525B" w14:textId="77777777" w:rsidR="00542574" w:rsidRPr="00D2239A" w:rsidRDefault="00542574" w:rsidP="004C23A0">
            <w:pPr>
              <w:pStyle w:val="table-first-column"/>
              <w:spacing w:before="0" w:after="0"/>
              <w:rPr>
                <w:rFonts w:ascii="Times New Roman" w:hAnsi="Times New Roman"/>
                <w:b w:val="0"/>
                <w:bCs w:val="0"/>
                <w:color w:val="auto"/>
                <w:szCs w:val="18"/>
              </w:rPr>
            </w:pPr>
            <w:r w:rsidRPr="00D2239A">
              <w:rPr>
                <w:rFonts w:ascii="Times New Roman" w:hAnsi="Times New Roman"/>
                <w:b w:val="0"/>
                <w:bCs w:val="0"/>
                <w:color w:val="auto"/>
                <w:szCs w:val="18"/>
              </w:rPr>
              <w:t>Estimated substate prevalence of heroin use without OUD</w:t>
            </w:r>
          </w:p>
        </w:tc>
        <w:tc>
          <w:tcPr>
            <w:tcW w:w="1170" w:type="dxa"/>
            <w:tcMar>
              <w:top w:w="58" w:type="dxa"/>
              <w:left w:w="58" w:type="dxa"/>
              <w:bottom w:w="58" w:type="dxa"/>
              <w:right w:w="58" w:type="dxa"/>
            </w:tcMar>
          </w:tcPr>
          <w:p w14:paraId="48D741A7" w14:textId="77777777" w:rsidR="00542574" w:rsidRPr="00D2239A" w:rsidRDefault="00542574" w:rsidP="004C23A0">
            <w:pPr>
              <w:pStyle w:val="table-text"/>
              <w:spacing w:before="0" w:after="0"/>
              <w:jc w:val="center"/>
              <w:rPr>
                <w:rFonts w:ascii="Times New Roman" w:hAnsi="Times New Roman"/>
                <w:szCs w:val="18"/>
              </w:rPr>
            </w:pPr>
            <w:r w:rsidRPr="00D2239A">
              <w:rPr>
                <w:rFonts w:ascii="Times New Roman" w:hAnsi="Times New Roman"/>
                <w:szCs w:val="18"/>
              </w:rPr>
              <w:t>y/a × c</w:t>
            </w:r>
          </w:p>
        </w:tc>
        <w:tc>
          <w:tcPr>
            <w:tcW w:w="2160" w:type="dxa"/>
            <w:tcMar>
              <w:top w:w="58" w:type="dxa"/>
              <w:left w:w="58" w:type="dxa"/>
              <w:bottom w:w="58" w:type="dxa"/>
              <w:right w:w="58" w:type="dxa"/>
            </w:tcMar>
          </w:tcPr>
          <w:p w14:paraId="04FE8049" w14:textId="0907C2E8" w:rsidR="00542574" w:rsidRPr="00D2239A" w:rsidRDefault="00542574" w:rsidP="004C23A0">
            <w:pPr>
              <w:pStyle w:val="table-text"/>
              <w:spacing w:before="0" w:after="0"/>
              <w:jc w:val="center"/>
              <w:rPr>
                <w:rFonts w:ascii="Times New Roman" w:hAnsi="Times New Roman"/>
                <w:szCs w:val="18"/>
              </w:rPr>
            </w:pPr>
            <w:r w:rsidRPr="00D2239A">
              <w:rPr>
                <w:rFonts w:ascii="Times New Roman" w:hAnsi="Times New Roman"/>
                <w:szCs w:val="18"/>
              </w:rPr>
              <w:t>0.095</w:t>
            </w:r>
            <w:r w:rsidR="004C23A0" w:rsidRPr="00D2239A">
              <w:rPr>
                <w:rFonts w:ascii="Times New Roman" w:hAnsi="Times New Roman"/>
                <w:szCs w:val="18"/>
              </w:rPr>
              <w:t>%</w:t>
            </w:r>
            <w:r w:rsidR="001C7E89" w:rsidRPr="00D2239A">
              <w:rPr>
                <w:rFonts w:ascii="Times New Roman" w:hAnsi="Times New Roman"/>
                <w:szCs w:val="18"/>
                <w:vertAlign w:val="superscript"/>
              </w:rPr>
              <w:t>c</w:t>
            </w:r>
          </w:p>
        </w:tc>
        <w:tc>
          <w:tcPr>
            <w:tcW w:w="1800" w:type="dxa"/>
            <w:tcMar>
              <w:top w:w="58" w:type="dxa"/>
              <w:left w:w="58" w:type="dxa"/>
              <w:bottom w:w="58" w:type="dxa"/>
              <w:right w:w="58" w:type="dxa"/>
            </w:tcMar>
          </w:tcPr>
          <w:p w14:paraId="328C111D" w14:textId="77777777" w:rsidR="00542574" w:rsidRPr="00D2239A" w:rsidRDefault="00542574" w:rsidP="004C23A0">
            <w:pPr>
              <w:pStyle w:val="table-text"/>
              <w:spacing w:before="0" w:after="0"/>
              <w:rPr>
                <w:rFonts w:ascii="Times New Roman" w:hAnsi="Times New Roman"/>
                <w:szCs w:val="18"/>
              </w:rPr>
            </w:pPr>
          </w:p>
        </w:tc>
      </w:tr>
      <w:tr w:rsidR="00542574" w:rsidRPr="00D2239A" w14:paraId="284549E5" w14:textId="77777777" w:rsidTr="0040725E">
        <w:tc>
          <w:tcPr>
            <w:tcW w:w="9355" w:type="dxa"/>
            <w:gridSpan w:val="4"/>
            <w:tcBorders>
              <w:top w:val="single" w:sz="4" w:space="0" w:color="auto"/>
              <w:left w:val="nil"/>
              <w:bottom w:val="nil"/>
              <w:right w:val="nil"/>
            </w:tcBorders>
            <w:tcMar>
              <w:top w:w="0" w:type="dxa"/>
              <w:left w:w="58" w:type="dxa"/>
              <w:bottom w:w="58" w:type="dxa"/>
              <w:right w:w="58" w:type="dxa"/>
            </w:tcMar>
          </w:tcPr>
          <w:p w14:paraId="4560D6A4" w14:textId="23EE8A85" w:rsidR="00542574" w:rsidRPr="00D2239A" w:rsidRDefault="004C23A0" w:rsidP="0040725E">
            <w:pPr>
              <w:pStyle w:val="table-title"/>
              <w:spacing w:before="0" w:after="0"/>
              <w:ind w:left="0" w:firstLine="0"/>
              <w:rPr>
                <w:rFonts w:ascii="Times New Roman" w:hAnsi="Times New Roman"/>
                <w:bCs w:val="0"/>
                <w:sz w:val="18"/>
                <w:szCs w:val="18"/>
                <w:lang w:eastAsia="en-US"/>
              </w:rPr>
            </w:pPr>
            <w:r w:rsidRPr="00D2239A">
              <w:rPr>
                <w:rFonts w:ascii="Times New Roman" w:hAnsi="Times New Roman"/>
                <w:bCs w:val="0"/>
                <w:sz w:val="18"/>
                <w:szCs w:val="18"/>
                <w:vertAlign w:val="superscript"/>
                <w:lang w:eastAsia="en-US"/>
              </w:rPr>
              <w:t>a</w:t>
            </w:r>
            <w:r w:rsidRPr="00D2239A">
              <w:rPr>
                <w:rFonts w:ascii="Times New Roman" w:hAnsi="Times New Roman"/>
                <w:bCs w:val="0"/>
                <w:sz w:val="18"/>
                <w:szCs w:val="18"/>
                <w:lang w:eastAsia="en-US"/>
              </w:rPr>
              <w:t xml:space="preserve"> </w:t>
            </w:r>
            <w:r w:rsidR="00542574" w:rsidRPr="00D2239A">
              <w:rPr>
                <w:rFonts w:ascii="Times New Roman" w:hAnsi="Times New Roman"/>
                <w:bCs w:val="0"/>
                <w:sz w:val="18"/>
                <w:szCs w:val="18"/>
                <w:lang w:eastAsia="en-US"/>
              </w:rPr>
              <w:t>Montgomery County, Ohio.</w:t>
            </w:r>
          </w:p>
          <w:p w14:paraId="2FCD17F3" w14:textId="77777777" w:rsidR="00983B5C" w:rsidRPr="00D2239A" w:rsidRDefault="004C23A0" w:rsidP="00983B5C">
            <w:pPr>
              <w:rPr>
                <w:rFonts w:cs="Times New Roman"/>
                <w:sz w:val="18"/>
                <w:szCs w:val="18"/>
              </w:rPr>
            </w:pPr>
            <w:r w:rsidRPr="00D2239A">
              <w:rPr>
                <w:rFonts w:cs="Times New Roman"/>
                <w:sz w:val="18"/>
                <w:szCs w:val="18"/>
                <w:vertAlign w:val="superscript"/>
              </w:rPr>
              <w:t>b</w:t>
            </w:r>
            <w:r w:rsidR="00542574" w:rsidRPr="00D2239A">
              <w:rPr>
                <w:rFonts w:cs="Times New Roman"/>
                <w:b/>
                <w:sz w:val="18"/>
                <w:szCs w:val="18"/>
              </w:rPr>
              <w:t xml:space="preserve"> </w:t>
            </w:r>
            <w:r w:rsidR="00983B5C" w:rsidRPr="00D2239A">
              <w:rPr>
                <w:rFonts w:cs="Times New Roman"/>
                <w:sz w:val="18"/>
                <w:szCs w:val="18"/>
              </w:rPr>
              <w:t>Unavailable from NSDUH substate data.</w:t>
            </w:r>
          </w:p>
          <w:p w14:paraId="2F17347C" w14:textId="74732F7F" w:rsidR="00542574" w:rsidRPr="00D2239A" w:rsidRDefault="00983B5C" w:rsidP="0040725E">
            <w:pPr>
              <w:pStyle w:val="table-title"/>
              <w:spacing w:before="0" w:after="0"/>
              <w:ind w:left="0" w:firstLine="0"/>
              <w:rPr>
                <w:rFonts w:ascii="Times New Roman" w:hAnsi="Times New Roman"/>
                <w:b/>
                <w:sz w:val="18"/>
                <w:szCs w:val="18"/>
                <w:lang w:eastAsia="en-US"/>
              </w:rPr>
            </w:pPr>
            <w:r w:rsidRPr="00D2239A">
              <w:rPr>
                <w:rFonts w:ascii="Times New Roman" w:hAnsi="Times New Roman"/>
                <w:sz w:val="18"/>
                <w:szCs w:val="18"/>
                <w:vertAlign w:val="superscript"/>
              </w:rPr>
              <w:t>c</w:t>
            </w:r>
            <w:r w:rsidRPr="00D2239A">
              <w:rPr>
                <w:rFonts w:ascii="Times New Roman" w:hAnsi="Times New Roman"/>
                <w:sz w:val="18"/>
                <w:szCs w:val="18"/>
              </w:rPr>
              <w:t xml:space="preserve"> </w:t>
            </w:r>
            <w:r w:rsidR="00542574" w:rsidRPr="00D2239A">
              <w:rPr>
                <w:rFonts w:ascii="Times New Roman" w:hAnsi="Times New Roman"/>
                <w:bCs w:val="0"/>
                <w:sz w:val="18"/>
                <w:szCs w:val="18"/>
                <w:lang w:eastAsia="en-US"/>
              </w:rPr>
              <w:t xml:space="preserve">Unadjusted for underreporting in NSDUH. </w:t>
            </w:r>
          </w:p>
        </w:tc>
      </w:tr>
    </w:tbl>
    <w:p w14:paraId="07BA6C4E" w14:textId="77777777" w:rsidR="00542574" w:rsidRPr="00EF4250" w:rsidRDefault="00542574" w:rsidP="006B78ED">
      <w:pPr>
        <w:spacing w:after="0" w:line="276" w:lineRule="auto"/>
        <w:rPr>
          <w:rFonts w:cs="Times New Roman"/>
          <w:bCs/>
          <w:szCs w:val="20"/>
        </w:rPr>
      </w:pPr>
    </w:p>
    <w:p w14:paraId="784ABB85" w14:textId="4F3E586E" w:rsidR="00D56E0B" w:rsidRPr="00EF4250" w:rsidRDefault="00D56E0B" w:rsidP="00D56E0B">
      <w:pPr>
        <w:spacing w:after="0" w:line="276" w:lineRule="auto"/>
        <w:rPr>
          <w:rFonts w:cs="Times New Roman"/>
          <w:szCs w:val="20"/>
        </w:rPr>
      </w:pPr>
      <w:r w:rsidRPr="00EF4250">
        <w:rPr>
          <w:rFonts w:cs="Times New Roman"/>
          <w:szCs w:val="20"/>
        </w:rPr>
        <w:t xml:space="preserve">Following the above calculation method, we estimated the prevalence (as a percentage of the population aged 12 years and older in a community) for the </w:t>
      </w:r>
      <w:r w:rsidR="002B3FB6" w:rsidRPr="00EF4250">
        <w:rPr>
          <w:rFonts w:cs="Times New Roman"/>
          <w:szCs w:val="20"/>
        </w:rPr>
        <w:t>P</w:t>
      </w:r>
      <w:r w:rsidRPr="00EF4250">
        <w:rPr>
          <w:rFonts w:cs="Times New Roman"/>
          <w:szCs w:val="20"/>
        </w:rPr>
        <w:t xml:space="preserve">rescription </w:t>
      </w:r>
      <w:r w:rsidR="002B3FB6" w:rsidRPr="00EF4250">
        <w:rPr>
          <w:rFonts w:cs="Times New Roman"/>
          <w:szCs w:val="20"/>
        </w:rPr>
        <w:t>O</w:t>
      </w:r>
      <w:r w:rsidRPr="00EF4250">
        <w:rPr>
          <w:rFonts w:cs="Times New Roman"/>
          <w:szCs w:val="20"/>
        </w:rPr>
        <w:t xml:space="preserve">pioid </w:t>
      </w:r>
      <w:r w:rsidR="002B3FB6" w:rsidRPr="00EF4250">
        <w:rPr>
          <w:rFonts w:cs="Times New Roman"/>
          <w:szCs w:val="20"/>
        </w:rPr>
        <w:t>M</w:t>
      </w:r>
      <w:r w:rsidRPr="00EF4250">
        <w:rPr>
          <w:rFonts w:cs="Times New Roman"/>
          <w:szCs w:val="20"/>
        </w:rPr>
        <w:t xml:space="preserve">isuse and the </w:t>
      </w:r>
      <w:r w:rsidR="00660CDC" w:rsidRPr="00EF4250">
        <w:rPr>
          <w:rFonts w:cs="Times New Roman"/>
          <w:szCs w:val="20"/>
        </w:rPr>
        <w:t>I</w:t>
      </w:r>
      <w:r w:rsidRPr="00EF4250">
        <w:rPr>
          <w:rFonts w:cs="Times New Roman"/>
          <w:szCs w:val="20"/>
        </w:rPr>
        <w:t xml:space="preserve">llicit </w:t>
      </w:r>
      <w:r w:rsidR="00660CDC" w:rsidRPr="00EF4250">
        <w:rPr>
          <w:rFonts w:cs="Times New Roman"/>
          <w:szCs w:val="20"/>
        </w:rPr>
        <w:t>O</w:t>
      </w:r>
      <w:r w:rsidRPr="00EF4250">
        <w:rPr>
          <w:rFonts w:cs="Times New Roman"/>
          <w:szCs w:val="20"/>
        </w:rPr>
        <w:t xml:space="preserve">pioid </w:t>
      </w:r>
      <w:r w:rsidR="00660CDC" w:rsidRPr="00EF4250">
        <w:rPr>
          <w:rFonts w:cs="Times New Roman"/>
          <w:szCs w:val="20"/>
        </w:rPr>
        <w:t>U</w:t>
      </w:r>
      <w:r w:rsidRPr="00EF4250">
        <w:rPr>
          <w:rFonts w:cs="Times New Roman"/>
          <w:szCs w:val="20"/>
        </w:rPr>
        <w:t>se health states during the periods 2016-2018 and 2018-2019</w:t>
      </w:r>
      <w:r w:rsidR="00323E65" w:rsidRPr="00EF4250">
        <w:rPr>
          <w:rFonts w:cs="Times New Roman"/>
          <w:szCs w:val="20"/>
        </w:rPr>
        <w:t xml:space="preserve"> (</w:t>
      </w:r>
      <w:r w:rsidR="00626C29" w:rsidRPr="00626C29">
        <w:rPr>
          <w:b/>
          <w:szCs w:val="20"/>
        </w:rPr>
        <w:t xml:space="preserve">Supplementary </w:t>
      </w:r>
      <w:r w:rsidR="00323E65" w:rsidRPr="00EF4250">
        <w:rPr>
          <w:rFonts w:cs="Times New Roman"/>
          <w:b/>
          <w:bCs/>
          <w:szCs w:val="20"/>
        </w:rPr>
        <w:t>Table 4</w:t>
      </w:r>
      <w:r w:rsidR="00323E65" w:rsidRPr="00EF4250">
        <w:rPr>
          <w:rFonts w:cs="Times New Roman"/>
          <w:szCs w:val="20"/>
        </w:rPr>
        <w:t>)</w:t>
      </w:r>
      <w:r w:rsidRPr="00EF4250">
        <w:rPr>
          <w:rFonts w:cs="Times New Roman"/>
          <w:szCs w:val="20"/>
        </w:rPr>
        <w:t xml:space="preserve">. We then multiplied the estimated prevalence by community population counts for the age of 12 years and above to yield estimate of the number of people in each </w:t>
      </w:r>
      <w:r w:rsidR="003E43F9" w:rsidRPr="00EF4250">
        <w:rPr>
          <w:rFonts w:cs="Times New Roman"/>
          <w:szCs w:val="20"/>
        </w:rPr>
        <w:t xml:space="preserve">health </w:t>
      </w:r>
      <w:r w:rsidRPr="00EF4250">
        <w:rPr>
          <w:rFonts w:cs="Times New Roman"/>
          <w:szCs w:val="20"/>
        </w:rPr>
        <w:t>state respectively.</w:t>
      </w:r>
    </w:p>
    <w:p w14:paraId="7D7D452E" w14:textId="0713EB06" w:rsidR="00D56E0B" w:rsidRPr="0002535B" w:rsidRDefault="00626C29" w:rsidP="0002535B">
      <w:pPr>
        <w:pStyle w:val="table-title"/>
        <w:ind w:left="0" w:firstLine="0"/>
        <w:rPr>
          <w:rFonts w:ascii="Times New Roman" w:hAnsi="Times New Roman"/>
          <w:szCs w:val="20"/>
        </w:rPr>
      </w:pPr>
      <w:r w:rsidRPr="00626C29">
        <w:rPr>
          <w:rFonts w:ascii="Times New Roman" w:hAnsi="Times New Roman"/>
          <w:b/>
          <w:szCs w:val="20"/>
        </w:rPr>
        <w:t xml:space="preserve">Supplementary </w:t>
      </w:r>
      <w:r w:rsidR="00D56E0B" w:rsidRPr="0002535B">
        <w:rPr>
          <w:rFonts w:ascii="Times New Roman" w:hAnsi="Times New Roman"/>
          <w:b/>
          <w:szCs w:val="20"/>
        </w:rPr>
        <w:t>Table 4</w:t>
      </w:r>
      <w:r w:rsidR="00D56E0B" w:rsidRPr="0002535B">
        <w:rPr>
          <w:rFonts w:ascii="Times New Roman" w:hAnsi="Times New Roman"/>
          <w:szCs w:val="20"/>
        </w:rPr>
        <w:t xml:space="preserve">. Estimated prevalence of prescription opioid misuse without OUD and illicit opioid use without OUD in simulated urban and rural communities, 2016-2018 and 2018-2019. </w:t>
      </w:r>
    </w:p>
    <w:tbl>
      <w:tblPr>
        <w:tblW w:w="9360" w:type="dxa"/>
        <w:tblLayout w:type="fixed"/>
        <w:tblLook w:val="04A0" w:firstRow="1" w:lastRow="0" w:firstColumn="1" w:lastColumn="0" w:noHBand="0" w:noVBand="1"/>
      </w:tblPr>
      <w:tblGrid>
        <w:gridCol w:w="990"/>
        <w:gridCol w:w="1980"/>
        <w:gridCol w:w="1980"/>
        <w:gridCol w:w="270"/>
        <w:gridCol w:w="2070"/>
        <w:gridCol w:w="2070"/>
      </w:tblGrid>
      <w:tr w:rsidR="00006CE0" w:rsidRPr="00D2239A" w14:paraId="33F7388E" w14:textId="77777777" w:rsidTr="0040725E">
        <w:trPr>
          <w:trHeight w:val="432"/>
        </w:trPr>
        <w:tc>
          <w:tcPr>
            <w:tcW w:w="990" w:type="dxa"/>
            <w:tcBorders>
              <w:top w:val="single" w:sz="4" w:space="0" w:color="auto"/>
              <w:left w:val="nil"/>
              <w:right w:val="nil"/>
            </w:tcBorders>
            <w:tcMar>
              <w:left w:w="29" w:type="dxa"/>
              <w:right w:w="29" w:type="dxa"/>
            </w:tcMar>
            <w:vAlign w:val="center"/>
          </w:tcPr>
          <w:p w14:paraId="49D3F3E4" w14:textId="77777777" w:rsidR="00D56E0B" w:rsidRPr="00D2239A" w:rsidRDefault="00D56E0B" w:rsidP="00435936">
            <w:pPr>
              <w:spacing w:after="0" w:line="240" w:lineRule="auto"/>
              <w:ind w:right="-595"/>
              <w:rPr>
                <w:rFonts w:eastAsia="Times New Roman" w:cs="Times New Roman"/>
                <w:sz w:val="18"/>
                <w:szCs w:val="18"/>
              </w:rPr>
            </w:pPr>
          </w:p>
        </w:tc>
        <w:tc>
          <w:tcPr>
            <w:tcW w:w="8370" w:type="dxa"/>
            <w:gridSpan w:val="5"/>
            <w:tcBorders>
              <w:top w:val="single" w:sz="4" w:space="0" w:color="auto"/>
              <w:left w:val="nil"/>
              <w:bottom w:val="single" w:sz="4" w:space="0" w:color="auto"/>
              <w:right w:val="nil"/>
            </w:tcBorders>
            <w:noWrap/>
            <w:tcMar>
              <w:left w:w="14" w:type="dxa"/>
              <w:right w:w="43" w:type="dxa"/>
            </w:tcMar>
            <w:vAlign w:val="center"/>
          </w:tcPr>
          <w:p w14:paraId="6340472B" w14:textId="5B51DEAE" w:rsidR="00D56E0B" w:rsidRPr="00D2239A" w:rsidRDefault="004C23A0" w:rsidP="00435936">
            <w:pPr>
              <w:spacing w:after="0" w:line="240" w:lineRule="auto"/>
              <w:jc w:val="center"/>
              <w:rPr>
                <w:rFonts w:eastAsia="Times New Roman" w:cs="Times New Roman"/>
                <w:b/>
                <w:bCs/>
                <w:sz w:val="18"/>
                <w:szCs w:val="18"/>
              </w:rPr>
            </w:pPr>
            <w:r w:rsidRPr="00D2239A">
              <w:rPr>
                <w:rFonts w:eastAsia="Times New Roman" w:cs="Times New Roman"/>
                <w:b/>
                <w:bCs/>
                <w:sz w:val="18"/>
                <w:szCs w:val="18"/>
              </w:rPr>
              <w:t>Mean (min</w:t>
            </w:r>
            <w:r w:rsidR="00006CE0" w:rsidRPr="00D2239A">
              <w:rPr>
                <w:rFonts w:eastAsia="Times New Roman" w:cs="Times New Roman"/>
                <w:b/>
                <w:bCs/>
                <w:sz w:val="18"/>
                <w:szCs w:val="18"/>
              </w:rPr>
              <w:t xml:space="preserve"> −</w:t>
            </w:r>
            <w:r w:rsidRPr="00D2239A">
              <w:rPr>
                <w:rFonts w:eastAsia="Times New Roman" w:cs="Times New Roman"/>
                <w:b/>
                <w:bCs/>
                <w:sz w:val="18"/>
                <w:szCs w:val="18"/>
              </w:rPr>
              <w:t xml:space="preserve"> max) prevalence of opioid use without </w:t>
            </w:r>
            <w:proofErr w:type="spellStart"/>
            <w:r w:rsidRPr="00D2239A">
              <w:rPr>
                <w:rFonts w:eastAsia="Times New Roman" w:cs="Times New Roman"/>
                <w:b/>
                <w:bCs/>
                <w:sz w:val="18"/>
                <w:szCs w:val="18"/>
              </w:rPr>
              <w:t>OUD</w:t>
            </w:r>
            <w:r w:rsidRPr="00D2239A">
              <w:rPr>
                <w:rFonts w:eastAsia="Times New Roman" w:cs="Times New Roman"/>
                <w:b/>
                <w:bCs/>
                <w:sz w:val="18"/>
                <w:szCs w:val="18"/>
                <w:vertAlign w:val="superscript"/>
              </w:rPr>
              <w:t>a</w:t>
            </w:r>
            <w:proofErr w:type="spellEnd"/>
          </w:p>
        </w:tc>
      </w:tr>
      <w:tr w:rsidR="00006CE0" w:rsidRPr="00D2239A" w14:paraId="558F52AD" w14:textId="77777777" w:rsidTr="0040725E">
        <w:trPr>
          <w:trHeight w:val="432"/>
        </w:trPr>
        <w:tc>
          <w:tcPr>
            <w:tcW w:w="990" w:type="dxa"/>
            <w:tcBorders>
              <w:left w:val="nil"/>
              <w:right w:val="nil"/>
            </w:tcBorders>
            <w:tcMar>
              <w:left w:w="29" w:type="dxa"/>
              <w:right w:w="29" w:type="dxa"/>
            </w:tcMar>
            <w:vAlign w:val="center"/>
          </w:tcPr>
          <w:p w14:paraId="2E4163B2" w14:textId="77777777" w:rsidR="00D56E0B" w:rsidRPr="00D2239A" w:rsidRDefault="00D56E0B" w:rsidP="00435936">
            <w:pPr>
              <w:spacing w:after="0" w:line="240" w:lineRule="auto"/>
              <w:ind w:right="-595"/>
              <w:rPr>
                <w:rFonts w:eastAsia="Times New Roman" w:cs="Times New Roman"/>
                <w:sz w:val="18"/>
                <w:szCs w:val="18"/>
              </w:rPr>
            </w:pPr>
          </w:p>
        </w:tc>
        <w:tc>
          <w:tcPr>
            <w:tcW w:w="3960" w:type="dxa"/>
            <w:gridSpan w:val="2"/>
            <w:tcBorders>
              <w:top w:val="single" w:sz="4" w:space="0" w:color="auto"/>
              <w:left w:val="nil"/>
              <w:bottom w:val="single" w:sz="4" w:space="0" w:color="auto"/>
              <w:right w:val="nil"/>
            </w:tcBorders>
            <w:noWrap/>
            <w:tcMar>
              <w:left w:w="14" w:type="dxa"/>
              <w:right w:w="43" w:type="dxa"/>
            </w:tcMar>
            <w:vAlign w:val="center"/>
          </w:tcPr>
          <w:p w14:paraId="1D9A81C7" w14:textId="6ED8AA80" w:rsidR="00D56E0B" w:rsidRPr="00D2239A" w:rsidRDefault="00D56E0B" w:rsidP="00435936">
            <w:pPr>
              <w:spacing w:after="0" w:line="240" w:lineRule="auto"/>
              <w:jc w:val="center"/>
              <w:rPr>
                <w:rFonts w:eastAsia="Times New Roman" w:cs="Times New Roman"/>
                <w:b/>
                <w:bCs/>
                <w:sz w:val="18"/>
                <w:szCs w:val="18"/>
              </w:rPr>
            </w:pPr>
            <w:r w:rsidRPr="00D2239A">
              <w:rPr>
                <w:rFonts w:eastAsia="Times New Roman" w:cs="Times New Roman"/>
                <w:b/>
                <w:bCs/>
                <w:sz w:val="18"/>
                <w:szCs w:val="18"/>
              </w:rPr>
              <w:t xml:space="preserve">Prevalence of prescription opioid misuse without </w:t>
            </w:r>
            <w:proofErr w:type="spellStart"/>
            <w:r w:rsidRPr="00D2239A">
              <w:rPr>
                <w:rFonts w:eastAsia="Times New Roman" w:cs="Times New Roman"/>
                <w:b/>
                <w:bCs/>
                <w:sz w:val="18"/>
                <w:szCs w:val="18"/>
              </w:rPr>
              <w:t>OUD</w:t>
            </w:r>
            <w:r w:rsidR="004C23A0" w:rsidRPr="00D2239A">
              <w:rPr>
                <w:rFonts w:cs="Times New Roman"/>
                <w:b/>
                <w:bCs/>
                <w:sz w:val="18"/>
                <w:szCs w:val="18"/>
                <w:vertAlign w:val="superscript"/>
              </w:rPr>
              <w:t>b</w:t>
            </w:r>
            <w:proofErr w:type="spellEnd"/>
          </w:p>
        </w:tc>
        <w:tc>
          <w:tcPr>
            <w:tcW w:w="270" w:type="dxa"/>
            <w:tcBorders>
              <w:top w:val="single" w:sz="4" w:space="0" w:color="auto"/>
              <w:left w:val="nil"/>
              <w:bottom w:val="single" w:sz="4" w:space="0" w:color="auto"/>
              <w:right w:val="nil"/>
            </w:tcBorders>
            <w:vAlign w:val="center"/>
          </w:tcPr>
          <w:p w14:paraId="4B71682A" w14:textId="77777777" w:rsidR="00D56E0B" w:rsidRPr="00D2239A" w:rsidRDefault="00D56E0B" w:rsidP="00435936">
            <w:pPr>
              <w:spacing w:after="0" w:line="240" w:lineRule="auto"/>
              <w:jc w:val="center"/>
              <w:rPr>
                <w:rFonts w:eastAsia="Times New Roman" w:cs="Times New Roman"/>
                <w:b/>
                <w:bCs/>
                <w:sz w:val="18"/>
                <w:szCs w:val="18"/>
              </w:rPr>
            </w:pPr>
          </w:p>
        </w:tc>
        <w:tc>
          <w:tcPr>
            <w:tcW w:w="4140" w:type="dxa"/>
            <w:gridSpan w:val="2"/>
            <w:tcBorders>
              <w:top w:val="single" w:sz="4" w:space="0" w:color="auto"/>
              <w:left w:val="nil"/>
              <w:bottom w:val="single" w:sz="4" w:space="0" w:color="auto"/>
              <w:right w:val="nil"/>
            </w:tcBorders>
            <w:vAlign w:val="center"/>
          </w:tcPr>
          <w:p w14:paraId="58B5E7ED" w14:textId="77777777" w:rsidR="00D56E0B" w:rsidRPr="00D2239A" w:rsidRDefault="00D56E0B" w:rsidP="00435936">
            <w:pPr>
              <w:spacing w:after="0" w:line="240" w:lineRule="auto"/>
              <w:jc w:val="center"/>
              <w:rPr>
                <w:rFonts w:eastAsia="Times New Roman" w:cs="Times New Roman"/>
                <w:b/>
                <w:bCs/>
                <w:sz w:val="18"/>
                <w:szCs w:val="18"/>
              </w:rPr>
            </w:pPr>
            <w:r w:rsidRPr="00D2239A">
              <w:rPr>
                <w:rFonts w:eastAsia="Times New Roman" w:cs="Times New Roman"/>
                <w:b/>
                <w:bCs/>
                <w:sz w:val="18"/>
                <w:szCs w:val="18"/>
              </w:rPr>
              <w:t>Prevalence of illicit opioid use without OUD</w:t>
            </w:r>
            <w:r w:rsidRPr="00D2239A">
              <w:rPr>
                <w:rFonts w:cs="Times New Roman"/>
                <w:b/>
                <w:bCs/>
                <w:sz w:val="18"/>
                <w:szCs w:val="18"/>
              </w:rPr>
              <w:t>†</w:t>
            </w:r>
          </w:p>
        </w:tc>
      </w:tr>
      <w:tr w:rsidR="00006CE0" w:rsidRPr="00D2239A" w14:paraId="101A2EEF" w14:textId="77777777" w:rsidTr="0040725E">
        <w:trPr>
          <w:trHeight w:val="288"/>
        </w:trPr>
        <w:tc>
          <w:tcPr>
            <w:tcW w:w="990" w:type="dxa"/>
            <w:tcBorders>
              <w:left w:val="nil"/>
              <w:right w:val="nil"/>
            </w:tcBorders>
            <w:tcMar>
              <w:left w:w="29" w:type="dxa"/>
              <w:right w:w="29" w:type="dxa"/>
            </w:tcMar>
            <w:vAlign w:val="center"/>
          </w:tcPr>
          <w:p w14:paraId="7663A00B" w14:textId="77777777" w:rsidR="00006CE0" w:rsidRPr="00D2239A" w:rsidRDefault="00006CE0" w:rsidP="00435936">
            <w:pPr>
              <w:spacing w:after="0" w:line="240" w:lineRule="auto"/>
              <w:rPr>
                <w:rFonts w:eastAsia="Times New Roman" w:cs="Times New Roman"/>
                <w:b/>
                <w:bCs/>
                <w:sz w:val="18"/>
                <w:szCs w:val="18"/>
              </w:rPr>
            </w:pPr>
            <w:r w:rsidRPr="00D2239A">
              <w:rPr>
                <w:rFonts w:eastAsia="Times New Roman" w:cs="Times New Roman"/>
                <w:b/>
                <w:bCs/>
                <w:sz w:val="18"/>
                <w:szCs w:val="18"/>
              </w:rPr>
              <w:t>Period</w:t>
            </w:r>
          </w:p>
        </w:tc>
        <w:tc>
          <w:tcPr>
            <w:tcW w:w="1980" w:type="dxa"/>
            <w:tcBorders>
              <w:top w:val="single" w:sz="4" w:space="0" w:color="auto"/>
              <w:left w:val="nil"/>
              <w:right w:val="nil"/>
            </w:tcBorders>
            <w:noWrap/>
            <w:tcMar>
              <w:left w:w="14" w:type="dxa"/>
              <w:right w:w="43" w:type="dxa"/>
            </w:tcMar>
            <w:vAlign w:val="center"/>
            <w:hideMark/>
          </w:tcPr>
          <w:p w14:paraId="7D85E2B8" w14:textId="044D27E8" w:rsidR="00006CE0" w:rsidRPr="00D2239A" w:rsidRDefault="00006CE0" w:rsidP="00435936">
            <w:pPr>
              <w:spacing w:after="0" w:line="240" w:lineRule="auto"/>
              <w:jc w:val="center"/>
              <w:rPr>
                <w:rFonts w:eastAsia="Times New Roman" w:cs="Times New Roman"/>
                <w:b/>
                <w:bCs/>
                <w:sz w:val="18"/>
                <w:szCs w:val="18"/>
              </w:rPr>
            </w:pPr>
            <w:r w:rsidRPr="00D2239A">
              <w:rPr>
                <w:rFonts w:eastAsia="Times New Roman" w:cs="Times New Roman"/>
                <w:b/>
                <w:bCs/>
                <w:sz w:val="18"/>
                <w:szCs w:val="18"/>
              </w:rPr>
              <w:t xml:space="preserve">Urban, n = </w:t>
            </w:r>
            <w:r w:rsidR="00F65C3D">
              <w:rPr>
                <w:rFonts w:eastAsia="Times New Roman" w:cs="Times New Roman"/>
                <w:b/>
                <w:bCs/>
                <w:sz w:val="18"/>
                <w:szCs w:val="18"/>
              </w:rPr>
              <w:t>18</w:t>
            </w:r>
          </w:p>
        </w:tc>
        <w:tc>
          <w:tcPr>
            <w:tcW w:w="1980" w:type="dxa"/>
            <w:tcBorders>
              <w:top w:val="single" w:sz="4" w:space="0" w:color="auto"/>
              <w:left w:val="nil"/>
              <w:right w:val="nil"/>
            </w:tcBorders>
            <w:noWrap/>
            <w:tcMar>
              <w:left w:w="14" w:type="dxa"/>
              <w:right w:w="43" w:type="dxa"/>
            </w:tcMar>
            <w:vAlign w:val="center"/>
            <w:hideMark/>
          </w:tcPr>
          <w:p w14:paraId="1457A87A" w14:textId="6B5C53B2" w:rsidR="00006CE0" w:rsidRPr="00D2239A" w:rsidRDefault="00006CE0" w:rsidP="00435936">
            <w:pPr>
              <w:spacing w:after="0" w:line="240" w:lineRule="auto"/>
              <w:jc w:val="center"/>
              <w:rPr>
                <w:rFonts w:eastAsia="Times New Roman" w:cs="Times New Roman"/>
                <w:b/>
                <w:bCs/>
                <w:sz w:val="18"/>
                <w:szCs w:val="18"/>
              </w:rPr>
            </w:pPr>
            <w:r w:rsidRPr="00D2239A">
              <w:rPr>
                <w:rFonts w:eastAsia="Times New Roman" w:cs="Times New Roman"/>
                <w:b/>
                <w:bCs/>
                <w:sz w:val="18"/>
                <w:szCs w:val="18"/>
              </w:rPr>
              <w:t>Rural, n = 8</w:t>
            </w:r>
          </w:p>
        </w:tc>
        <w:tc>
          <w:tcPr>
            <w:tcW w:w="270" w:type="dxa"/>
            <w:tcBorders>
              <w:top w:val="single" w:sz="4" w:space="0" w:color="auto"/>
              <w:left w:val="nil"/>
              <w:right w:val="nil"/>
            </w:tcBorders>
            <w:vAlign w:val="center"/>
          </w:tcPr>
          <w:p w14:paraId="01E71F13" w14:textId="77777777" w:rsidR="00006CE0" w:rsidRPr="00D2239A" w:rsidRDefault="00006CE0" w:rsidP="00435936">
            <w:pPr>
              <w:spacing w:after="0" w:line="240" w:lineRule="auto"/>
              <w:jc w:val="center"/>
              <w:rPr>
                <w:rFonts w:eastAsia="Times New Roman" w:cs="Times New Roman"/>
                <w:b/>
                <w:bCs/>
                <w:sz w:val="18"/>
                <w:szCs w:val="18"/>
              </w:rPr>
            </w:pPr>
          </w:p>
        </w:tc>
        <w:tc>
          <w:tcPr>
            <w:tcW w:w="2070" w:type="dxa"/>
            <w:tcBorders>
              <w:top w:val="single" w:sz="4" w:space="0" w:color="auto"/>
              <w:left w:val="nil"/>
              <w:right w:val="nil"/>
            </w:tcBorders>
            <w:vAlign w:val="center"/>
          </w:tcPr>
          <w:p w14:paraId="7F56B43F" w14:textId="54C9C9EA" w:rsidR="00006CE0" w:rsidRPr="00D2239A" w:rsidRDefault="00006CE0" w:rsidP="00435936">
            <w:pPr>
              <w:spacing w:after="0" w:line="240" w:lineRule="auto"/>
              <w:jc w:val="center"/>
              <w:rPr>
                <w:rFonts w:eastAsia="Times New Roman" w:cs="Times New Roman"/>
                <w:b/>
                <w:bCs/>
                <w:sz w:val="18"/>
                <w:szCs w:val="18"/>
              </w:rPr>
            </w:pPr>
            <w:r w:rsidRPr="00D2239A">
              <w:rPr>
                <w:rFonts w:eastAsia="Times New Roman" w:cs="Times New Roman"/>
                <w:b/>
                <w:bCs/>
                <w:sz w:val="18"/>
                <w:szCs w:val="18"/>
              </w:rPr>
              <w:t xml:space="preserve">Urban, n = </w:t>
            </w:r>
            <w:r w:rsidR="00F65C3D">
              <w:rPr>
                <w:rFonts w:eastAsia="Times New Roman" w:cs="Times New Roman"/>
                <w:b/>
                <w:bCs/>
                <w:sz w:val="18"/>
                <w:szCs w:val="18"/>
              </w:rPr>
              <w:t>18</w:t>
            </w:r>
          </w:p>
        </w:tc>
        <w:tc>
          <w:tcPr>
            <w:tcW w:w="2070" w:type="dxa"/>
            <w:tcBorders>
              <w:top w:val="single" w:sz="4" w:space="0" w:color="auto"/>
              <w:left w:val="nil"/>
              <w:right w:val="nil"/>
            </w:tcBorders>
            <w:vAlign w:val="center"/>
          </w:tcPr>
          <w:p w14:paraId="3C4DCF65" w14:textId="5780EE79" w:rsidR="00006CE0" w:rsidRPr="00D2239A" w:rsidRDefault="00006CE0" w:rsidP="00435936">
            <w:pPr>
              <w:spacing w:after="0" w:line="240" w:lineRule="auto"/>
              <w:jc w:val="center"/>
              <w:rPr>
                <w:rFonts w:eastAsia="Times New Roman" w:cs="Times New Roman"/>
                <w:b/>
                <w:bCs/>
                <w:sz w:val="18"/>
                <w:szCs w:val="18"/>
              </w:rPr>
            </w:pPr>
            <w:r w:rsidRPr="00D2239A">
              <w:rPr>
                <w:rFonts w:eastAsia="Times New Roman" w:cs="Times New Roman"/>
                <w:b/>
                <w:bCs/>
                <w:sz w:val="18"/>
                <w:szCs w:val="18"/>
              </w:rPr>
              <w:t>Rural, n = 8</w:t>
            </w:r>
          </w:p>
        </w:tc>
      </w:tr>
      <w:tr w:rsidR="00006CE0" w:rsidRPr="00D2239A" w14:paraId="7119E65A" w14:textId="77777777" w:rsidTr="0040725E">
        <w:trPr>
          <w:trHeight w:val="288"/>
        </w:trPr>
        <w:tc>
          <w:tcPr>
            <w:tcW w:w="990" w:type="dxa"/>
            <w:tcBorders>
              <w:top w:val="single" w:sz="4" w:space="0" w:color="auto"/>
              <w:left w:val="nil"/>
              <w:bottom w:val="nil"/>
              <w:right w:val="nil"/>
            </w:tcBorders>
            <w:tcMar>
              <w:left w:w="29" w:type="dxa"/>
              <w:right w:w="29" w:type="dxa"/>
            </w:tcMar>
            <w:vAlign w:val="center"/>
          </w:tcPr>
          <w:p w14:paraId="5787471D" w14:textId="77777777" w:rsidR="00006CE0" w:rsidRPr="00D2239A" w:rsidRDefault="00006CE0" w:rsidP="00435936">
            <w:pPr>
              <w:spacing w:after="0" w:line="240" w:lineRule="auto"/>
              <w:rPr>
                <w:rFonts w:eastAsia="Times New Roman" w:cs="Times New Roman"/>
                <w:sz w:val="18"/>
                <w:szCs w:val="18"/>
              </w:rPr>
            </w:pPr>
            <w:r w:rsidRPr="00D2239A">
              <w:rPr>
                <w:rFonts w:eastAsia="Times New Roman" w:cs="Times New Roman"/>
                <w:sz w:val="18"/>
                <w:szCs w:val="18"/>
              </w:rPr>
              <w:t>2016-2018</w:t>
            </w:r>
          </w:p>
        </w:tc>
        <w:tc>
          <w:tcPr>
            <w:tcW w:w="1980" w:type="dxa"/>
            <w:tcBorders>
              <w:top w:val="single" w:sz="4" w:space="0" w:color="auto"/>
              <w:left w:val="nil"/>
              <w:bottom w:val="nil"/>
              <w:right w:val="nil"/>
            </w:tcBorders>
            <w:noWrap/>
            <w:tcMar>
              <w:left w:w="14" w:type="dxa"/>
              <w:right w:w="43" w:type="dxa"/>
            </w:tcMar>
            <w:vAlign w:val="center"/>
            <w:hideMark/>
          </w:tcPr>
          <w:p w14:paraId="0E87E7A3" w14:textId="054BF034" w:rsidR="00006CE0" w:rsidRPr="00D2239A" w:rsidRDefault="00006CE0" w:rsidP="00435936">
            <w:pPr>
              <w:spacing w:after="0" w:line="240" w:lineRule="auto"/>
              <w:jc w:val="center"/>
              <w:rPr>
                <w:rFonts w:eastAsia="Times New Roman" w:cs="Times New Roman"/>
                <w:sz w:val="18"/>
                <w:szCs w:val="18"/>
              </w:rPr>
            </w:pPr>
            <w:r w:rsidRPr="00D2239A">
              <w:rPr>
                <w:rFonts w:eastAsia="Times New Roman" w:cs="Times New Roman"/>
                <w:sz w:val="18"/>
                <w:szCs w:val="18"/>
              </w:rPr>
              <w:t>0.067 (0.046 − 0.124)</w:t>
            </w:r>
          </w:p>
        </w:tc>
        <w:tc>
          <w:tcPr>
            <w:tcW w:w="1980" w:type="dxa"/>
            <w:tcBorders>
              <w:top w:val="single" w:sz="4" w:space="0" w:color="auto"/>
              <w:left w:val="nil"/>
              <w:bottom w:val="nil"/>
              <w:right w:val="nil"/>
            </w:tcBorders>
            <w:noWrap/>
            <w:tcMar>
              <w:left w:w="14" w:type="dxa"/>
              <w:right w:w="43" w:type="dxa"/>
            </w:tcMar>
            <w:vAlign w:val="center"/>
            <w:hideMark/>
          </w:tcPr>
          <w:p w14:paraId="0ECE19C8" w14:textId="78150E88" w:rsidR="00006CE0" w:rsidRPr="00D2239A" w:rsidRDefault="00006CE0" w:rsidP="00435936">
            <w:pPr>
              <w:spacing w:after="0" w:line="240" w:lineRule="auto"/>
              <w:jc w:val="center"/>
              <w:rPr>
                <w:rFonts w:eastAsia="Times New Roman" w:cs="Times New Roman"/>
                <w:sz w:val="18"/>
                <w:szCs w:val="18"/>
              </w:rPr>
            </w:pPr>
            <w:r w:rsidRPr="00D2239A">
              <w:rPr>
                <w:rFonts w:eastAsia="Times New Roman" w:cs="Times New Roman"/>
                <w:sz w:val="18"/>
                <w:szCs w:val="18"/>
              </w:rPr>
              <w:t>0.084 (0.061 − 0.125)</w:t>
            </w:r>
          </w:p>
        </w:tc>
        <w:tc>
          <w:tcPr>
            <w:tcW w:w="270" w:type="dxa"/>
            <w:tcBorders>
              <w:top w:val="single" w:sz="4" w:space="0" w:color="auto"/>
              <w:left w:val="nil"/>
              <w:bottom w:val="nil"/>
              <w:right w:val="nil"/>
            </w:tcBorders>
            <w:vAlign w:val="center"/>
          </w:tcPr>
          <w:p w14:paraId="13BFBEAA" w14:textId="77777777" w:rsidR="00006CE0" w:rsidRPr="00D2239A" w:rsidRDefault="00006CE0" w:rsidP="00435936">
            <w:pPr>
              <w:spacing w:after="0" w:line="240" w:lineRule="auto"/>
              <w:jc w:val="center"/>
              <w:rPr>
                <w:rFonts w:eastAsia="Times New Roman" w:cs="Times New Roman"/>
                <w:sz w:val="18"/>
                <w:szCs w:val="18"/>
              </w:rPr>
            </w:pPr>
          </w:p>
        </w:tc>
        <w:tc>
          <w:tcPr>
            <w:tcW w:w="2070" w:type="dxa"/>
            <w:tcBorders>
              <w:top w:val="single" w:sz="4" w:space="0" w:color="auto"/>
              <w:left w:val="nil"/>
              <w:bottom w:val="nil"/>
              <w:right w:val="nil"/>
            </w:tcBorders>
            <w:vAlign w:val="center"/>
          </w:tcPr>
          <w:p w14:paraId="7443A42D" w14:textId="0B00F702" w:rsidR="00006CE0" w:rsidRPr="00D2239A" w:rsidRDefault="00006CE0" w:rsidP="00435936">
            <w:pPr>
              <w:spacing w:after="0" w:line="240" w:lineRule="auto"/>
              <w:jc w:val="center"/>
              <w:rPr>
                <w:rFonts w:eastAsia="Times New Roman" w:cs="Times New Roman"/>
                <w:sz w:val="18"/>
                <w:szCs w:val="18"/>
              </w:rPr>
            </w:pPr>
            <w:r w:rsidRPr="00D2239A">
              <w:rPr>
                <w:rFonts w:eastAsia="Times New Roman" w:cs="Times New Roman"/>
                <w:sz w:val="18"/>
                <w:szCs w:val="18"/>
              </w:rPr>
              <w:t>0.007 (0.001 − 0.025)</w:t>
            </w:r>
          </w:p>
        </w:tc>
        <w:tc>
          <w:tcPr>
            <w:tcW w:w="2070" w:type="dxa"/>
            <w:tcBorders>
              <w:top w:val="single" w:sz="4" w:space="0" w:color="auto"/>
              <w:left w:val="nil"/>
              <w:bottom w:val="nil"/>
              <w:right w:val="nil"/>
            </w:tcBorders>
            <w:vAlign w:val="center"/>
          </w:tcPr>
          <w:p w14:paraId="61FE3A92" w14:textId="323C9159" w:rsidR="00006CE0" w:rsidRPr="00D2239A" w:rsidRDefault="00006CE0" w:rsidP="00435936">
            <w:pPr>
              <w:spacing w:after="0" w:line="240" w:lineRule="auto"/>
              <w:jc w:val="center"/>
              <w:rPr>
                <w:rFonts w:eastAsia="Times New Roman" w:cs="Times New Roman"/>
                <w:sz w:val="18"/>
                <w:szCs w:val="18"/>
              </w:rPr>
            </w:pPr>
            <w:r w:rsidRPr="00D2239A">
              <w:rPr>
                <w:rFonts w:eastAsia="Times New Roman" w:cs="Times New Roman"/>
                <w:sz w:val="18"/>
                <w:szCs w:val="18"/>
              </w:rPr>
              <w:t>0.006 (0.002 − 0.019)</w:t>
            </w:r>
          </w:p>
        </w:tc>
      </w:tr>
      <w:tr w:rsidR="00006CE0" w:rsidRPr="00D2239A" w14:paraId="05769945" w14:textId="77777777" w:rsidTr="0040725E">
        <w:trPr>
          <w:trHeight w:val="288"/>
        </w:trPr>
        <w:tc>
          <w:tcPr>
            <w:tcW w:w="990" w:type="dxa"/>
            <w:tcBorders>
              <w:top w:val="nil"/>
              <w:left w:val="nil"/>
              <w:bottom w:val="single" w:sz="4" w:space="0" w:color="auto"/>
              <w:right w:val="nil"/>
            </w:tcBorders>
            <w:tcMar>
              <w:left w:w="29" w:type="dxa"/>
              <w:right w:w="29" w:type="dxa"/>
            </w:tcMar>
            <w:vAlign w:val="center"/>
          </w:tcPr>
          <w:p w14:paraId="09A6F971" w14:textId="77777777" w:rsidR="00006CE0" w:rsidRPr="00D2239A" w:rsidRDefault="00006CE0" w:rsidP="00435936">
            <w:pPr>
              <w:spacing w:after="0" w:line="240" w:lineRule="auto"/>
              <w:rPr>
                <w:rFonts w:eastAsia="Times New Roman" w:cs="Times New Roman"/>
                <w:sz w:val="18"/>
                <w:szCs w:val="18"/>
              </w:rPr>
            </w:pPr>
            <w:r w:rsidRPr="00D2239A">
              <w:rPr>
                <w:rFonts w:eastAsia="Times New Roman" w:cs="Times New Roman"/>
                <w:sz w:val="18"/>
                <w:szCs w:val="18"/>
              </w:rPr>
              <w:t>2018-2019</w:t>
            </w:r>
          </w:p>
        </w:tc>
        <w:tc>
          <w:tcPr>
            <w:tcW w:w="1980" w:type="dxa"/>
            <w:tcBorders>
              <w:top w:val="nil"/>
              <w:left w:val="nil"/>
              <w:bottom w:val="single" w:sz="4" w:space="0" w:color="auto"/>
              <w:right w:val="nil"/>
            </w:tcBorders>
            <w:noWrap/>
            <w:tcMar>
              <w:left w:w="14" w:type="dxa"/>
              <w:right w:w="43" w:type="dxa"/>
            </w:tcMar>
            <w:vAlign w:val="center"/>
            <w:hideMark/>
          </w:tcPr>
          <w:p w14:paraId="7E9148AC" w14:textId="10BB6CAC" w:rsidR="00006CE0" w:rsidRPr="00D2239A" w:rsidRDefault="00006CE0" w:rsidP="00435936">
            <w:pPr>
              <w:spacing w:after="0" w:line="240" w:lineRule="auto"/>
              <w:jc w:val="center"/>
              <w:rPr>
                <w:rFonts w:eastAsia="Times New Roman" w:cs="Times New Roman"/>
                <w:sz w:val="18"/>
                <w:szCs w:val="18"/>
              </w:rPr>
            </w:pPr>
            <w:r w:rsidRPr="00D2239A">
              <w:rPr>
                <w:rFonts w:eastAsia="Times New Roman" w:cs="Times New Roman"/>
                <w:sz w:val="18"/>
                <w:szCs w:val="18"/>
              </w:rPr>
              <w:t>0.072 (0.027 − 0.181)</w:t>
            </w:r>
          </w:p>
        </w:tc>
        <w:tc>
          <w:tcPr>
            <w:tcW w:w="1980" w:type="dxa"/>
            <w:tcBorders>
              <w:top w:val="nil"/>
              <w:left w:val="nil"/>
              <w:bottom w:val="single" w:sz="4" w:space="0" w:color="auto"/>
              <w:right w:val="nil"/>
            </w:tcBorders>
            <w:noWrap/>
            <w:tcMar>
              <w:left w:w="14" w:type="dxa"/>
              <w:right w:w="43" w:type="dxa"/>
            </w:tcMar>
            <w:vAlign w:val="center"/>
            <w:hideMark/>
          </w:tcPr>
          <w:p w14:paraId="269DF6A2" w14:textId="62FA9AB6" w:rsidR="00006CE0" w:rsidRPr="00D2239A" w:rsidRDefault="00006CE0" w:rsidP="00435936">
            <w:pPr>
              <w:spacing w:after="0" w:line="240" w:lineRule="auto"/>
              <w:jc w:val="center"/>
              <w:rPr>
                <w:rFonts w:eastAsia="Times New Roman" w:cs="Times New Roman"/>
                <w:sz w:val="18"/>
                <w:szCs w:val="18"/>
              </w:rPr>
            </w:pPr>
            <w:r w:rsidRPr="00D2239A">
              <w:rPr>
                <w:rFonts w:eastAsia="Times New Roman" w:cs="Times New Roman"/>
                <w:sz w:val="18"/>
                <w:szCs w:val="18"/>
              </w:rPr>
              <w:t>0.064 (0.034 − 0.141)</w:t>
            </w:r>
          </w:p>
        </w:tc>
        <w:tc>
          <w:tcPr>
            <w:tcW w:w="270" w:type="dxa"/>
            <w:tcBorders>
              <w:top w:val="nil"/>
              <w:left w:val="nil"/>
              <w:bottom w:val="single" w:sz="4" w:space="0" w:color="auto"/>
              <w:right w:val="nil"/>
            </w:tcBorders>
            <w:vAlign w:val="center"/>
          </w:tcPr>
          <w:p w14:paraId="150B59FB" w14:textId="77777777" w:rsidR="00006CE0" w:rsidRPr="00D2239A" w:rsidRDefault="00006CE0" w:rsidP="00435936">
            <w:pPr>
              <w:spacing w:after="0" w:line="240" w:lineRule="auto"/>
              <w:jc w:val="center"/>
              <w:rPr>
                <w:rFonts w:eastAsia="Times New Roman" w:cs="Times New Roman"/>
                <w:sz w:val="18"/>
                <w:szCs w:val="18"/>
              </w:rPr>
            </w:pPr>
          </w:p>
        </w:tc>
        <w:tc>
          <w:tcPr>
            <w:tcW w:w="2070" w:type="dxa"/>
            <w:tcBorders>
              <w:top w:val="nil"/>
              <w:left w:val="nil"/>
              <w:bottom w:val="single" w:sz="4" w:space="0" w:color="auto"/>
              <w:right w:val="nil"/>
            </w:tcBorders>
            <w:vAlign w:val="center"/>
          </w:tcPr>
          <w:p w14:paraId="40AC046C" w14:textId="2CF498F7" w:rsidR="00006CE0" w:rsidRPr="00D2239A" w:rsidRDefault="00006CE0" w:rsidP="00435936">
            <w:pPr>
              <w:spacing w:after="0" w:line="240" w:lineRule="auto"/>
              <w:jc w:val="center"/>
              <w:rPr>
                <w:rFonts w:eastAsia="Times New Roman" w:cs="Times New Roman"/>
                <w:sz w:val="18"/>
                <w:szCs w:val="18"/>
              </w:rPr>
            </w:pPr>
            <w:r w:rsidRPr="00D2239A">
              <w:rPr>
                <w:rFonts w:eastAsia="Times New Roman" w:cs="Times New Roman"/>
                <w:sz w:val="18"/>
                <w:szCs w:val="18"/>
              </w:rPr>
              <w:t>0.007 (0.001 − 0.027)</w:t>
            </w:r>
          </w:p>
        </w:tc>
        <w:tc>
          <w:tcPr>
            <w:tcW w:w="2070" w:type="dxa"/>
            <w:tcBorders>
              <w:top w:val="nil"/>
              <w:left w:val="nil"/>
              <w:bottom w:val="single" w:sz="4" w:space="0" w:color="auto"/>
              <w:right w:val="nil"/>
            </w:tcBorders>
            <w:vAlign w:val="center"/>
          </w:tcPr>
          <w:p w14:paraId="223279C7" w14:textId="49761F0C" w:rsidR="00006CE0" w:rsidRPr="00D2239A" w:rsidRDefault="00006CE0" w:rsidP="00435936">
            <w:pPr>
              <w:spacing w:after="0" w:line="240" w:lineRule="auto"/>
              <w:jc w:val="center"/>
              <w:rPr>
                <w:rFonts w:eastAsia="Times New Roman" w:cs="Times New Roman"/>
                <w:sz w:val="18"/>
                <w:szCs w:val="18"/>
              </w:rPr>
            </w:pPr>
            <w:r w:rsidRPr="00D2239A">
              <w:rPr>
                <w:rFonts w:eastAsia="Times New Roman" w:cs="Times New Roman"/>
                <w:sz w:val="18"/>
                <w:szCs w:val="18"/>
              </w:rPr>
              <w:t>0.005 (0.001 − 0.021)</w:t>
            </w:r>
          </w:p>
        </w:tc>
      </w:tr>
    </w:tbl>
    <w:p w14:paraId="31E2949B" w14:textId="1DB231F7" w:rsidR="00D56E0B" w:rsidRPr="00D2239A" w:rsidRDefault="004C23A0" w:rsidP="0040725E">
      <w:pPr>
        <w:spacing w:after="0" w:line="240" w:lineRule="auto"/>
        <w:ind w:left="90" w:hanging="90"/>
        <w:rPr>
          <w:rFonts w:cs="Times New Roman"/>
          <w:sz w:val="18"/>
          <w:szCs w:val="18"/>
        </w:rPr>
      </w:pPr>
      <w:proofErr w:type="spellStart"/>
      <w:r w:rsidRPr="00D2239A">
        <w:rPr>
          <w:rFonts w:cs="Times New Roman"/>
          <w:sz w:val="18"/>
          <w:szCs w:val="18"/>
          <w:vertAlign w:val="superscript"/>
        </w:rPr>
        <w:t>a</w:t>
      </w:r>
      <w:proofErr w:type="spellEnd"/>
      <w:r w:rsidR="00D56E0B" w:rsidRPr="00D2239A">
        <w:rPr>
          <w:rFonts w:cs="Times New Roman"/>
          <w:sz w:val="18"/>
          <w:szCs w:val="18"/>
        </w:rPr>
        <w:tab/>
        <w:t xml:space="preserve">Among </w:t>
      </w:r>
      <w:r w:rsidRPr="00D2239A">
        <w:rPr>
          <w:rFonts w:cs="Times New Roman"/>
          <w:sz w:val="18"/>
          <w:szCs w:val="18"/>
        </w:rPr>
        <w:t xml:space="preserve">individuals </w:t>
      </w:r>
      <w:r w:rsidR="00D56E0B" w:rsidRPr="00D2239A">
        <w:rPr>
          <w:rFonts w:cs="Times New Roman"/>
          <w:sz w:val="18"/>
          <w:szCs w:val="18"/>
        </w:rPr>
        <w:t>aged 12 years and older.</w:t>
      </w:r>
    </w:p>
    <w:p w14:paraId="7FAEA84D" w14:textId="2906B539" w:rsidR="00D56E0B" w:rsidRPr="00D2239A" w:rsidRDefault="004C23A0" w:rsidP="007C3D4E">
      <w:pPr>
        <w:spacing w:after="0" w:line="240" w:lineRule="auto"/>
        <w:ind w:left="90" w:hanging="90"/>
        <w:rPr>
          <w:rFonts w:cs="Times New Roman"/>
          <w:sz w:val="18"/>
          <w:szCs w:val="18"/>
        </w:rPr>
      </w:pPr>
      <w:r w:rsidRPr="00D2239A">
        <w:rPr>
          <w:rFonts w:cs="Times New Roman"/>
          <w:sz w:val="18"/>
          <w:szCs w:val="18"/>
          <w:vertAlign w:val="superscript"/>
        </w:rPr>
        <w:t>b</w:t>
      </w:r>
      <w:r w:rsidR="00D56E0B" w:rsidRPr="00D2239A">
        <w:rPr>
          <w:rFonts w:cs="Times New Roman"/>
          <w:sz w:val="18"/>
          <w:szCs w:val="18"/>
        </w:rPr>
        <w:tab/>
        <w:t xml:space="preserve">Individuals who use both illicit and prescription opioids without OUD are counted in the </w:t>
      </w:r>
      <w:r w:rsidR="00D56E0B" w:rsidRPr="00D2239A">
        <w:rPr>
          <w:rFonts w:cs="Times New Roman"/>
          <w:i/>
          <w:iCs/>
          <w:sz w:val="18"/>
          <w:szCs w:val="18"/>
        </w:rPr>
        <w:t xml:space="preserve">Illicit </w:t>
      </w:r>
      <w:r w:rsidR="00B624AF" w:rsidRPr="00D2239A">
        <w:rPr>
          <w:rFonts w:cs="Times New Roman"/>
          <w:i/>
          <w:iCs/>
          <w:sz w:val="18"/>
          <w:szCs w:val="18"/>
        </w:rPr>
        <w:t>O</w:t>
      </w:r>
      <w:r w:rsidR="00D56E0B" w:rsidRPr="00D2239A">
        <w:rPr>
          <w:rFonts w:cs="Times New Roman"/>
          <w:i/>
          <w:iCs/>
          <w:sz w:val="18"/>
          <w:szCs w:val="18"/>
        </w:rPr>
        <w:t xml:space="preserve">pioid </w:t>
      </w:r>
      <w:r w:rsidR="00B624AF" w:rsidRPr="00D2239A">
        <w:rPr>
          <w:rFonts w:cs="Times New Roman"/>
          <w:i/>
          <w:iCs/>
          <w:sz w:val="18"/>
          <w:szCs w:val="18"/>
        </w:rPr>
        <w:t>U</w:t>
      </w:r>
      <w:r w:rsidR="00D56E0B" w:rsidRPr="00D2239A">
        <w:rPr>
          <w:rFonts w:cs="Times New Roman"/>
          <w:i/>
          <w:iCs/>
          <w:sz w:val="18"/>
          <w:szCs w:val="18"/>
        </w:rPr>
        <w:t xml:space="preserve">se without OUD </w:t>
      </w:r>
      <w:r w:rsidR="00D56E0B" w:rsidRPr="00D2239A">
        <w:rPr>
          <w:rFonts w:cs="Times New Roman"/>
          <w:sz w:val="18"/>
          <w:szCs w:val="18"/>
        </w:rPr>
        <w:t xml:space="preserve">health state. </w:t>
      </w:r>
    </w:p>
    <w:p w14:paraId="5C2ED055" w14:textId="77777777" w:rsidR="006230A5" w:rsidRPr="00D2239A" w:rsidRDefault="006230A5" w:rsidP="00340240">
      <w:pPr>
        <w:spacing w:after="0" w:line="276" w:lineRule="auto"/>
        <w:rPr>
          <w:rFonts w:cs="Times New Roman"/>
          <w:sz w:val="22"/>
          <w:szCs w:val="22"/>
        </w:rPr>
      </w:pPr>
    </w:p>
    <w:p w14:paraId="649F9C5A" w14:textId="66720E25" w:rsidR="009A79CB" w:rsidRPr="00EF4250" w:rsidRDefault="004A4ECF" w:rsidP="0040725E">
      <w:pPr>
        <w:pStyle w:val="BodyText"/>
        <w:keepNext/>
        <w:spacing w:line="276" w:lineRule="auto"/>
        <w:rPr>
          <w:szCs w:val="20"/>
        </w:rPr>
      </w:pPr>
      <w:r w:rsidRPr="00EF4250">
        <w:rPr>
          <w:i/>
          <w:iCs/>
          <w:szCs w:val="20"/>
          <w:u w:val="single"/>
        </w:rPr>
        <w:t xml:space="preserve">Adjustment for </w:t>
      </w:r>
      <w:r w:rsidR="00B874E7" w:rsidRPr="00EF4250">
        <w:rPr>
          <w:i/>
          <w:iCs/>
          <w:szCs w:val="20"/>
          <w:u w:val="single"/>
        </w:rPr>
        <w:t>u</w:t>
      </w:r>
      <w:r w:rsidRPr="00EF4250">
        <w:rPr>
          <w:i/>
          <w:iCs/>
          <w:szCs w:val="20"/>
          <w:u w:val="single"/>
        </w:rPr>
        <w:t xml:space="preserve">nderreporting </w:t>
      </w:r>
      <w:r w:rsidR="00B874E7" w:rsidRPr="00EF4250">
        <w:rPr>
          <w:i/>
          <w:iCs/>
          <w:szCs w:val="20"/>
          <w:u w:val="single"/>
        </w:rPr>
        <w:t>from NSDUH</w:t>
      </w:r>
      <w:r w:rsidR="00B874E7" w:rsidRPr="00EF4250">
        <w:rPr>
          <w:szCs w:val="20"/>
        </w:rPr>
        <w:t xml:space="preserve"> </w:t>
      </w:r>
    </w:p>
    <w:p w14:paraId="5A8AFA82" w14:textId="7B48336D" w:rsidR="00671E68" w:rsidRPr="00EF4250" w:rsidRDefault="004A4ECF" w:rsidP="00630FCC">
      <w:pPr>
        <w:pStyle w:val="BodyText"/>
        <w:spacing w:after="0" w:line="276" w:lineRule="auto"/>
        <w:rPr>
          <w:szCs w:val="20"/>
        </w:rPr>
      </w:pPr>
      <w:r w:rsidRPr="00EF4250">
        <w:rPr>
          <w:szCs w:val="20"/>
        </w:rPr>
        <w:t>NSDUH relies on self-reporting of drug use and includes only the non-institutionalized population. Accordingly, the prevalence of the non-medical use of prescription and illicit</w:t>
      </w:r>
      <w:r w:rsidR="003046BA" w:rsidRPr="00EF4250">
        <w:rPr>
          <w:szCs w:val="20"/>
        </w:rPr>
        <w:t xml:space="preserve">ly manufactured </w:t>
      </w:r>
      <w:r w:rsidRPr="00EF4250">
        <w:rPr>
          <w:szCs w:val="20"/>
        </w:rPr>
        <w:t>opioids without OUD is likely underestimated.</w:t>
      </w:r>
      <w:r w:rsidR="00703257" w:rsidRPr="00EF4250">
        <w:rPr>
          <w:szCs w:val="20"/>
        </w:rPr>
        <w:fldChar w:fldCharType="begin">
          <w:fldData xml:space="preserve">PEVuZE5vdGU+PENpdGU+PEF1dGhvcj5LZXllczwvQXV0aG9yPjxZZWFyPjIwMjI8L1llYXI+PFJl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</w:fldData>
        </w:fldChar>
      </w:r>
      <w:r w:rsidR="002F7FE7" w:rsidRPr="00EF4250">
        <w:rPr>
          <w:szCs w:val="20"/>
        </w:rPr>
        <w:instrText xml:space="preserve"> ADDIN EN.CITE </w:instrText>
      </w:r>
      <w:r w:rsidR="002F7FE7" w:rsidRPr="00EF4250">
        <w:rPr>
          <w:szCs w:val="20"/>
        </w:rPr>
        <w:fldChar w:fldCharType="begin">
          <w:fldData xml:space="preserve">PEVuZE5vdGU+PENpdGU+PEF1dGhvcj5LZXllczwvQXV0aG9yPjxZZWFyPjIwMjI8L1llYXI+PFJl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</w:fldData>
        </w:fldChar>
      </w:r>
      <w:r w:rsidR="002F7FE7" w:rsidRPr="00EF4250">
        <w:rPr>
          <w:szCs w:val="20"/>
        </w:rPr>
        <w:instrText xml:space="preserve"> ADDIN EN.CITE.DATA </w:instrText>
      </w:r>
      <w:r w:rsidR="002F7FE7" w:rsidRPr="00EF4250">
        <w:rPr>
          <w:szCs w:val="20"/>
        </w:rPr>
      </w:r>
      <w:r w:rsidR="002F7FE7" w:rsidRPr="00EF4250">
        <w:rPr>
          <w:szCs w:val="20"/>
        </w:rPr>
        <w:fldChar w:fldCharType="end"/>
      </w:r>
      <w:r w:rsidR="00703257" w:rsidRPr="00EF4250">
        <w:rPr>
          <w:szCs w:val="20"/>
        </w:rPr>
      </w:r>
      <w:r w:rsidR="00703257" w:rsidRPr="00EF4250">
        <w:rPr>
          <w:szCs w:val="20"/>
        </w:rPr>
        <w:fldChar w:fldCharType="separate"/>
      </w:r>
      <w:r w:rsidR="002F7FE7" w:rsidRPr="00EF4250">
        <w:rPr>
          <w:noProof/>
          <w:szCs w:val="20"/>
          <w:vertAlign w:val="superscript"/>
        </w:rPr>
        <w:t>14,15</w:t>
      </w:r>
      <w:r w:rsidR="00703257" w:rsidRPr="00EF4250">
        <w:rPr>
          <w:szCs w:val="20"/>
        </w:rPr>
        <w:fldChar w:fldCharType="end"/>
      </w:r>
      <w:r w:rsidRPr="00EF4250">
        <w:rPr>
          <w:szCs w:val="20"/>
        </w:rPr>
        <w:t xml:space="preserve"> To account for this underreporting, we applied a multiplier method to adjust the community-specific prevalence estimates from NSDUH. To our knowledge, county- or even state-level data on the prevalence of prescription opioid misuse and illicit opioid use without OUD are unavailable from other sources. Accordingly, we relied on data on the magnitude of underestimation of OUD to estimate the magnitude of underreporting of these measures, assuming that underestimation is larger for illicit use vs</w:t>
      </w:r>
      <w:r w:rsidR="003B63DD" w:rsidRPr="00EF4250">
        <w:rPr>
          <w:szCs w:val="20"/>
        </w:rPr>
        <w:t>.</w:t>
      </w:r>
      <w:r w:rsidRPr="00EF4250">
        <w:rPr>
          <w:szCs w:val="20"/>
        </w:rPr>
        <w:t xml:space="preserve"> prescription opioid misuse. </w:t>
      </w:r>
    </w:p>
    <w:p w14:paraId="36C5FC61" w14:textId="77777777" w:rsidR="00630FCC" w:rsidRPr="00EF4250" w:rsidRDefault="00630FCC" w:rsidP="00630FCC">
      <w:pPr>
        <w:pStyle w:val="BodyText"/>
        <w:spacing w:after="0" w:line="276" w:lineRule="auto"/>
        <w:rPr>
          <w:szCs w:val="20"/>
        </w:rPr>
      </w:pPr>
    </w:p>
    <w:p w14:paraId="2003133C" w14:textId="79C6477C" w:rsidR="00351F24" w:rsidRPr="00EF4250" w:rsidRDefault="004A4ECF" w:rsidP="00630FCC">
      <w:pPr>
        <w:pStyle w:val="BodyText"/>
        <w:spacing w:after="0" w:line="276" w:lineRule="auto"/>
        <w:rPr>
          <w:szCs w:val="20"/>
        </w:rPr>
      </w:pPr>
      <w:r w:rsidRPr="00EF4250">
        <w:rPr>
          <w:szCs w:val="20"/>
        </w:rPr>
        <w:t xml:space="preserve">First, we calculated a multiplier for the underestimation of OUD prevalence by comparing </w:t>
      </w:r>
      <w:r w:rsidR="00C40F84" w:rsidRPr="00EF4250">
        <w:rPr>
          <w:szCs w:val="20"/>
        </w:rPr>
        <w:t xml:space="preserve">our </w:t>
      </w:r>
      <w:r w:rsidRPr="00EF4250">
        <w:rPr>
          <w:szCs w:val="20"/>
        </w:rPr>
        <w:t>community-specific OUD prevalence estimates in 2018 with substate-level prevalence estimates derived from NSDUH during the period 2016-2018</w:t>
      </w:r>
      <w:r w:rsidR="00CF2C35" w:rsidRPr="00EF4250">
        <w:rPr>
          <w:szCs w:val="20"/>
        </w:rPr>
        <w:t>.</w:t>
      </w:r>
      <w:r w:rsidR="002F7FE7" w:rsidRPr="00EF4250">
        <w:rPr>
          <w:szCs w:val="20"/>
        </w:rPr>
        <w:fldChar w:fldCharType="begin"/>
      </w:r>
      <w:r w:rsidR="002F7FE7" w:rsidRPr="00EF4250">
        <w:rPr>
          <w:szCs w:val="20"/>
        </w:rPr>
        <w:instrText xml:space="preserve"> ADDIN EN.CITE &lt;EndNote&gt;&lt;Cite&gt;&lt;Author&gt;Substance Abuse and Mental Health Services Administration (SAMHSA)&lt;/Author&gt;&lt;Year&gt;2020&lt;/Year&gt;&lt;RecNum&gt;128&lt;/RecNum&gt;&lt;DisplayText&gt;&lt;style face="superscript"&gt;9&lt;/style&gt;&lt;/DisplayText&gt;&lt;record&gt;&lt;rec-number&gt;128&lt;/rec-number&gt;&lt;foreign-keys&gt;&lt;key app="EN" db-id="ffv9f0td1taf24ev0z1paazh2dx55xvtwsv9" timestamp="1713388380"&gt;128&lt;/key&gt;&lt;/foreign-keys&gt;&lt;ref-type name="Web Page"&gt;12&lt;/ref-type&gt;&lt;contributors&gt;&lt;authors&gt;&lt;author&gt;Substance Abuse and Mental Health Services Administration (SAMHSA),,&lt;/author&gt;&lt;/authors&gt;&lt;/contributors&gt;&lt;titles&gt;&lt;title&gt;2016-2018 NSDUH substate region estimates - Tables&lt;/title&gt;&lt;/titles&gt;&lt;volume&gt;2023&lt;/volume&gt;&lt;number&gt;Jan 17&lt;/number&gt;&lt;dates&gt;&lt;year&gt;2020&lt;/year&gt;&lt;/dates&gt;&lt;pub-location&gt;Rockville, MD&lt;/pub-location&gt;&lt;publisher&gt;Substance Abuse and Mental Health Services Administration&lt;/publisher&gt;&lt;urls&gt;&lt;related-urls&gt;&lt;url&gt;https://www.samhsa.gov/data/report/2016-2018-nsduh-substate-region-estimates-tables&lt;/url&gt;&lt;/related-urls&gt;&lt;/urls&gt;&lt;/record&gt;&lt;/Cite&gt;&lt;/EndNote&gt;</w:instrText>
      </w:r>
      <w:r w:rsidR="002F7FE7" w:rsidRPr="00EF4250">
        <w:rPr>
          <w:szCs w:val="20"/>
        </w:rPr>
        <w:fldChar w:fldCharType="separate"/>
      </w:r>
      <w:r w:rsidR="002F7FE7" w:rsidRPr="00EF4250">
        <w:rPr>
          <w:noProof/>
          <w:szCs w:val="20"/>
          <w:vertAlign w:val="superscript"/>
        </w:rPr>
        <w:t>9</w:t>
      </w:r>
      <w:r w:rsidR="002F7FE7" w:rsidRPr="00EF4250">
        <w:rPr>
          <w:szCs w:val="20"/>
        </w:rPr>
        <w:fldChar w:fldCharType="end"/>
      </w:r>
      <w:r w:rsidR="001271E6" w:rsidRPr="00EF4250">
        <w:rPr>
          <w:szCs w:val="20"/>
        </w:rPr>
        <w:t xml:space="preserve"> The latter estimates were derived from data on the prevalence of past-year pain reliever use disorder (elements 4 and 5 of </w:t>
      </w:r>
      <w:r w:rsidR="00A87FBF" w:rsidRPr="00626C29">
        <w:rPr>
          <w:b/>
          <w:szCs w:val="20"/>
        </w:rPr>
        <w:t xml:space="preserve">Supplementary </w:t>
      </w:r>
      <w:r w:rsidR="001271E6" w:rsidRPr="00EF4250">
        <w:rPr>
          <w:b/>
          <w:bCs/>
          <w:szCs w:val="20"/>
        </w:rPr>
        <w:t xml:space="preserve">Figure </w:t>
      </w:r>
      <w:r w:rsidR="00A87FBF">
        <w:rPr>
          <w:b/>
          <w:bCs/>
          <w:szCs w:val="20"/>
        </w:rPr>
        <w:t>2</w:t>
      </w:r>
      <w:r w:rsidR="001271E6" w:rsidRPr="00EF4250">
        <w:rPr>
          <w:szCs w:val="20"/>
        </w:rPr>
        <w:t xml:space="preserve">, and the prevalence of past-year heroin use disorder (elements 5 and 6 of </w:t>
      </w:r>
      <w:r w:rsidR="00A87FBF" w:rsidRPr="00626C29">
        <w:rPr>
          <w:b/>
          <w:szCs w:val="20"/>
        </w:rPr>
        <w:t xml:space="preserve">Supplementary </w:t>
      </w:r>
      <w:r w:rsidR="001271E6" w:rsidRPr="00EF4250">
        <w:rPr>
          <w:b/>
          <w:bCs/>
          <w:szCs w:val="20"/>
        </w:rPr>
        <w:t xml:space="preserve">Figure </w:t>
      </w:r>
      <w:r w:rsidR="00A87FBF">
        <w:rPr>
          <w:b/>
          <w:bCs/>
          <w:szCs w:val="20"/>
        </w:rPr>
        <w:t>2</w:t>
      </w:r>
      <w:r w:rsidR="001271E6" w:rsidRPr="00EF4250">
        <w:rPr>
          <w:szCs w:val="20"/>
        </w:rPr>
        <w:t xml:space="preserve">), accounting for the possibility of double-counting persons with both past-year pain reliever use disorder and heroin use disorder (element 5 of </w:t>
      </w:r>
      <w:r w:rsidR="00A87FBF" w:rsidRPr="00626C29">
        <w:rPr>
          <w:b/>
          <w:szCs w:val="20"/>
        </w:rPr>
        <w:t xml:space="preserve">Supplementary </w:t>
      </w:r>
      <w:r w:rsidR="001271E6" w:rsidRPr="00EF4250">
        <w:rPr>
          <w:b/>
          <w:bCs/>
          <w:szCs w:val="20"/>
        </w:rPr>
        <w:t xml:space="preserve">Figure </w:t>
      </w:r>
      <w:r w:rsidR="00A87FBF">
        <w:rPr>
          <w:b/>
          <w:bCs/>
          <w:szCs w:val="20"/>
        </w:rPr>
        <w:t>2</w:t>
      </w:r>
      <w:r w:rsidR="001271E6" w:rsidRPr="00EF4250">
        <w:rPr>
          <w:szCs w:val="20"/>
        </w:rPr>
        <w:t>)</w:t>
      </w:r>
      <w:r w:rsidR="00351F24" w:rsidRPr="00EF4250">
        <w:rPr>
          <w:szCs w:val="20"/>
        </w:rPr>
        <w:t>. That is:</w:t>
      </w:r>
    </w:p>
    <w:p w14:paraId="32314699" w14:textId="77777777" w:rsidR="00630FCC" w:rsidRPr="00EF4250" w:rsidRDefault="00630FCC" w:rsidP="00630FCC">
      <w:pPr>
        <w:pStyle w:val="BodyText"/>
        <w:spacing w:after="0" w:line="276" w:lineRule="auto"/>
        <w:rPr>
          <w:szCs w:val="20"/>
        </w:rPr>
      </w:pPr>
    </w:p>
    <w:p w14:paraId="3FBDDAE7" w14:textId="521269D7" w:rsidR="00351F24" w:rsidRPr="00EF4250" w:rsidRDefault="00351F24" w:rsidP="00630FCC">
      <w:pPr>
        <w:spacing w:after="0" w:line="276" w:lineRule="auto"/>
        <w:jc w:val="center"/>
        <w:rPr>
          <w:rFonts w:cs="Times New Roman"/>
          <w:bCs/>
          <w:szCs w:val="20"/>
        </w:rPr>
      </w:pPr>
      <w:r w:rsidRPr="00EF4250">
        <w:rPr>
          <w:rFonts w:cs="Times New Roman"/>
          <w:bCs/>
          <w:szCs w:val="20"/>
        </w:rPr>
        <w:t xml:space="preserve">OUD = </w:t>
      </w:r>
      <w:r w:rsidR="00D549FA" w:rsidRPr="00EF4250">
        <w:rPr>
          <w:rFonts w:cs="Times New Roman"/>
          <w:bCs/>
          <w:szCs w:val="20"/>
        </w:rPr>
        <w:t>[pain reliever use disorder</w:t>
      </w:r>
      <w:r w:rsidR="000129D7" w:rsidRPr="00EF4250">
        <w:rPr>
          <w:rFonts w:cs="Times New Roman"/>
          <w:bCs/>
          <w:szCs w:val="20"/>
        </w:rPr>
        <w:t xml:space="preserve"> (PRUD)</w:t>
      </w:r>
      <w:r w:rsidR="00D549FA" w:rsidRPr="00EF4250">
        <w:rPr>
          <w:rFonts w:cs="Times New Roman"/>
          <w:bCs/>
          <w:szCs w:val="20"/>
        </w:rPr>
        <w:t>]</w:t>
      </w:r>
      <w:r w:rsidRPr="00EF4250">
        <w:rPr>
          <w:rFonts w:cs="Times New Roman"/>
          <w:bCs/>
          <w:szCs w:val="20"/>
        </w:rPr>
        <w:t xml:space="preserve"> + </w:t>
      </w:r>
      <w:r w:rsidR="00D549FA" w:rsidRPr="00EF4250">
        <w:rPr>
          <w:rFonts w:cs="Times New Roman"/>
          <w:bCs/>
          <w:szCs w:val="20"/>
        </w:rPr>
        <w:t>[heroin use disorder</w:t>
      </w:r>
      <w:r w:rsidR="000129D7" w:rsidRPr="00EF4250">
        <w:rPr>
          <w:rFonts w:cs="Times New Roman"/>
          <w:bCs/>
          <w:szCs w:val="20"/>
        </w:rPr>
        <w:t xml:space="preserve"> (HUD)</w:t>
      </w:r>
      <w:r w:rsidR="00D549FA" w:rsidRPr="00EF4250">
        <w:rPr>
          <w:rFonts w:cs="Times New Roman"/>
          <w:bCs/>
          <w:szCs w:val="20"/>
        </w:rPr>
        <w:t xml:space="preserve">] </w:t>
      </w:r>
      <w:r w:rsidRPr="00EF4250">
        <w:rPr>
          <w:rFonts w:cs="Times New Roman"/>
          <w:bCs/>
          <w:szCs w:val="20"/>
        </w:rPr>
        <w:t>− (</w:t>
      </w:r>
      <w:r w:rsidR="000129D7" w:rsidRPr="00EF4250">
        <w:rPr>
          <w:rFonts w:cs="Times New Roman"/>
          <w:bCs/>
          <w:szCs w:val="20"/>
        </w:rPr>
        <w:t>PRUD</w:t>
      </w:r>
      <w:r w:rsidRPr="00EF4250">
        <w:rPr>
          <w:rFonts w:cs="Times New Roman"/>
          <w:bCs/>
          <w:szCs w:val="20"/>
        </w:rPr>
        <w:t xml:space="preserve"> </w:t>
      </w:r>
      <w:r w:rsidR="00531FB5" w:rsidRPr="00EF4250">
        <w:rPr>
          <w:rFonts w:cs="Times New Roman"/>
          <w:bCs/>
          <w:szCs w:val="20"/>
        </w:rPr>
        <w:t>AND</w:t>
      </w:r>
      <w:r w:rsidRPr="00EF4250">
        <w:rPr>
          <w:rFonts w:cs="Times New Roman"/>
          <w:bCs/>
          <w:szCs w:val="20"/>
        </w:rPr>
        <w:t xml:space="preserve"> </w:t>
      </w:r>
      <w:r w:rsidR="000129D7" w:rsidRPr="00EF4250">
        <w:rPr>
          <w:rFonts w:cs="Times New Roman"/>
          <w:bCs/>
          <w:szCs w:val="20"/>
        </w:rPr>
        <w:t>HUD</w:t>
      </w:r>
      <w:r w:rsidRPr="00EF4250">
        <w:rPr>
          <w:rFonts w:cs="Times New Roman"/>
          <w:bCs/>
          <w:szCs w:val="20"/>
        </w:rPr>
        <w:t>)</w:t>
      </w:r>
      <w:r w:rsidR="00D82775" w:rsidRPr="00EF4250">
        <w:rPr>
          <w:rFonts w:cs="Times New Roman"/>
          <w:bCs/>
          <w:szCs w:val="20"/>
        </w:rPr>
        <w:t>.</w:t>
      </w:r>
    </w:p>
    <w:p w14:paraId="36EA2765" w14:textId="77777777" w:rsidR="00D82775" w:rsidRPr="00EF4250" w:rsidRDefault="00D82775" w:rsidP="00630FCC">
      <w:pPr>
        <w:spacing w:after="0" w:line="276" w:lineRule="auto"/>
        <w:rPr>
          <w:rFonts w:cs="Times New Roman"/>
          <w:szCs w:val="20"/>
        </w:rPr>
      </w:pPr>
    </w:p>
    <w:p w14:paraId="307D444D" w14:textId="646CF302" w:rsidR="004A4ECF" w:rsidRPr="00EF4250" w:rsidRDefault="004A4ECF" w:rsidP="00630FCC">
      <w:pPr>
        <w:spacing w:after="0" w:line="276" w:lineRule="auto"/>
        <w:rPr>
          <w:rFonts w:cs="Times New Roman"/>
          <w:b/>
          <w:szCs w:val="20"/>
        </w:rPr>
      </w:pPr>
      <w:r w:rsidRPr="00EF4250">
        <w:rPr>
          <w:rFonts w:cs="Times New Roman"/>
          <w:szCs w:val="20"/>
        </w:rPr>
        <w:t xml:space="preserve">We then derived a multiplier for each type of opioid use, assuming that underreporting of illicit opioid use without OUD is less than underreporting of OUD and higher than underreporting of prescription opioid misuse without OUD. Specifically, we assumed that the multipliers to account for underreporting of prescription opioid use without OUD </w:t>
      </w:r>
      <w:r w:rsidR="003E398D" w:rsidRPr="00EF4250">
        <w:rPr>
          <w:rFonts w:cs="Times New Roman"/>
          <w:szCs w:val="20"/>
        </w:rPr>
        <w:t xml:space="preserve">and of illicit opioid use without OUD </w:t>
      </w:r>
      <w:r w:rsidRPr="00EF4250">
        <w:rPr>
          <w:rFonts w:cs="Times New Roman"/>
          <w:szCs w:val="20"/>
        </w:rPr>
        <w:t>are</w:t>
      </w:r>
      <w:r w:rsidR="00D67CA5" w:rsidRPr="00EF4250">
        <w:rPr>
          <w:rFonts w:cs="Times New Roman"/>
          <w:szCs w:val="20"/>
        </w:rPr>
        <w:t xml:space="preserve"> </w:t>
      </w:r>
      <w:r w:rsidRPr="00EF4250">
        <w:rPr>
          <w:rFonts w:cs="Times New Roman"/>
          <w:szCs w:val="20"/>
        </w:rPr>
        <w:t>one-third</w:t>
      </w:r>
      <w:r w:rsidR="00DF079A" w:rsidRPr="00EF4250">
        <w:rPr>
          <w:rFonts w:cs="Times New Roman"/>
          <w:szCs w:val="20"/>
        </w:rPr>
        <w:t xml:space="preserve"> (1/3)</w:t>
      </w:r>
      <w:r w:rsidR="003E398D" w:rsidRPr="00EF4250">
        <w:rPr>
          <w:rFonts w:cs="Times New Roman"/>
          <w:szCs w:val="20"/>
        </w:rPr>
        <w:t xml:space="preserve"> and two-thirds (2/3)</w:t>
      </w:r>
      <w:r w:rsidRPr="00EF4250">
        <w:rPr>
          <w:rFonts w:cs="Times New Roman"/>
          <w:szCs w:val="20"/>
        </w:rPr>
        <w:t xml:space="preserve"> the size of the multiplier t</w:t>
      </w:r>
      <w:r w:rsidR="006F74B6" w:rsidRPr="00EF4250">
        <w:rPr>
          <w:rFonts w:cs="Times New Roman"/>
          <w:szCs w:val="20"/>
        </w:rPr>
        <w:t>hat</w:t>
      </w:r>
      <w:r w:rsidRPr="00EF4250">
        <w:rPr>
          <w:rFonts w:cs="Times New Roman"/>
          <w:szCs w:val="20"/>
        </w:rPr>
        <w:t xml:space="preserve"> account</w:t>
      </w:r>
      <w:r w:rsidR="006F74B6" w:rsidRPr="00EF4250">
        <w:rPr>
          <w:rFonts w:cs="Times New Roman"/>
          <w:szCs w:val="20"/>
        </w:rPr>
        <w:t>s</w:t>
      </w:r>
      <w:r w:rsidRPr="00EF4250">
        <w:rPr>
          <w:rFonts w:cs="Times New Roman"/>
          <w:szCs w:val="20"/>
        </w:rPr>
        <w:t xml:space="preserve"> for underreporting of OUD</w:t>
      </w:r>
      <w:r w:rsidR="006F74B6" w:rsidRPr="00EF4250">
        <w:rPr>
          <w:rFonts w:cs="Times New Roman"/>
          <w:szCs w:val="20"/>
        </w:rPr>
        <w:t>, respectively</w:t>
      </w:r>
      <w:r w:rsidRPr="00EF4250">
        <w:rPr>
          <w:rFonts w:cs="Times New Roman"/>
          <w:szCs w:val="20"/>
        </w:rPr>
        <w:t>.</w:t>
      </w:r>
      <w:r w:rsidR="001E0C03" w:rsidRPr="00EF4250">
        <w:rPr>
          <w:rFonts w:cs="Times New Roman"/>
          <w:szCs w:val="20"/>
        </w:rPr>
        <w:fldChar w:fldCharType="begin">
          <w:fldData xml:space="preserve">PEVuZE5vdGU+PENpdGU+PEF1dGhvcj5DaGhhdHdhbDwvQXV0aG9yPjxZZWFyPjIwMjM8L1llYXI+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</w:fldData>
        </w:fldChar>
      </w:r>
      <w:r w:rsidR="009959E5">
        <w:rPr>
          <w:rFonts w:cs="Times New Roman"/>
          <w:szCs w:val="20"/>
        </w:rPr>
        <w:instrText xml:space="preserve"> ADDIN EN.CITE </w:instrText>
      </w:r>
      <w:r w:rsidR="009959E5">
        <w:rPr>
          <w:rFonts w:cs="Times New Roman"/>
          <w:szCs w:val="20"/>
        </w:rPr>
        <w:fldChar w:fldCharType="begin">
          <w:fldData xml:space="preserve">PEVuZE5vdGU+PENpdGU+PEF1dGhvcj5DaGhhdHdhbDwvQXV0aG9yPjxZZWFyPjIwMjM8L1llYXI+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</w:fldData>
        </w:fldChar>
      </w:r>
      <w:r w:rsidR="009959E5">
        <w:rPr>
          <w:rFonts w:cs="Times New Roman"/>
          <w:szCs w:val="20"/>
        </w:rPr>
        <w:instrText xml:space="preserve"> ADDIN EN.CITE.DATA </w:instrText>
      </w:r>
      <w:r w:rsidR="009959E5">
        <w:rPr>
          <w:rFonts w:cs="Times New Roman"/>
          <w:szCs w:val="20"/>
        </w:rPr>
      </w:r>
      <w:r w:rsidR="009959E5">
        <w:rPr>
          <w:rFonts w:cs="Times New Roman"/>
          <w:szCs w:val="20"/>
        </w:rPr>
        <w:fldChar w:fldCharType="end"/>
      </w:r>
      <w:r w:rsidR="001E0C03" w:rsidRPr="00EF4250">
        <w:rPr>
          <w:rFonts w:cs="Times New Roman"/>
          <w:szCs w:val="20"/>
        </w:rPr>
      </w:r>
      <w:r w:rsidR="001E0C03" w:rsidRPr="00EF4250">
        <w:rPr>
          <w:rFonts w:cs="Times New Roman"/>
          <w:szCs w:val="20"/>
        </w:rPr>
        <w:fldChar w:fldCharType="separate"/>
      </w:r>
      <w:r w:rsidR="002F7FE7" w:rsidRPr="00EF4250">
        <w:rPr>
          <w:rFonts w:cs="Times New Roman"/>
          <w:noProof/>
          <w:szCs w:val="20"/>
          <w:vertAlign w:val="superscript"/>
        </w:rPr>
        <w:t>16</w:t>
      </w:r>
      <w:r w:rsidR="001E0C03" w:rsidRPr="00EF4250">
        <w:rPr>
          <w:rFonts w:cs="Times New Roman"/>
          <w:szCs w:val="20"/>
        </w:rPr>
        <w:fldChar w:fldCharType="end"/>
      </w:r>
      <w:r w:rsidRPr="00EF4250">
        <w:rPr>
          <w:rFonts w:cs="Times New Roman"/>
          <w:szCs w:val="20"/>
        </w:rPr>
        <w:t xml:space="preserve"> </w:t>
      </w:r>
      <w:r w:rsidR="001271E6" w:rsidRPr="00EF4250">
        <w:rPr>
          <w:rFonts w:cs="Times New Roman"/>
          <w:szCs w:val="20"/>
        </w:rPr>
        <w:t xml:space="preserve">An example of the calculation of these multipliers is shown in </w:t>
      </w:r>
      <w:r w:rsidR="00A87FBF" w:rsidRPr="00626C29">
        <w:rPr>
          <w:b/>
          <w:szCs w:val="20"/>
        </w:rPr>
        <w:t xml:space="preserve">Supplementary </w:t>
      </w:r>
      <w:r w:rsidR="001271E6" w:rsidRPr="00EF4250">
        <w:rPr>
          <w:rFonts w:cs="Times New Roman"/>
          <w:b/>
          <w:bCs/>
          <w:szCs w:val="20"/>
        </w:rPr>
        <w:t xml:space="preserve">Table </w:t>
      </w:r>
      <w:r w:rsidR="00323E65" w:rsidRPr="00EF4250">
        <w:rPr>
          <w:rFonts w:cs="Times New Roman"/>
          <w:b/>
          <w:bCs/>
          <w:szCs w:val="20"/>
        </w:rPr>
        <w:t>5</w:t>
      </w:r>
      <w:r w:rsidR="001271E6" w:rsidRPr="00EF4250">
        <w:rPr>
          <w:rFonts w:cs="Times New Roman"/>
          <w:szCs w:val="20"/>
        </w:rPr>
        <w:t>. The aver</w:t>
      </w:r>
      <w:r w:rsidR="00CF1D4A" w:rsidRPr="00EF4250">
        <w:rPr>
          <w:rFonts w:cs="Times New Roman"/>
          <w:szCs w:val="20"/>
        </w:rPr>
        <w:t>a</w:t>
      </w:r>
      <w:r w:rsidR="001271E6" w:rsidRPr="00EF4250">
        <w:rPr>
          <w:rFonts w:cs="Times New Roman"/>
          <w:szCs w:val="20"/>
        </w:rPr>
        <w:t xml:space="preserve">ge multipliers for simulated urban and rural communities are presented in </w:t>
      </w:r>
      <w:r w:rsidR="00A87FBF" w:rsidRPr="00626C29">
        <w:rPr>
          <w:b/>
          <w:szCs w:val="20"/>
        </w:rPr>
        <w:t xml:space="preserve">Supplementary </w:t>
      </w:r>
      <w:r w:rsidR="001271E6" w:rsidRPr="00EF4250">
        <w:rPr>
          <w:rFonts w:cs="Times New Roman"/>
          <w:b/>
          <w:szCs w:val="20"/>
        </w:rPr>
        <w:t xml:space="preserve">Table </w:t>
      </w:r>
      <w:r w:rsidR="00323E65" w:rsidRPr="00EF4250">
        <w:rPr>
          <w:rFonts w:cs="Times New Roman"/>
          <w:b/>
          <w:szCs w:val="20"/>
        </w:rPr>
        <w:t>6</w:t>
      </w:r>
      <w:r w:rsidR="001271E6" w:rsidRPr="00EF4250">
        <w:rPr>
          <w:rFonts w:cs="Times New Roman"/>
          <w:b/>
          <w:szCs w:val="20"/>
        </w:rPr>
        <w:t>.</w:t>
      </w:r>
    </w:p>
    <w:p w14:paraId="389DFBA5" w14:textId="247C32DD" w:rsidR="00323E65" w:rsidRPr="00EF4250" w:rsidRDefault="00A87FBF" w:rsidP="00A87FBF">
      <w:pPr>
        <w:pStyle w:val="table-title"/>
        <w:ind w:left="0" w:firstLine="0"/>
        <w:rPr>
          <w:rFonts w:ascii="Times New Roman" w:hAnsi="Times New Roman"/>
          <w:szCs w:val="20"/>
        </w:rPr>
      </w:pPr>
      <w:r w:rsidRPr="00626C29">
        <w:rPr>
          <w:rFonts w:ascii="Times New Roman" w:hAnsi="Times New Roman"/>
          <w:b/>
          <w:szCs w:val="20"/>
        </w:rPr>
        <w:t xml:space="preserve">Supplementary </w:t>
      </w:r>
      <w:r w:rsidR="001271E6" w:rsidRPr="00EF4250">
        <w:rPr>
          <w:rFonts w:ascii="Times New Roman" w:hAnsi="Times New Roman"/>
          <w:b/>
          <w:szCs w:val="20"/>
        </w:rPr>
        <w:t xml:space="preserve">Table </w:t>
      </w:r>
      <w:r w:rsidR="00B16332" w:rsidRPr="00EF4250">
        <w:rPr>
          <w:rFonts w:ascii="Times New Roman" w:hAnsi="Times New Roman"/>
          <w:b/>
          <w:szCs w:val="20"/>
        </w:rPr>
        <w:t>5</w:t>
      </w:r>
      <w:r w:rsidR="001271E6" w:rsidRPr="00EF4250">
        <w:rPr>
          <w:rFonts w:ascii="Times New Roman" w:hAnsi="Times New Roman"/>
          <w:szCs w:val="20"/>
        </w:rPr>
        <w:t xml:space="preserve">. </w:t>
      </w:r>
      <w:r w:rsidR="00323E65" w:rsidRPr="00EF4250">
        <w:rPr>
          <w:rFonts w:ascii="Times New Roman" w:hAnsi="Times New Roman"/>
          <w:szCs w:val="20"/>
        </w:rPr>
        <w:t>Worksheet to demonstrate the calculation of multipliers for the underestimation of the prevalence of pain reliever misuse without OUD and illicit opioid use without OUD from NSDUH.</w:t>
      </w:r>
    </w:p>
    <w:tbl>
      <w:tblPr>
        <w:tblStyle w:val="TableGrid"/>
        <w:tblW w:w="9175" w:type="dxa"/>
        <w:tblLook w:val="04A0" w:firstRow="1" w:lastRow="0" w:firstColumn="1" w:lastColumn="0" w:noHBand="0" w:noVBand="1"/>
      </w:tblPr>
      <w:tblGrid>
        <w:gridCol w:w="5035"/>
        <w:gridCol w:w="2070"/>
        <w:gridCol w:w="2070"/>
      </w:tblGrid>
      <w:tr w:rsidR="00323E65" w:rsidRPr="00D2239A" w14:paraId="4104C4A4" w14:textId="77777777" w:rsidTr="00435936">
        <w:trPr>
          <w:trHeight w:val="144"/>
        </w:trPr>
        <w:tc>
          <w:tcPr>
            <w:tcW w:w="5035" w:type="dxa"/>
            <w:tcMar>
              <w:top w:w="58" w:type="dxa"/>
              <w:left w:w="58" w:type="dxa"/>
              <w:bottom w:w="58" w:type="dxa"/>
              <w:right w:w="58" w:type="dxa"/>
            </w:tcMar>
          </w:tcPr>
          <w:p w14:paraId="1FCBC0FC" w14:textId="77777777" w:rsidR="00323E65" w:rsidRPr="00D2239A" w:rsidRDefault="00323E65" w:rsidP="00435936">
            <w:pPr>
              <w:pStyle w:val="table-headers"/>
              <w:spacing w:before="0" w:after="0"/>
              <w:rPr>
                <w:rFonts w:ascii="Times New Roman" w:hAnsi="Times New Roman"/>
                <w:b/>
                <w:bCs w:val="0"/>
                <w:color w:val="auto"/>
              </w:rPr>
            </w:pPr>
            <w:r w:rsidRPr="00D2239A">
              <w:rPr>
                <w:rFonts w:ascii="Times New Roman" w:hAnsi="Times New Roman"/>
                <w:b/>
                <w:bCs w:val="0"/>
                <w:color w:val="auto"/>
              </w:rPr>
              <w:t>Steps</w:t>
            </w:r>
          </w:p>
        </w:tc>
        <w:tc>
          <w:tcPr>
            <w:tcW w:w="2070" w:type="dxa"/>
            <w:tcMar>
              <w:top w:w="58" w:type="dxa"/>
              <w:left w:w="58" w:type="dxa"/>
              <w:bottom w:w="58" w:type="dxa"/>
              <w:right w:w="58" w:type="dxa"/>
            </w:tcMar>
          </w:tcPr>
          <w:p w14:paraId="66B7476E" w14:textId="77777777" w:rsidR="00323E65" w:rsidRPr="00D2239A" w:rsidRDefault="00323E65" w:rsidP="00435936">
            <w:pPr>
              <w:pStyle w:val="table-headers"/>
              <w:spacing w:before="0" w:after="0"/>
              <w:jc w:val="center"/>
              <w:rPr>
                <w:rFonts w:ascii="Times New Roman" w:hAnsi="Times New Roman"/>
                <w:b/>
                <w:bCs w:val="0"/>
                <w:color w:val="auto"/>
              </w:rPr>
            </w:pPr>
            <w:r w:rsidRPr="00D2239A">
              <w:rPr>
                <w:rFonts w:ascii="Times New Roman" w:hAnsi="Times New Roman"/>
                <w:b/>
                <w:bCs w:val="0"/>
                <w:color w:val="auto"/>
              </w:rPr>
              <w:t>Variable notation</w:t>
            </w:r>
          </w:p>
        </w:tc>
        <w:tc>
          <w:tcPr>
            <w:tcW w:w="2070" w:type="dxa"/>
            <w:tcMar>
              <w:top w:w="58" w:type="dxa"/>
              <w:left w:w="58" w:type="dxa"/>
              <w:bottom w:w="58" w:type="dxa"/>
              <w:right w:w="58" w:type="dxa"/>
            </w:tcMar>
          </w:tcPr>
          <w:p w14:paraId="203C3688" w14:textId="77777777" w:rsidR="00323E65" w:rsidRPr="00D2239A" w:rsidRDefault="00323E65" w:rsidP="00435936">
            <w:pPr>
              <w:pStyle w:val="table-headers"/>
              <w:spacing w:before="0" w:after="0"/>
              <w:jc w:val="center"/>
              <w:rPr>
                <w:rFonts w:ascii="Times New Roman" w:hAnsi="Times New Roman"/>
                <w:b/>
                <w:bCs w:val="0"/>
                <w:color w:val="auto"/>
              </w:rPr>
            </w:pPr>
            <w:r w:rsidRPr="00D2239A">
              <w:rPr>
                <w:rFonts w:ascii="Times New Roman" w:hAnsi="Times New Roman"/>
                <w:b/>
                <w:bCs w:val="0"/>
                <w:color w:val="auto"/>
              </w:rPr>
              <w:t>Source</w:t>
            </w:r>
          </w:p>
        </w:tc>
      </w:tr>
      <w:tr w:rsidR="00323E65" w:rsidRPr="00D2239A" w14:paraId="39506966" w14:textId="77777777" w:rsidTr="00435936">
        <w:tc>
          <w:tcPr>
            <w:tcW w:w="5035" w:type="dxa"/>
            <w:tcMar>
              <w:top w:w="58" w:type="dxa"/>
              <w:left w:w="58" w:type="dxa"/>
              <w:bottom w:w="58" w:type="dxa"/>
              <w:right w:w="58" w:type="dxa"/>
            </w:tcMar>
          </w:tcPr>
          <w:p w14:paraId="6EF89B1F" w14:textId="77777777" w:rsidR="00323E65" w:rsidRPr="00D2239A" w:rsidRDefault="00323E65" w:rsidP="00435936">
            <w:pPr>
              <w:pStyle w:val="table-first-column"/>
              <w:spacing w:before="0" w:after="0"/>
              <w:rPr>
                <w:rFonts w:ascii="Times New Roman" w:hAnsi="Times New Roman"/>
                <w:b w:val="0"/>
                <w:bCs w:val="0"/>
                <w:color w:val="auto"/>
                <w:szCs w:val="18"/>
              </w:rPr>
            </w:pPr>
            <w:r w:rsidRPr="00D2239A">
              <w:rPr>
                <w:rFonts w:ascii="Times New Roman" w:hAnsi="Times New Roman"/>
                <w:b w:val="0"/>
                <w:bCs w:val="0"/>
                <w:color w:val="auto"/>
                <w:szCs w:val="18"/>
              </w:rPr>
              <w:t>Annual estimate of the number of individuals who have OUD in a given community</w:t>
            </w:r>
          </w:p>
        </w:tc>
        <w:tc>
          <w:tcPr>
            <w:tcW w:w="2070" w:type="dxa"/>
            <w:tcMar>
              <w:top w:w="58" w:type="dxa"/>
              <w:left w:w="58" w:type="dxa"/>
              <w:bottom w:w="58" w:type="dxa"/>
              <w:right w:w="58" w:type="dxa"/>
            </w:tcMar>
          </w:tcPr>
          <w:p w14:paraId="5263E268" w14:textId="77777777" w:rsidR="00323E65" w:rsidRPr="00D2239A" w:rsidRDefault="00323E65" w:rsidP="00435936">
            <w:pPr>
              <w:pStyle w:val="table-text"/>
              <w:spacing w:before="0" w:after="0"/>
              <w:jc w:val="center"/>
              <w:rPr>
                <w:rFonts w:ascii="Times New Roman" w:hAnsi="Times New Roman"/>
                <w:szCs w:val="18"/>
              </w:rPr>
            </w:pPr>
            <w:r w:rsidRPr="00D2239A">
              <w:rPr>
                <w:rFonts w:ascii="Times New Roman" w:hAnsi="Times New Roman"/>
                <w:szCs w:val="18"/>
              </w:rPr>
              <w:t>j</w:t>
            </w:r>
          </w:p>
        </w:tc>
        <w:tc>
          <w:tcPr>
            <w:tcW w:w="2070" w:type="dxa"/>
            <w:tcMar>
              <w:top w:w="58" w:type="dxa"/>
              <w:left w:w="58" w:type="dxa"/>
              <w:bottom w:w="58" w:type="dxa"/>
              <w:right w:w="58" w:type="dxa"/>
            </w:tcMar>
          </w:tcPr>
          <w:p w14:paraId="5CF18A38" w14:textId="6D95F6D1" w:rsidR="00323E65" w:rsidRPr="00D2239A" w:rsidRDefault="0040725E" w:rsidP="00435936">
            <w:pPr>
              <w:pStyle w:val="table-text"/>
              <w:spacing w:before="0" w:after="0"/>
              <w:rPr>
                <w:rFonts w:ascii="Times New Roman" w:hAnsi="Times New Roman"/>
                <w:szCs w:val="18"/>
              </w:rPr>
            </w:pPr>
            <w:r w:rsidRPr="00D2239A">
              <w:rPr>
                <w:rFonts w:ascii="Times New Roman" w:hAnsi="Times New Roman"/>
                <w:szCs w:val="18"/>
              </w:rPr>
              <w:t xml:space="preserve">Supplement </w:t>
            </w:r>
            <w:r w:rsidR="00A62EB3" w:rsidRPr="00D2239A">
              <w:rPr>
                <w:rFonts w:ascii="Times New Roman" w:hAnsi="Times New Roman"/>
                <w:szCs w:val="18"/>
              </w:rPr>
              <w:t>S1.2.1</w:t>
            </w:r>
          </w:p>
        </w:tc>
      </w:tr>
      <w:tr w:rsidR="00323E65" w:rsidRPr="00D2239A" w14:paraId="764D3874" w14:textId="77777777" w:rsidTr="00435936">
        <w:tc>
          <w:tcPr>
            <w:tcW w:w="5035" w:type="dxa"/>
            <w:tcMar>
              <w:top w:w="58" w:type="dxa"/>
              <w:left w:w="58" w:type="dxa"/>
              <w:bottom w:w="58" w:type="dxa"/>
              <w:right w:w="58" w:type="dxa"/>
            </w:tcMar>
          </w:tcPr>
          <w:p w14:paraId="5CE84CD6" w14:textId="77777777" w:rsidR="00323E65" w:rsidRPr="00D2239A" w:rsidRDefault="00323E65" w:rsidP="00435936">
            <w:pPr>
              <w:pStyle w:val="table-first-column"/>
              <w:spacing w:before="0" w:after="0"/>
              <w:rPr>
                <w:rFonts w:ascii="Times New Roman" w:hAnsi="Times New Roman"/>
                <w:b w:val="0"/>
                <w:bCs w:val="0"/>
                <w:color w:val="auto"/>
                <w:szCs w:val="18"/>
              </w:rPr>
            </w:pPr>
            <w:r w:rsidRPr="00D2239A">
              <w:rPr>
                <w:rFonts w:ascii="Times New Roman" w:hAnsi="Times New Roman"/>
                <w:b w:val="0"/>
                <w:bCs w:val="0"/>
                <w:color w:val="auto"/>
                <w:szCs w:val="18"/>
              </w:rPr>
              <w:t>Estimate of the size of the population aged ≥ 12 years in a given community</w:t>
            </w:r>
          </w:p>
        </w:tc>
        <w:tc>
          <w:tcPr>
            <w:tcW w:w="2070" w:type="dxa"/>
            <w:tcMar>
              <w:top w:w="58" w:type="dxa"/>
              <w:left w:w="58" w:type="dxa"/>
              <w:bottom w:w="58" w:type="dxa"/>
              <w:right w:w="58" w:type="dxa"/>
            </w:tcMar>
          </w:tcPr>
          <w:p w14:paraId="56D8A554" w14:textId="77777777" w:rsidR="00323E65" w:rsidRPr="00D2239A" w:rsidRDefault="00323E65" w:rsidP="00435936">
            <w:pPr>
              <w:pStyle w:val="table-text"/>
              <w:spacing w:before="0" w:after="0"/>
              <w:jc w:val="center"/>
              <w:rPr>
                <w:rFonts w:ascii="Times New Roman" w:hAnsi="Times New Roman"/>
                <w:szCs w:val="18"/>
              </w:rPr>
            </w:pPr>
            <w:r w:rsidRPr="00D2239A">
              <w:rPr>
                <w:rFonts w:ascii="Times New Roman" w:hAnsi="Times New Roman"/>
                <w:szCs w:val="18"/>
              </w:rPr>
              <w:t>k</w:t>
            </w:r>
          </w:p>
        </w:tc>
        <w:tc>
          <w:tcPr>
            <w:tcW w:w="2070" w:type="dxa"/>
            <w:tcMar>
              <w:top w:w="58" w:type="dxa"/>
              <w:left w:w="58" w:type="dxa"/>
              <w:bottom w:w="58" w:type="dxa"/>
              <w:right w:w="58" w:type="dxa"/>
            </w:tcMar>
          </w:tcPr>
          <w:p w14:paraId="504B5D75" w14:textId="2C91180B" w:rsidR="00323E65" w:rsidRPr="00D2239A" w:rsidRDefault="00323E65" w:rsidP="00435936">
            <w:pPr>
              <w:pStyle w:val="table-text"/>
              <w:spacing w:before="0" w:after="0"/>
              <w:rPr>
                <w:rFonts w:ascii="Times New Roman" w:hAnsi="Times New Roman"/>
                <w:color w:val="FF0000"/>
                <w:szCs w:val="18"/>
              </w:rPr>
            </w:pPr>
            <w:r w:rsidRPr="00D2239A">
              <w:rPr>
                <w:rFonts w:ascii="Times New Roman" w:hAnsi="Times New Roman"/>
                <w:szCs w:val="18"/>
              </w:rPr>
              <w:t>American Community Survey</w:t>
            </w:r>
            <w:r w:rsidR="006E4C2A" w:rsidRPr="00D2239A">
              <w:rPr>
                <w:rFonts w:ascii="Times New Roman" w:hAnsi="Times New Roman"/>
                <w:szCs w:val="18"/>
              </w:rPr>
              <w:fldChar w:fldCharType="begin"/>
            </w:r>
            <w:r w:rsidR="002F7FE7" w:rsidRPr="00D2239A">
              <w:rPr>
                <w:rFonts w:ascii="Times New Roman" w:hAnsi="Times New Roman"/>
                <w:szCs w:val="18"/>
              </w:rPr>
              <w:instrText xml:space="preserve"> ADDIN EN.CITE &lt;EndNote&gt;&lt;Cite ExcludeYear="1"&gt;&lt;Author&gt;United States Census Bureau&lt;/Author&gt;&lt;RecNum&gt;130&lt;/RecNum&gt;&lt;DisplayText&gt;&lt;style face="superscript"&gt;17&lt;/style&gt;&lt;/DisplayText&gt;&lt;record&gt;&lt;rec-number&gt;130&lt;/rec-number&gt;&lt;foreign-keys&gt;&lt;key app="EN" db-id="ffv9f0td1taf24ev0z1paazh2dx55xvtwsv9" timestamp="1713388380"&gt;130&lt;/key&gt;&lt;/foreign-keys&gt;&lt;ref-type name="Web Page"&gt;12&lt;/ref-type&gt;&lt;contributors&gt;&lt;authors&gt;&lt;author&gt;United States Census Bureau,&lt;/author&gt;&lt;/authors&gt;&lt;/contributors&gt;&lt;titles&gt;&lt;title&gt;American Community Survey Data Profiles&lt;/title&gt;&lt;/titles&gt;&lt;volume&gt;2024&lt;/volume&gt;&lt;number&gt;January 17&lt;/number&gt;&lt;dates&gt;&lt;/dates&gt;&lt;urls&gt;&lt;related-urls&gt;&lt;url&gt;https://www.census.gov/acs/www/data/data-tables-and-tools/data-profiles/&lt;/url&gt;&lt;/related-urls&gt;&lt;/urls&gt;&lt;/record&gt;&lt;/Cite&gt;&lt;/EndNote&gt;</w:instrText>
            </w:r>
            <w:r w:rsidR="006E4C2A" w:rsidRPr="00D2239A">
              <w:rPr>
                <w:rFonts w:ascii="Times New Roman" w:hAnsi="Times New Roman"/>
                <w:szCs w:val="18"/>
              </w:rPr>
              <w:fldChar w:fldCharType="separate"/>
            </w:r>
            <w:r w:rsidR="002F7FE7" w:rsidRPr="00D2239A">
              <w:rPr>
                <w:rFonts w:ascii="Times New Roman" w:hAnsi="Times New Roman"/>
                <w:noProof/>
                <w:szCs w:val="18"/>
                <w:vertAlign w:val="superscript"/>
              </w:rPr>
              <w:t>17</w:t>
            </w:r>
            <w:r w:rsidR="006E4C2A" w:rsidRPr="00D2239A">
              <w:rPr>
                <w:rFonts w:ascii="Times New Roman" w:hAnsi="Times New Roman"/>
                <w:szCs w:val="18"/>
              </w:rPr>
              <w:fldChar w:fldCharType="end"/>
            </w:r>
          </w:p>
        </w:tc>
      </w:tr>
      <w:tr w:rsidR="00323E65" w:rsidRPr="00D2239A" w14:paraId="0EFEBD03" w14:textId="77777777" w:rsidTr="00435936">
        <w:tc>
          <w:tcPr>
            <w:tcW w:w="5035" w:type="dxa"/>
            <w:tcMar>
              <w:top w:w="58" w:type="dxa"/>
              <w:left w:w="58" w:type="dxa"/>
              <w:bottom w:w="58" w:type="dxa"/>
              <w:right w:w="58" w:type="dxa"/>
            </w:tcMar>
          </w:tcPr>
          <w:p w14:paraId="0B7BAA03" w14:textId="77777777" w:rsidR="00323E65" w:rsidRPr="00D2239A" w:rsidRDefault="00323E65" w:rsidP="00435936">
            <w:pPr>
              <w:pStyle w:val="table-first-column"/>
              <w:spacing w:before="0" w:after="0"/>
              <w:rPr>
                <w:rFonts w:ascii="Times New Roman" w:hAnsi="Times New Roman"/>
                <w:b w:val="0"/>
                <w:bCs w:val="0"/>
                <w:color w:val="auto"/>
                <w:szCs w:val="18"/>
              </w:rPr>
            </w:pPr>
            <w:r w:rsidRPr="00D2239A">
              <w:rPr>
                <w:rFonts w:ascii="Times New Roman" w:hAnsi="Times New Roman"/>
                <w:b w:val="0"/>
                <w:bCs w:val="0"/>
                <w:color w:val="auto"/>
                <w:szCs w:val="18"/>
              </w:rPr>
              <w:t>Substate annual average estimate of proportion of individuals who have opioid dependence or abuse in the past year</w:t>
            </w:r>
          </w:p>
        </w:tc>
        <w:tc>
          <w:tcPr>
            <w:tcW w:w="2070" w:type="dxa"/>
            <w:tcMar>
              <w:top w:w="58" w:type="dxa"/>
              <w:left w:w="58" w:type="dxa"/>
              <w:bottom w:w="58" w:type="dxa"/>
              <w:right w:w="58" w:type="dxa"/>
            </w:tcMar>
          </w:tcPr>
          <w:p w14:paraId="2235EFE9" w14:textId="77777777" w:rsidR="00323E65" w:rsidRPr="00D2239A" w:rsidRDefault="00323E65" w:rsidP="00435936">
            <w:pPr>
              <w:pStyle w:val="table-text"/>
              <w:spacing w:before="0" w:after="0"/>
              <w:jc w:val="center"/>
              <w:rPr>
                <w:rFonts w:ascii="Times New Roman" w:hAnsi="Times New Roman"/>
                <w:szCs w:val="18"/>
              </w:rPr>
            </w:pPr>
            <w:r w:rsidRPr="00D2239A">
              <w:rPr>
                <w:rFonts w:ascii="Times New Roman" w:hAnsi="Times New Roman"/>
                <w:szCs w:val="18"/>
              </w:rPr>
              <w:t>m</w:t>
            </w:r>
          </w:p>
        </w:tc>
        <w:tc>
          <w:tcPr>
            <w:tcW w:w="2070" w:type="dxa"/>
            <w:tcMar>
              <w:top w:w="58" w:type="dxa"/>
              <w:left w:w="58" w:type="dxa"/>
              <w:bottom w:w="58" w:type="dxa"/>
              <w:right w:w="58" w:type="dxa"/>
            </w:tcMar>
          </w:tcPr>
          <w:p w14:paraId="0A4187AD" w14:textId="2FCC088E" w:rsidR="00323E65" w:rsidRPr="00D2239A" w:rsidRDefault="00323E65" w:rsidP="00435936">
            <w:pPr>
              <w:pStyle w:val="table-text"/>
              <w:spacing w:before="0" w:after="0"/>
              <w:rPr>
                <w:rFonts w:ascii="Times New Roman" w:hAnsi="Times New Roman"/>
                <w:szCs w:val="18"/>
              </w:rPr>
            </w:pPr>
            <w:r w:rsidRPr="00D2239A">
              <w:rPr>
                <w:rFonts w:ascii="Times New Roman" w:hAnsi="Times New Roman"/>
                <w:szCs w:val="18"/>
              </w:rPr>
              <w:t>SAMHSA</w:t>
            </w:r>
            <w:r w:rsidR="004C23A0" w:rsidRPr="00D2239A">
              <w:rPr>
                <w:rFonts w:ascii="Times New Roman" w:hAnsi="Times New Roman"/>
                <w:szCs w:val="18"/>
              </w:rPr>
              <w:t>;</w:t>
            </w:r>
            <w:r w:rsidR="002F7FE7" w:rsidRPr="00D2239A">
              <w:rPr>
                <w:rFonts w:ascii="Times New Roman" w:hAnsi="Times New Roman"/>
                <w:szCs w:val="18"/>
              </w:rPr>
              <w:fldChar w:fldCharType="begin"/>
            </w:r>
            <w:r w:rsidR="002F7FE7" w:rsidRPr="00D2239A">
              <w:rPr>
                <w:rFonts w:ascii="Times New Roman" w:hAnsi="Times New Roman"/>
                <w:szCs w:val="18"/>
              </w:rPr>
              <w:instrText xml:space="preserve"> ADDIN EN.CITE &lt;EndNote&gt;&lt;Cite&gt;&lt;Author&gt;Substance Abuse and Mental Health Services Administration (SAMHSA)&lt;/Author&gt;&lt;Year&gt;2020&lt;/Year&gt;&lt;RecNum&gt;128&lt;/RecNum&gt;&lt;DisplayText&gt;&lt;style face="superscript"&gt;9&lt;/style&gt;&lt;/DisplayText&gt;&lt;record&gt;&lt;rec-number&gt;128&lt;/rec-number&gt;&lt;foreign-keys&gt;&lt;key app="EN" db-id="ffv9f0td1taf24ev0z1paazh2dx55xvtwsv9" timestamp="1713388380"&gt;128&lt;/key&gt;&lt;/foreign-keys&gt;&lt;ref-type name="Web Page"&gt;12&lt;/ref-type&gt;&lt;contributors&gt;&lt;authors&gt;&lt;author&gt;Substance Abuse and Mental Health Services Administration (SAMHSA),,&lt;/author&gt;&lt;/authors&gt;&lt;/contributors&gt;&lt;titles&gt;&lt;title&gt;2016-2018 NSDUH substate region estimates - Tables&lt;/title&gt;&lt;/titles&gt;&lt;volume&gt;2023&lt;/volume&gt;&lt;number&gt;Jan 17&lt;/number&gt;&lt;dates&gt;&lt;year&gt;2020&lt;/year&gt;&lt;/dates&gt;&lt;pub-location&gt;Rockville, MD&lt;/pub-location&gt;&lt;publisher&gt;Substance Abuse and Mental Health Services Administration&lt;/publisher&gt;&lt;urls&gt;&lt;related-urls&gt;&lt;url&gt;https://www.samhsa.gov/data/report/2016-2018-nsduh-substate-region-estimates-tables&lt;/url&gt;&lt;/related-urls&gt;&lt;/urls&gt;&lt;/record&gt;&lt;/Cite&gt;&lt;/EndNote&gt;</w:instrText>
            </w:r>
            <w:r w:rsidR="002F7FE7" w:rsidRPr="00D2239A">
              <w:rPr>
                <w:rFonts w:ascii="Times New Roman" w:hAnsi="Times New Roman"/>
                <w:szCs w:val="18"/>
              </w:rPr>
              <w:fldChar w:fldCharType="separate"/>
            </w:r>
            <w:r w:rsidR="002F7FE7" w:rsidRPr="00D2239A">
              <w:rPr>
                <w:rFonts w:ascii="Times New Roman" w:hAnsi="Times New Roman"/>
                <w:noProof/>
                <w:szCs w:val="18"/>
                <w:vertAlign w:val="superscript"/>
              </w:rPr>
              <w:t>9</w:t>
            </w:r>
            <w:r w:rsidR="002F7FE7" w:rsidRPr="00D2239A">
              <w:rPr>
                <w:rFonts w:ascii="Times New Roman" w:hAnsi="Times New Roman"/>
                <w:szCs w:val="18"/>
              </w:rPr>
              <w:fldChar w:fldCharType="end"/>
            </w:r>
            <w:r w:rsidRPr="00D2239A">
              <w:rPr>
                <w:rFonts w:ascii="Times New Roman" w:hAnsi="Times New Roman"/>
                <w:szCs w:val="18"/>
              </w:rPr>
              <w:t xml:space="preserve"> variable UDPYOPI = 1</w:t>
            </w:r>
          </w:p>
        </w:tc>
      </w:tr>
      <w:tr w:rsidR="00323E65" w:rsidRPr="00D2239A" w14:paraId="4D531D8B" w14:textId="77777777" w:rsidTr="00435936">
        <w:tc>
          <w:tcPr>
            <w:tcW w:w="5035" w:type="dxa"/>
            <w:tcMar>
              <w:top w:w="58" w:type="dxa"/>
              <w:left w:w="58" w:type="dxa"/>
              <w:bottom w:w="58" w:type="dxa"/>
              <w:right w:w="58" w:type="dxa"/>
            </w:tcMar>
          </w:tcPr>
          <w:p w14:paraId="5DA5C24D" w14:textId="77777777" w:rsidR="00323E65" w:rsidRPr="00D2239A" w:rsidRDefault="00323E65" w:rsidP="00435936">
            <w:pPr>
              <w:pStyle w:val="table-first-column"/>
              <w:spacing w:before="0" w:after="0"/>
              <w:rPr>
                <w:rFonts w:ascii="Times New Roman" w:hAnsi="Times New Roman"/>
                <w:b w:val="0"/>
                <w:bCs w:val="0"/>
                <w:color w:val="auto"/>
                <w:szCs w:val="18"/>
              </w:rPr>
            </w:pPr>
            <w:r w:rsidRPr="00D2239A">
              <w:rPr>
                <w:rFonts w:ascii="Times New Roman" w:hAnsi="Times New Roman"/>
                <w:b w:val="0"/>
                <w:bCs w:val="0"/>
                <w:color w:val="auto"/>
                <w:szCs w:val="18"/>
              </w:rPr>
              <w:t>Multiplier for underreporting of OUD prevalence</w:t>
            </w:r>
          </w:p>
        </w:tc>
        <w:tc>
          <w:tcPr>
            <w:tcW w:w="2070" w:type="dxa"/>
            <w:tcMar>
              <w:top w:w="58" w:type="dxa"/>
              <w:left w:w="58" w:type="dxa"/>
              <w:bottom w:w="58" w:type="dxa"/>
              <w:right w:w="58" w:type="dxa"/>
            </w:tcMar>
          </w:tcPr>
          <w:p w14:paraId="3B1BF63D" w14:textId="3E9B305C" w:rsidR="00323E65" w:rsidRPr="00D2239A" w:rsidRDefault="00E902EB" w:rsidP="00435936">
            <w:pPr>
              <w:pStyle w:val="table-text"/>
              <w:spacing w:before="0" w:after="0"/>
              <w:jc w:val="center"/>
              <w:rPr>
                <w:rFonts w:ascii="Times New Roman" w:hAnsi="Times New Roman"/>
                <w:szCs w:val="18"/>
              </w:rPr>
            </w:pPr>
            <w:r w:rsidRPr="00D2239A">
              <w:rPr>
                <w:rFonts w:ascii="Times New Roman" w:hAnsi="Times New Roman"/>
                <w:szCs w:val="18"/>
              </w:rPr>
              <w:t>(</w:t>
            </w:r>
            <w:r w:rsidR="00323E65" w:rsidRPr="00D2239A">
              <w:rPr>
                <w:rFonts w:ascii="Times New Roman" w:hAnsi="Times New Roman"/>
                <w:szCs w:val="18"/>
              </w:rPr>
              <w:t>j/k</w:t>
            </w:r>
            <w:r w:rsidRPr="00D2239A">
              <w:rPr>
                <w:rFonts w:ascii="Times New Roman" w:hAnsi="Times New Roman"/>
                <w:szCs w:val="18"/>
              </w:rPr>
              <w:t>)</w:t>
            </w:r>
            <w:r w:rsidR="00D67CA5" w:rsidRPr="00D2239A">
              <w:rPr>
                <w:rFonts w:ascii="Times New Roman" w:hAnsi="Times New Roman"/>
                <w:szCs w:val="18"/>
              </w:rPr>
              <w:t>/</w:t>
            </w:r>
            <w:r w:rsidR="00323E65" w:rsidRPr="00D2239A">
              <w:rPr>
                <w:rFonts w:ascii="Times New Roman" w:hAnsi="Times New Roman"/>
                <w:szCs w:val="18"/>
              </w:rPr>
              <w:t>m</w:t>
            </w:r>
          </w:p>
        </w:tc>
        <w:tc>
          <w:tcPr>
            <w:tcW w:w="2070" w:type="dxa"/>
            <w:tcMar>
              <w:top w:w="58" w:type="dxa"/>
              <w:left w:w="58" w:type="dxa"/>
              <w:bottom w:w="58" w:type="dxa"/>
              <w:right w:w="58" w:type="dxa"/>
            </w:tcMar>
          </w:tcPr>
          <w:p w14:paraId="3AC25C13" w14:textId="77777777" w:rsidR="00323E65" w:rsidRPr="00D2239A" w:rsidRDefault="00323E65" w:rsidP="00435936">
            <w:pPr>
              <w:pStyle w:val="table-text"/>
              <w:spacing w:before="0" w:after="0"/>
              <w:rPr>
                <w:rFonts w:ascii="Times New Roman" w:hAnsi="Times New Roman"/>
                <w:szCs w:val="18"/>
              </w:rPr>
            </w:pPr>
          </w:p>
        </w:tc>
      </w:tr>
      <w:tr w:rsidR="00323E65" w:rsidRPr="00D2239A" w14:paraId="4F4163E9" w14:textId="77777777" w:rsidTr="00435936">
        <w:tc>
          <w:tcPr>
            <w:tcW w:w="5035" w:type="dxa"/>
            <w:tcMar>
              <w:top w:w="58" w:type="dxa"/>
              <w:left w:w="58" w:type="dxa"/>
              <w:bottom w:w="58" w:type="dxa"/>
              <w:right w:w="58" w:type="dxa"/>
            </w:tcMar>
          </w:tcPr>
          <w:p w14:paraId="08A132C5" w14:textId="77777777" w:rsidR="00323E65" w:rsidRPr="00D2239A" w:rsidRDefault="00323E65" w:rsidP="00435936">
            <w:pPr>
              <w:pStyle w:val="table-first-column"/>
              <w:spacing w:before="0" w:after="0"/>
              <w:rPr>
                <w:rFonts w:ascii="Times New Roman" w:hAnsi="Times New Roman"/>
                <w:b w:val="0"/>
                <w:bCs w:val="0"/>
                <w:color w:val="auto"/>
                <w:szCs w:val="18"/>
              </w:rPr>
            </w:pPr>
            <w:r w:rsidRPr="00D2239A">
              <w:rPr>
                <w:rFonts w:ascii="Times New Roman" w:hAnsi="Times New Roman"/>
                <w:b w:val="0"/>
                <w:bCs w:val="0"/>
                <w:color w:val="auto"/>
                <w:szCs w:val="18"/>
              </w:rPr>
              <w:t>Multiplier for underreporting of prescription opioid misuse only</w:t>
            </w:r>
          </w:p>
        </w:tc>
        <w:tc>
          <w:tcPr>
            <w:tcW w:w="2070" w:type="dxa"/>
            <w:tcMar>
              <w:top w:w="58" w:type="dxa"/>
              <w:left w:w="58" w:type="dxa"/>
              <w:bottom w:w="58" w:type="dxa"/>
              <w:right w:w="58" w:type="dxa"/>
            </w:tcMar>
          </w:tcPr>
          <w:p w14:paraId="2B2557CE" w14:textId="71672CB5" w:rsidR="00323E65" w:rsidRPr="00D2239A" w:rsidRDefault="00323E65" w:rsidP="00435936">
            <w:pPr>
              <w:pStyle w:val="table-text"/>
              <w:spacing w:before="0" w:after="0"/>
              <w:jc w:val="center"/>
              <w:rPr>
                <w:rFonts w:ascii="Times New Roman" w:hAnsi="Times New Roman"/>
                <w:szCs w:val="18"/>
              </w:rPr>
            </w:pPr>
            <w:r w:rsidRPr="00D2239A">
              <w:rPr>
                <w:rFonts w:ascii="Times New Roman" w:hAnsi="Times New Roman"/>
                <w:szCs w:val="18"/>
              </w:rPr>
              <w:t>1/3 × (</w:t>
            </w:r>
            <w:r w:rsidR="00E902EB" w:rsidRPr="00D2239A">
              <w:rPr>
                <w:rFonts w:ascii="Times New Roman" w:hAnsi="Times New Roman"/>
                <w:szCs w:val="18"/>
              </w:rPr>
              <w:t>(</w:t>
            </w:r>
            <w:r w:rsidRPr="00D2239A">
              <w:rPr>
                <w:rFonts w:ascii="Times New Roman" w:hAnsi="Times New Roman"/>
                <w:szCs w:val="18"/>
              </w:rPr>
              <w:t>j/k</w:t>
            </w:r>
            <w:r w:rsidR="00E902EB" w:rsidRPr="00D2239A">
              <w:rPr>
                <w:rFonts w:ascii="Times New Roman" w:hAnsi="Times New Roman"/>
                <w:szCs w:val="18"/>
              </w:rPr>
              <w:t>)</w:t>
            </w:r>
            <w:r w:rsidR="00D67CA5" w:rsidRPr="00D2239A">
              <w:rPr>
                <w:rFonts w:ascii="Times New Roman" w:hAnsi="Times New Roman"/>
                <w:szCs w:val="18"/>
              </w:rPr>
              <w:t>/</w:t>
            </w:r>
            <w:r w:rsidRPr="00D2239A">
              <w:rPr>
                <w:rFonts w:ascii="Times New Roman" w:hAnsi="Times New Roman"/>
                <w:szCs w:val="18"/>
              </w:rPr>
              <w:t>m – 1) + 1</w:t>
            </w:r>
          </w:p>
        </w:tc>
        <w:tc>
          <w:tcPr>
            <w:tcW w:w="2070" w:type="dxa"/>
            <w:tcMar>
              <w:top w:w="58" w:type="dxa"/>
              <w:left w:w="58" w:type="dxa"/>
              <w:bottom w:w="58" w:type="dxa"/>
              <w:right w:w="58" w:type="dxa"/>
            </w:tcMar>
          </w:tcPr>
          <w:p w14:paraId="52A64211" w14:textId="77777777" w:rsidR="00323E65" w:rsidRPr="00D2239A" w:rsidRDefault="00323E65" w:rsidP="00435936">
            <w:pPr>
              <w:pStyle w:val="table-text"/>
              <w:spacing w:before="0" w:after="0"/>
              <w:rPr>
                <w:rFonts w:ascii="Times New Roman" w:hAnsi="Times New Roman"/>
                <w:szCs w:val="18"/>
              </w:rPr>
            </w:pPr>
          </w:p>
        </w:tc>
      </w:tr>
      <w:tr w:rsidR="00323E65" w:rsidRPr="00D2239A" w14:paraId="5D810D26" w14:textId="77777777" w:rsidTr="00435936">
        <w:tc>
          <w:tcPr>
            <w:tcW w:w="5035" w:type="dxa"/>
            <w:tcMar>
              <w:top w:w="58" w:type="dxa"/>
              <w:left w:w="58" w:type="dxa"/>
              <w:bottom w:w="58" w:type="dxa"/>
              <w:right w:w="58" w:type="dxa"/>
            </w:tcMar>
          </w:tcPr>
          <w:p w14:paraId="1AA2C467" w14:textId="77777777" w:rsidR="00323E65" w:rsidRPr="00D2239A" w:rsidRDefault="00323E65" w:rsidP="00435936">
            <w:pPr>
              <w:pStyle w:val="table-first-column"/>
              <w:spacing w:before="0" w:after="0"/>
              <w:rPr>
                <w:rFonts w:ascii="Times New Roman" w:hAnsi="Times New Roman"/>
                <w:b w:val="0"/>
                <w:bCs w:val="0"/>
                <w:color w:val="auto"/>
                <w:szCs w:val="18"/>
              </w:rPr>
            </w:pPr>
            <w:r w:rsidRPr="00D2239A">
              <w:rPr>
                <w:rFonts w:ascii="Times New Roman" w:hAnsi="Times New Roman"/>
                <w:b w:val="0"/>
                <w:bCs w:val="0"/>
                <w:color w:val="auto"/>
                <w:szCs w:val="18"/>
              </w:rPr>
              <w:t>Multiplier for underreporting of illicit opioid use without OUD</w:t>
            </w:r>
          </w:p>
        </w:tc>
        <w:tc>
          <w:tcPr>
            <w:tcW w:w="2070" w:type="dxa"/>
            <w:tcMar>
              <w:top w:w="58" w:type="dxa"/>
              <w:left w:w="58" w:type="dxa"/>
              <w:bottom w:w="58" w:type="dxa"/>
              <w:right w:w="58" w:type="dxa"/>
            </w:tcMar>
          </w:tcPr>
          <w:p w14:paraId="71556654" w14:textId="771E74D9" w:rsidR="00323E65" w:rsidRPr="00D2239A" w:rsidRDefault="00323E65" w:rsidP="00435936">
            <w:pPr>
              <w:pStyle w:val="table-text"/>
              <w:spacing w:before="0" w:after="0"/>
              <w:jc w:val="center"/>
              <w:rPr>
                <w:rFonts w:ascii="Times New Roman" w:hAnsi="Times New Roman"/>
                <w:szCs w:val="18"/>
              </w:rPr>
            </w:pPr>
            <w:r w:rsidRPr="00D2239A">
              <w:rPr>
                <w:rFonts w:ascii="Times New Roman" w:hAnsi="Times New Roman"/>
                <w:szCs w:val="18"/>
              </w:rPr>
              <w:t>2/3 × (</w:t>
            </w:r>
            <w:r w:rsidR="00E902EB" w:rsidRPr="00D2239A">
              <w:rPr>
                <w:rFonts w:ascii="Times New Roman" w:hAnsi="Times New Roman"/>
                <w:szCs w:val="18"/>
              </w:rPr>
              <w:t>(</w:t>
            </w:r>
            <w:r w:rsidRPr="00D2239A">
              <w:rPr>
                <w:rFonts w:ascii="Times New Roman" w:hAnsi="Times New Roman"/>
                <w:szCs w:val="18"/>
              </w:rPr>
              <w:t>j/k</w:t>
            </w:r>
            <w:r w:rsidR="00E902EB" w:rsidRPr="00D2239A">
              <w:rPr>
                <w:rFonts w:ascii="Times New Roman" w:hAnsi="Times New Roman"/>
                <w:szCs w:val="18"/>
              </w:rPr>
              <w:t>)</w:t>
            </w:r>
            <w:r w:rsidR="00D67CA5" w:rsidRPr="00D2239A">
              <w:rPr>
                <w:rFonts w:ascii="Times New Roman" w:hAnsi="Times New Roman"/>
                <w:szCs w:val="18"/>
              </w:rPr>
              <w:t>/</w:t>
            </w:r>
            <w:r w:rsidRPr="00D2239A">
              <w:rPr>
                <w:rFonts w:ascii="Times New Roman" w:hAnsi="Times New Roman"/>
                <w:szCs w:val="18"/>
              </w:rPr>
              <w:t>m – 1) + 1</w:t>
            </w:r>
          </w:p>
        </w:tc>
        <w:tc>
          <w:tcPr>
            <w:tcW w:w="2070" w:type="dxa"/>
            <w:tcMar>
              <w:top w:w="58" w:type="dxa"/>
              <w:left w:w="58" w:type="dxa"/>
              <w:bottom w:w="58" w:type="dxa"/>
              <w:right w:w="58" w:type="dxa"/>
            </w:tcMar>
          </w:tcPr>
          <w:p w14:paraId="74438638" w14:textId="77777777" w:rsidR="00323E65" w:rsidRPr="00D2239A" w:rsidRDefault="00323E65" w:rsidP="00435936">
            <w:pPr>
              <w:pStyle w:val="table-text"/>
              <w:spacing w:before="0" w:after="0"/>
              <w:rPr>
                <w:rFonts w:ascii="Times New Roman" w:hAnsi="Times New Roman"/>
                <w:szCs w:val="18"/>
              </w:rPr>
            </w:pPr>
          </w:p>
        </w:tc>
      </w:tr>
    </w:tbl>
    <w:p w14:paraId="71C55C05" w14:textId="77777777" w:rsidR="003E1CAF" w:rsidRDefault="003E1CAF" w:rsidP="003E1CAF">
      <w:pPr>
        <w:rPr>
          <w:rFonts w:cs="Times New Roman"/>
          <w:b/>
          <w:bCs/>
          <w:sz w:val="22"/>
          <w:szCs w:val="22"/>
        </w:rPr>
      </w:pPr>
    </w:p>
    <w:p w14:paraId="7D295288" w14:textId="37E66478" w:rsidR="006E4C2A" w:rsidRPr="003E1CAF" w:rsidRDefault="00A87FBF" w:rsidP="003E1CAF">
      <w:pPr>
        <w:rPr>
          <w:rFonts w:cs="Times New Roman"/>
          <w:b/>
          <w:bCs/>
          <w:sz w:val="22"/>
          <w:szCs w:val="22"/>
        </w:rPr>
      </w:pPr>
      <w:r w:rsidRPr="00626C29">
        <w:rPr>
          <w:b/>
          <w:szCs w:val="20"/>
        </w:rPr>
        <w:t xml:space="preserve">Supplementary </w:t>
      </w:r>
      <w:r w:rsidR="007C7066" w:rsidRPr="00EF4250">
        <w:rPr>
          <w:b/>
          <w:szCs w:val="20"/>
        </w:rPr>
        <w:t xml:space="preserve">Table </w:t>
      </w:r>
      <w:r w:rsidR="00B16332" w:rsidRPr="00EF4250">
        <w:rPr>
          <w:b/>
          <w:szCs w:val="20"/>
        </w:rPr>
        <w:t>6</w:t>
      </w:r>
      <w:r w:rsidR="007C7066" w:rsidRPr="00EF4250">
        <w:rPr>
          <w:szCs w:val="20"/>
        </w:rPr>
        <w:t xml:space="preserve">. </w:t>
      </w:r>
      <w:r w:rsidR="006E4C2A" w:rsidRPr="00EF4250">
        <w:rPr>
          <w:szCs w:val="20"/>
        </w:rPr>
        <w:t xml:space="preserve">Estimated multipliers for the underestimation of the prevalence of pain reliever misuse and of illicit opioid use without opioid use disorder in NSDUH in simulated urban and rural communities, by period. </w:t>
      </w:r>
    </w:p>
    <w:tbl>
      <w:tblPr>
        <w:tblW w:w="9360" w:type="dxa"/>
        <w:tblLayout w:type="fixed"/>
        <w:tblLook w:val="04A0" w:firstRow="1" w:lastRow="0" w:firstColumn="1" w:lastColumn="0" w:noHBand="0" w:noVBand="1"/>
      </w:tblPr>
      <w:tblGrid>
        <w:gridCol w:w="990"/>
        <w:gridCol w:w="1980"/>
        <w:gridCol w:w="1980"/>
        <w:gridCol w:w="270"/>
        <w:gridCol w:w="2070"/>
        <w:gridCol w:w="2070"/>
      </w:tblGrid>
      <w:tr w:rsidR="006E4C2A" w:rsidRPr="00D2239A" w14:paraId="77219C03" w14:textId="77777777" w:rsidTr="00A264D8">
        <w:trPr>
          <w:trHeight w:val="288"/>
        </w:trPr>
        <w:tc>
          <w:tcPr>
            <w:tcW w:w="990" w:type="dxa"/>
            <w:tcBorders>
              <w:top w:val="single" w:sz="4" w:space="0" w:color="auto"/>
              <w:left w:val="nil"/>
              <w:right w:val="nil"/>
            </w:tcBorders>
            <w:tcMar>
              <w:left w:w="29" w:type="dxa"/>
              <w:right w:w="29" w:type="dxa"/>
            </w:tcMar>
            <w:vAlign w:val="center"/>
          </w:tcPr>
          <w:p w14:paraId="3550355A" w14:textId="77777777" w:rsidR="006E4C2A" w:rsidRPr="00D2239A" w:rsidRDefault="006E4C2A" w:rsidP="00A264D8">
            <w:pPr>
              <w:spacing w:after="0" w:line="240" w:lineRule="auto"/>
              <w:ind w:right="-595"/>
              <w:jc w:val="center"/>
              <w:rPr>
                <w:rFonts w:eastAsia="Times New Roman" w:cs="Times New Roman"/>
                <w:sz w:val="18"/>
                <w:szCs w:val="18"/>
              </w:rPr>
            </w:pPr>
          </w:p>
        </w:tc>
        <w:tc>
          <w:tcPr>
            <w:tcW w:w="8370" w:type="dxa"/>
            <w:gridSpan w:val="5"/>
            <w:tcBorders>
              <w:top w:val="single" w:sz="4" w:space="0" w:color="auto"/>
              <w:left w:val="nil"/>
              <w:bottom w:val="single" w:sz="4" w:space="0" w:color="auto"/>
              <w:right w:val="nil"/>
            </w:tcBorders>
            <w:noWrap/>
            <w:tcMar>
              <w:left w:w="14" w:type="dxa"/>
              <w:right w:w="43" w:type="dxa"/>
            </w:tcMar>
            <w:vAlign w:val="center"/>
          </w:tcPr>
          <w:p w14:paraId="611B809B" w14:textId="64272F11" w:rsidR="006E4C2A" w:rsidRPr="00D2239A" w:rsidRDefault="00A264D8" w:rsidP="00A264D8">
            <w:pPr>
              <w:spacing w:after="0" w:line="240" w:lineRule="auto"/>
              <w:jc w:val="center"/>
              <w:rPr>
                <w:rFonts w:eastAsia="Times New Roman" w:cs="Times New Roman"/>
                <w:b/>
                <w:bCs/>
                <w:sz w:val="18"/>
                <w:szCs w:val="18"/>
              </w:rPr>
            </w:pPr>
            <w:r w:rsidRPr="00D2239A">
              <w:rPr>
                <w:rFonts w:eastAsia="Times New Roman" w:cs="Times New Roman"/>
                <w:b/>
                <w:bCs/>
                <w:sz w:val="18"/>
                <w:szCs w:val="18"/>
              </w:rPr>
              <w:t>Mean (min</w:t>
            </w:r>
            <w:r w:rsidR="00006CE0" w:rsidRPr="00D2239A">
              <w:rPr>
                <w:rFonts w:eastAsia="Times New Roman" w:cs="Times New Roman"/>
                <w:sz w:val="18"/>
                <w:szCs w:val="18"/>
              </w:rPr>
              <w:t xml:space="preserve"> −</w:t>
            </w:r>
            <w:r w:rsidRPr="00D2239A">
              <w:rPr>
                <w:rFonts w:eastAsia="Times New Roman" w:cs="Times New Roman"/>
                <w:b/>
                <w:bCs/>
                <w:sz w:val="18"/>
                <w:szCs w:val="18"/>
              </w:rPr>
              <w:t xml:space="preserve"> max) multiplier for underestimation of prevalence of opioid misuse in NSDUH</w:t>
            </w:r>
          </w:p>
        </w:tc>
      </w:tr>
      <w:tr w:rsidR="006E4C2A" w:rsidRPr="00D2239A" w14:paraId="5D4FC590" w14:textId="77777777" w:rsidTr="00A264D8">
        <w:trPr>
          <w:trHeight w:val="288"/>
        </w:trPr>
        <w:tc>
          <w:tcPr>
            <w:tcW w:w="990" w:type="dxa"/>
            <w:tcBorders>
              <w:left w:val="nil"/>
              <w:right w:val="nil"/>
            </w:tcBorders>
            <w:tcMar>
              <w:left w:w="29" w:type="dxa"/>
              <w:right w:w="29" w:type="dxa"/>
            </w:tcMar>
            <w:vAlign w:val="center"/>
          </w:tcPr>
          <w:p w14:paraId="5F6B19E5" w14:textId="77777777" w:rsidR="006E4C2A" w:rsidRPr="00D2239A" w:rsidRDefault="006E4C2A" w:rsidP="00435936">
            <w:pPr>
              <w:spacing w:after="0" w:line="240" w:lineRule="auto"/>
              <w:ind w:right="-595"/>
              <w:rPr>
                <w:rFonts w:eastAsia="Times New Roman" w:cs="Times New Roman"/>
                <w:sz w:val="18"/>
                <w:szCs w:val="18"/>
              </w:rPr>
            </w:pPr>
          </w:p>
        </w:tc>
        <w:tc>
          <w:tcPr>
            <w:tcW w:w="3960" w:type="dxa"/>
            <w:gridSpan w:val="2"/>
            <w:tcBorders>
              <w:top w:val="single" w:sz="4" w:space="0" w:color="auto"/>
              <w:left w:val="nil"/>
              <w:bottom w:val="single" w:sz="4" w:space="0" w:color="auto"/>
              <w:right w:val="nil"/>
            </w:tcBorders>
            <w:noWrap/>
            <w:tcMar>
              <w:left w:w="14" w:type="dxa"/>
              <w:right w:w="43" w:type="dxa"/>
            </w:tcMar>
            <w:vAlign w:val="center"/>
          </w:tcPr>
          <w:p w14:paraId="2ACD5B4E" w14:textId="5AECD85D" w:rsidR="006E4C2A" w:rsidRPr="00D2239A" w:rsidRDefault="00A264D8" w:rsidP="00A264D8">
            <w:pPr>
              <w:spacing w:after="0" w:line="240" w:lineRule="auto"/>
              <w:jc w:val="center"/>
              <w:rPr>
                <w:rFonts w:eastAsia="Times New Roman" w:cs="Times New Roman"/>
                <w:b/>
                <w:bCs/>
                <w:sz w:val="18"/>
                <w:szCs w:val="18"/>
              </w:rPr>
            </w:pPr>
            <w:r w:rsidRPr="00D2239A">
              <w:rPr>
                <w:rFonts w:eastAsia="Times New Roman" w:cs="Times New Roman"/>
                <w:b/>
                <w:bCs/>
                <w:sz w:val="18"/>
                <w:szCs w:val="18"/>
              </w:rPr>
              <w:t>P</w:t>
            </w:r>
            <w:r w:rsidR="006E4C2A" w:rsidRPr="00D2239A">
              <w:rPr>
                <w:rFonts w:eastAsia="Times New Roman" w:cs="Times New Roman"/>
                <w:b/>
                <w:bCs/>
                <w:sz w:val="18"/>
                <w:szCs w:val="18"/>
              </w:rPr>
              <w:t>rescription opioid misuse without or OUD</w:t>
            </w:r>
          </w:p>
        </w:tc>
        <w:tc>
          <w:tcPr>
            <w:tcW w:w="270" w:type="dxa"/>
            <w:tcBorders>
              <w:top w:val="single" w:sz="4" w:space="0" w:color="auto"/>
              <w:left w:val="nil"/>
              <w:bottom w:val="single" w:sz="4" w:space="0" w:color="auto"/>
              <w:right w:val="nil"/>
            </w:tcBorders>
            <w:vAlign w:val="center"/>
          </w:tcPr>
          <w:p w14:paraId="23349581" w14:textId="77777777" w:rsidR="006E4C2A" w:rsidRPr="00D2239A" w:rsidRDefault="006E4C2A" w:rsidP="00A264D8">
            <w:pPr>
              <w:spacing w:after="0" w:line="240" w:lineRule="auto"/>
              <w:jc w:val="center"/>
              <w:rPr>
                <w:rFonts w:eastAsia="Times New Roman" w:cs="Times New Roman"/>
                <w:b/>
                <w:bCs/>
                <w:sz w:val="18"/>
                <w:szCs w:val="18"/>
              </w:rPr>
            </w:pPr>
          </w:p>
        </w:tc>
        <w:tc>
          <w:tcPr>
            <w:tcW w:w="4140" w:type="dxa"/>
            <w:gridSpan w:val="2"/>
            <w:tcBorders>
              <w:top w:val="single" w:sz="4" w:space="0" w:color="auto"/>
              <w:left w:val="nil"/>
              <w:bottom w:val="single" w:sz="4" w:space="0" w:color="auto"/>
              <w:right w:val="nil"/>
            </w:tcBorders>
            <w:vAlign w:val="center"/>
          </w:tcPr>
          <w:p w14:paraId="33584B5C" w14:textId="584284D8" w:rsidR="006E4C2A" w:rsidRPr="00D2239A" w:rsidRDefault="00A264D8" w:rsidP="00A264D8">
            <w:pPr>
              <w:spacing w:after="0" w:line="240" w:lineRule="auto"/>
              <w:jc w:val="center"/>
              <w:rPr>
                <w:rFonts w:eastAsia="Times New Roman" w:cs="Times New Roman"/>
                <w:b/>
                <w:bCs/>
                <w:sz w:val="18"/>
                <w:szCs w:val="18"/>
              </w:rPr>
            </w:pPr>
            <w:r w:rsidRPr="00D2239A">
              <w:rPr>
                <w:rFonts w:eastAsia="Times New Roman" w:cs="Times New Roman"/>
                <w:b/>
                <w:bCs/>
                <w:sz w:val="18"/>
                <w:szCs w:val="18"/>
              </w:rPr>
              <w:t>I</w:t>
            </w:r>
            <w:r w:rsidR="006E4C2A" w:rsidRPr="00D2239A">
              <w:rPr>
                <w:rFonts w:eastAsia="Times New Roman" w:cs="Times New Roman"/>
                <w:b/>
                <w:bCs/>
                <w:sz w:val="18"/>
                <w:szCs w:val="18"/>
              </w:rPr>
              <w:t>llicit opioid use without OUD</w:t>
            </w:r>
          </w:p>
        </w:tc>
      </w:tr>
      <w:tr w:rsidR="00006CE0" w:rsidRPr="00D2239A" w14:paraId="5CC48D2D" w14:textId="77777777" w:rsidTr="0040725E">
        <w:trPr>
          <w:trHeight w:val="288"/>
        </w:trPr>
        <w:tc>
          <w:tcPr>
            <w:tcW w:w="990" w:type="dxa"/>
            <w:tcBorders>
              <w:left w:val="nil"/>
              <w:right w:val="nil"/>
            </w:tcBorders>
            <w:tcMar>
              <w:left w:w="29" w:type="dxa"/>
              <w:right w:w="29" w:type="dxa"/>
            </w:tcMar>
            <w:vAlign w:val="center"/>
          </w:tcPr>
          <w:p w14:paraId="585B078B" w14:textId="77777777" w:rsidR="00006CE0" w:rsidRPr="00D2239A" w:rsidRDefault="00006CE0" w:rsidP="00435936">
            <w:pPr>
              <w:spacing w:after="0" w:line="240" w:lineRule="auto"/>
              <w:rPr>
                <w:rFonts w:eastAsia="Times New Roman" w:cs="Times New Roman"/>
                <w:b/>
                <w:bCs/>
                <w:sz w:val="18"/>
                <w:szCs w:val="18"/>
              </w:rPr>
            </w:pPr>
            <w:r w:rsidRPr="00D2239A">
              <w:rPr>
                <w:rFonts w:eastAsia="Times New Roman" w:cs="Times New Roman"/>
                <w:b/>
                <w:bCs/>
                <w:sz w:val="18"/>
                <w:szCs w:val="18"/>
              </w:rPr>
              <w:t>Period</w:t>
            </w:r>
          </w:p>
        </w:tc>
        <w:tc>
          <w:tcPr>
            <w:tcW w:w="1980" w:type="dxa"/>
            <w:tcBorders>
              <w:top w:val="single" w:sz="4" w:space="0" w:color="auto"/>
              <w:left w:val="nil"/>
              <w:right w:val="nil"/>
            </w:tcBorders>
            <w:noWrap/>
            <w:tcMar>
              <w:left w:w="14" w:type="dxa"/>
              <w:right w:w="43" w:type="dxa"/>
            </w:tcMar>
            <w:vAlign w:val="center"/>
            <w:hideMark/>
          </w:tcPr>
          <w:p w14:paraId="438E0140" w14:textId="4CA51A2B" w:rsidR="00006CE0" w:rsidRPr="00D2239A" w:rsidRDefault="00006CE0" w:rsidP="00435936">
            <w:pPr>
              <w:spacing w:after="0" w:line="240" w:lineRule="auto"/>
              <w:jc w:val="center"/>
              <w:rPr>
                <w:rFonts w:eastAsia="Times New Roman" w:cs="Times New Roman"/>
                <w:b/>
                <w:bCs/>
                <w:sz w:val="18"/>
                <w:szCs w:val="18"/>
              </w:rPr>
            </w:pPr>
            <w:r w:rsidRPr="00D2239A">
              <w:rPr>
                <w:rFonts w:eastAsia="Times New Roman" w:cs="Times New Roman"/>
                <w:b/>
                <w:bCs/>
                <w:sz w:val="18"/>
                <w:szCs w:val="18"/>
              </w:rPr>
              <w:t xml:space="preserve">Urban, n = </w:t>
            </w:r>
            <w:r w:rsidR="00F65C3D">
              <w:rPr>
                <w:rFonts w:eastAsia="Times New Roman" w:cs="Times New Roman"/>
                <w:b/>
                <w:bCs/>
                <w:sz w:val="18"/>
                <w:szCs w:val="18"/>
              </w:rPr>
              <w:t>18</w:t>
            </w:r>
          </w:p>
        </w:tc>
        <w:tc>
          <w:tcPr>
            <w:tcW w:w="1980" w:type="dxa"/>
            <w:tcBorders>
              <w:top w:val="single" w:sz="4" w:space="0" w:color="auto"/>
              <w:left w:val="nil"/>
              <w:right w:val="nil"/>
            </w:tcBorders>
            <w:noWrap/>
            <w:tcMar>
              <w:left w:w="14" w:type="dxa"/>
              <w:right w:w="43" w:type="dxa"/>
            </w:tcMar>
            <w:vAlign w:val="center"/>
            <w:hideMark/>
          </w:tcPr>
          <w:p w14:paraId="39D2C613" w14:textId="73A7DE1E" w:rsidR="00006CE0" w:rsidRPr="00D2239A" w:rsidRDefault="00006CE0" w:rsidP="00435936">
            <w:pPr>
              <w:spacing w:after="0" w:line="240" w:lineRule="auto"/>
              <w:jc w:val="center"/>
              <w:rPr>
                <w:rFonts w:eastAsia="Times New Roman" w:cs="Times New Roman"/>
                <w:b/>
                <w:bCs/>
                <w:sz w:val="18"/>
                <w:szCs w:val="18"/>
              </w:rPr>
            </w:pPr>
            <w:r w:rsidRPr="00D2239A">
              <w:rPr>
                <w:rFonts w:eastAsia="Times New Roman" w:cs="Times New Roman"/>
                <w:b/>
                <w:bCs/>
                <w:sz w:val="18"/>
                <w:szCs w:val="18"/>
              </w:rPr>
              <w:t>Rural, n = 8</w:t>
            </w:r>
          </w:p>
        </w:tc>
        <w:tc>
          <w:tcPr>
            <w:tcW w:w="270" w:type="dxa"/>
            <w:tcBorders>
              <w:top w:val="single" w:sz="4" w:space="0" w:color="auto"/>
              <w:left w:val="nil"/>
              <w:right w:val="nil"/>
            </w:tcBorders>
            <w:vAlign w:val="center"/>
          </w:tcPr>
          <w:p w14:paraId="660587DD" w14:textId="77777777" w:rsidR="00006CE0" w:rsidRPr="00D2239A" w:rsidRDefault="00006CE0" w:rsidP="00435936">
            <w:pPr>
              <w:spacing w:after="0" w:line="240" w:lineRule="auto"/>
              <w:jc w:val="center"/>
              <w:rPr>
                <w:rFonts w:eastAsia="Times New Roman" w:cs="Times New Roman"/>
                <w:b/>
                <w:bCs/>
                <w:sz w:val="18"/>
                <w:szCs w:val="18"/>
              </w:rPr>
            </w:pPr>
          </w:p>
        </w:tc>
        <w:tc>
          <w:tcPr>
            <w:tcW w:w="2070" w:type="dxa"/>
            <w:tcBorders>
              <w:top w:val="single" w:sz="4" w:space="0" w:color="auto"/>
              <w:left w:val="nil"/>
              <w:right w:val="nil"/>
            </w:tcBorders>
            <w:vAlign w:val="center"/>
          </w:tcPr>
          <w:p w14:paraId="385CB45B" w14:textId="74E9CA45" w:rsidR="00006CE0" w:rsidRPr="00D2239A" w:rsidRDefault="00006CE0" w:rsidP="00435936">
            <w:pPr>
              <w:spacing w:after="0" w:line="240" w:lineRule="auto"/>
              <w:jc w:val="center"/>
              <w:rPr>
                <w:rFonts w:eastAsia="Times New Roman" w:cs="Times New Roman"/>
                <w:b/>
                <w:bCs/>
                <w:sz w:val="18"/>
                <w:szCs w:val="18"/>
              </w:rPr>
            </w:pPr>
            <w:r w:rsidRPr="00D2239A">
              <w:rPr>
                <w:rFonts w:eastAsia="Times New Roman" w:cs="Times New Roman"/>
                <w:b/>
                <w:bCs/>
                <w:sz w:val="18"/>
                <w:szCs w:val="18"/>
              </w:rPr>
              <w:t xml:space="preserve">Urban, n = </w:t>
            </w:r>
            <w:r w:rsidR="00F65C3D">
              <w:rPr>
                <w:rFonts w:eastAsia="Times New Roman" w:cs="Times New Roman"/>
                <w:b/>
                <w:bCs/>
                <w:sz w:val="18"/>
                <w:szCs w:val="18"/>
              </w:rPr>
              <w:t>18</w:t>
            </w:r>
          </w:p>
        </w:tc>
        <w:tc>
          <w:tcPr>
            <w:tcW w:w="2070" w:type="dxa"/>
            <w:tcBorders>
              <w:top w:val="single" w:sz="4" w:space="0" w:color="auto"/>
              <w:left w:val="nil"/>
              <w:right w:val="nil"/>
            </w:tcBorders>
            <w:vAlign w:val="center"/>
          </w:tcPr>
          <w:p w14:paraId="577FCC11" w14:textId="0EECD5DC" w:rsidR="00006CE0" w:rsidRPr="00D2239A" w:rsidRDefault="00006CE0" w:rsidP="00435936">
            <w:pPr>
              <w:spacing w:after="0" w:line="240" w:lineRule="auto"/>
              <w:jc w:val="center"/>
              <w:rPr>
                <w:rFonts w:eastAsia="Times New Roman" w:cs="Times New Roman"/>
                <w:b/>
                <w:bCs/>
                <w:sz w:val="18"/>
                <w:szCs w:val="18"/>
              </w:rPr>
            </w:pPr>
            <w:r w:rsidRPr="00D2239A">
              <w:rPr>
                <w:rFonts w:eastAsia="Times New Roman" w:cs="Times New Roman"/>
                <w:b/>
                <w:bCs/>
                <w:sz w:val="18"/>
                <w:szCs w:val="18"/>
              </w:rPr>
              <w:t>Rural, n = 8</w:t>
            </w:r>
          </w:p>
        </w:tc>
      </w:tr>
      <w:tr w:rsidR="00006CE0" w:rsidRPr="00D2239A" w14:paraId="785C1C9A" w14:textId="77777777" w:rsidTr="0040725E">
        <w:trPr>
          <w:trHeight w:val="288"/>
        </w:trPr>
        <w:tc>
          <w:tcPr>
            <w:tcW w:w="990" w:type="dxa"/>
            <w:tcBorders>
              <w:top w:val="single" w:sz="4" w:space="0" w:color="auto"/>
              <w:left w:val="nil"/>
              <w:bottom w:val="nil"/>
              <w:right w:val="nil"/>
            </w:tcBorders>
            <w:tcMar>
              <w:left w:w="29" w:type="dxa"/>
              <w:right w:w="29" w:type="dxa"/>
            </w:tcMar>
            <w:vAlign w:val="center"/>
          </w:tcPr>
          <w:p w14:paraId="7B68F1DA" w14:textId="77777777" w:rsidR="00006CE0" w:rsidRPr="00D2239A" w:rsidRDefault="00006CE0" w:rsidP="00435936">
            <w:pPr>
              <w:spacing w:after="0" w:line="240" w:lineRule="auto"/>
              <w:rPr>
                <w:rFonts w:eastAsia="Times New Roman" w:cs="Times New Roman"/>
                <w:sz w:val="18"/>
                <w:szCs w:val="18"/>
              </w:rPr>
            </w:pPr>
            <w:r w:rsidRPr="00D2239A">
              <w:rPr>
                <w:rFonts w:eastAsia="Times New Roman" w:cs="Times New Roman"/>
                <w:sz w:val="18"/>
                <w:szCs w:val="18"/>
              </w:rPr>
              <w:t>2016-2018</w:t>
            </w:r>
          </w:p>
        </w:tc>
        <w:tc>
          <w:tcPr>
            <w:tcW w:w="1980" w:type="dxa"/>
            <w:tcBorders>
              <w:top w:val="single" w:sz="4" w:space="0" w:color="auto"/>
              <w:left w:val="nil"/>
              <w:bottom w:val="nil"/>
              <w:right w:val="nil"/>
            </w:tcBorders>
            <w:noWrap/>
            <w:tcMar>
              <w:left w:w="14" w:type="dxa"/>
              <w:right w:w="43" w:type="dxa"/>
            </w:tcMar>
            <w:vAlign w:val="center"/>
            <w:hideMark/>
          </w:tcPr>
          <w:p w14:paraId="704D940A" w14:textId="2E38BD38" w:rsidR="00006CE0" w:rsidRPr="00D2239A" w:rsidRDefault="00006CE0" w:rsidP="00435936">
            <w:pPr>
              <w:spacing w:after="0" w:line="240" w:lineRule="auto"/>
              <w:jc w:val="center"/>
              <w:rPr>
                <w:rFonts w:eastAsia="Times New Roman" w:cs="Times New Roman"/>
                <w:sz w:val="18"/>
                <w:szCs w:val="18"/>
              </w:rPr>
            </w:pPr>
            <w:r w:rsidRPr="00D2239A">
              <w:rPr>
                <w:rFonts w:eastAsia="Times New Roman" w:cs="Times New Roman"/>
                <w:sz w:val="18"/>
                <w:szCs w:val="18"/>
              </w:rPr>
              <w:t>2.61 (1.42 − 5.26)</w:t>
            </w:r>
          </w:p>
        </w:tc>
        <w:tc>
          <w:tcPr>
            <w:tcW w:w="1980" w:type="dxa"/>
            <w:tcBorders>
              <w:top w:val="single" w:sz="4" w:space="0" w:color="auto"/>
              <w:left w:val="nil"/>
              <w:bottom w:val="nil"/>
              <w:right w:val="nil"/>
            </w:tcBorders>
            <w:noWrap/>
            <w:tcMar>
              <w:left w:w="14" w:type="dxa"/>
              <w:right w:w="43" w:type="dxa"/>
            </w:tcMar>
            <w:vAlign w:val="center"/>
            <w:hideMark/>
          </w:tcPr>
          <w:p w14:paraId="6B3529AF" w14:textId="3D973138" w:rsidR="00006CE0" w:rsidRPr="00D2239A" w:rsidRDefault="00006CE0" w:rsidP="00435936">
            <w:pPr>
              <w:spacing w:after="0" w:line="240" w:lineRule="auto"/>
              <w:jc w:val="center"/>
              <w:rPr>
                <w:rFonts w:eastAsia="Times New Roman" w:cs="Times New Roman"/>
                <w:sz w:val="18"/>
                <w:szCs w:val="18"/>
              </w:rPr>
            </w:pPr>
            <w:r w:rsidRPr="00D2239A">
              <w:rPr>
                <w:rFonts w:eastAsia="Times New Roman" w:cs="Times New Roman"/>
                <w:sz w:val="18"/>
                <w:szCs w:val="18"/>
              </w:rPr>
              <w:t>2.78 (1.90 − 4.08)</w:t>
            </w:r>
          </w:p>
        </w:tc>
        <w:tc>
          <w:tcPr>
            <w:tcW w:w="270" w:type="dxa"/>
            <w:tcBorders>
              <w:top w:val="single" w:sz="4" w:space="0" w:color="auto"/>
              <w:left w:val="nil"/>
              <w:bottom w:val="nil"/>
              <w:right w:val="nil"/>
            </w:tcBorders>
            <w:vAlign w:val="center"/>
          </w:tcPr>
          <w:p w14:paraId="718D07B2" w14:textId="77777777" w:rsidR="00006CE0" w:rsidRPr="00D2239A" w:rsidRDefault="00006CE0" w:rsidP="00435936">
            <w:pPr>
              <w:spacing w:after="0" w:line="240" w:lineRule="auto"/>
              <w:jc w:val="center"/>
              <w:rPr>
                <w:rFonts w:eastAsia="Times New Roman" w:cs="Times New Roman"/>
                <w:sz w:val="18"/>
                <w:szCs w:val="18"/>
              </w:rPr>
            </w:pPr>
          </w:p>
        </w:tc>
        <w:tc>
          <w:tcPr>
            <w:tcW w:w="2070" w:type="dxa"/>
            <w:tcBorders>
              <w:top w:val="single" w:sz="4" w:space="0" w:color="auto"/>
              <w:left w:val="nil"/>
              <w:bottom w:val="nil"/>
              <w:right w:val="nil"/>
            </w:tcBorders>
            <w:vAlign w:val="center"/>
          </w:tcPr>
          <w:p w14:paraId="5A1F1BBD" w14:textId="72B59EB8" w:rsidR="00006CE0" w:rsidRPr="00D2239A" w:rsidRDefault="00006CE0" w:rsidP="00435936">
            <w:pPr>
              <w:spacing w:after="0" w:line="240" w:lineRule="auto"/>
              <w:jc w:val="center"/>
              <w:rPr>
                <w:rFonts w:eastAsia="Times New Roman" w:cs="Times New Roman"/>
                <w:sz w:val="18"/>
                <w:szCs w:val="18"/>
              </w:rPr>
            </w:pPr>
            <w:r w:rsidRPr="00D2239A">
              <w:rPr>
                <w:rFonts w:eastAsia="Times New Roman" w:cs="Times New Roman"/>
                <w:sz w:val="18"/>
                <w:szCs w:val="18"/>
              </w:rPr>
              <w:t>4.21 (1.84 − 9.53)</w:t>
            </w:r>
          </w:p>
        </w:tc>
        <w:tc>
          <w:tcPr>
            <w:tcW w:w="2070" w:type="dxa"/>
            <w:tcBorders>
              <w:top w:val="single" w:sz="4" w:space="0" w:color="auto"/>
              <w:left w:val="nil"/>
              <w:bottom w:val="nil"/>
              <w:right w:val="nil"/>
            </w:tcBorders>
            <w:vAlign w:val="center"/>
          </w:tcPr>
          <w:p w14:paraId="767818CB" w14:textId="4A353434" w:rsidR="00006CE0" w:rsidRPr="00D2239A" w:rsidRDefault="00006CE0" w:rsidP="00435936">
            <w:pPr>
              <w:spacing w:after="0" w:line="240" w:lineRule="auto"/>
              <w:jc w:val="center"/>
              <w:rPr>
                <w:rFonts w:eastAsia="Times New Roman" w:cs="Times New Roman"/>
                <w:sz w:val="18"/>
                <w:szCs w:val="18"/>
              </w:rPr>
            </w:pPr>
            <w:r w:rsidRPr="00D2239A">
              <w:rPr>
                <w:rFonts w:eastAsia="Times New Roman" w:cs="Times New Roman"/>
                <w:sz w:val="18"/>
                <w:szCs w:val="18"/>
              </w:rPr>
              <w:t>4.56 (2.80 − 7.16)</w:t>
            </w:r>
          </w:p>
        </w:tc>
      </w:tr>
      <w:tr w:rsidR="00006CE0" w:rsidRPr="00D2239A" w14:paraId="101846EE" w14:textId="77777777" w:rsidTr="0040725E">
        <w:trPr>
          <w:trHeight w:val="288"/>
        </w:trPr>
        <w:tc>
          <w:tcPr>
            <w:tcW w:w="990" w:type="dxa"/>
            <w:tcBorders>
              <w:top w:val="nil"/>
              <w:left w:val="nil"/>
              <w:bottom w:val="single" w:sz="4" w:space="0" w:color="auto"/>
              <w:right w:val="nil"/>
            </w:tcBorders>
            <w:tcMar>
              <w:left w:w="29" w:type="dxa"/>
              <w:right w:w="29" w:type="dxa"/>
            </w:tcMar>
            <w:vAlign w:val="center"/>
          </w:tcPr>
          <w:p w14:paraId="00C23FB4" w14:textId="77777777" w:rsidR="00006CE0" w:rsidRPr="00D2239A" w:rsidRDefault="00006CE0" w:rsidP="00435936">
            <w:pPr>
              <w:spacing w:after="0" w:line="240" w:lineRule="auto"/>
              <w:rPr>
                <w:rFonts w:eastAsia="Times New Roman" w:cs="Times New Roman"/>
                <w:sz w:val="18"/>
                <w:szCs w:val="18"/>
              </w:rPr>
            </w:pPr>
            <w:r w:rsidRPr="00D2239A">
              <w:rPr>
                <w:rFonts w:eastAsia="Times New Roman" w:cs="Times New Roman"/>
                <w:sz w:val="18"/>
                <w:szCs w:val="18"/>
              </w:rPr>
              <w:t>2018-2019</w:t>
            </w:r>
          </w:p>
        </w:tc>
        <w:tc>
          <w:tcPr>
            <w:tcW w:w="1980" w:type="dxa"/>
            <w:tcBorders>
              <w:top w:val="nil"/>
              <w:left w:val="nil"/>
              <w:bottom w:val="single" w:sz="4" w:space="0" w:color="auto"/>
              <w:right w:val="nil"/>
            </w:tcBorders>
            <w:noWrap/>
            <w:tcMar>
              <w:left w:w="14" w:type="dxa"/>
              <w:right w:w="43" w:type="dxa"/>
            </w:tcMar>
            <w:vAlign w:val="center"/>
            <w:hideMark/>
          </w:tcPr>
          <w:p w14:paraId="5C6B5D3C" w14:textId="0155F75C" w:rsidR="00006CE0" w:rsidRPr="00D2239A" w:rsidRDefault="00006CE0" w:rsidP="00435936">
            <w:pPr>
              <w:spacing w:after="0" w:line="240" w:lineRule="auto"/>
              <w:jc w:val="center"/>
              <w:rPr>
                <w:rFonts w:eastAsia="Times New Roman" w:cs="Times New Roman"/>
                <w:sz w:val="18"/>
                <w:szCs w:val="18"/>
              </w:rPr>
            </w:pPr>
            <w:r w:rsidRPr="00D2239A">
              <w:rPr>
                <w:rFonts w:eastAsia="Times New Roman" w:cs="Times New Roman"/>
                <w:sz w:val="18"/>
                <w:szCs w:val="18"/>
              </w:rPr>
              <w:t>3.29 (1.29 − 7.66)</w:t>
            </w:r>
          </w:p>
        </w:tc>
        <w:tc>
          <w:tcPr>
            <w:tcW w:w="1980" w:type="dxa"/>
            <w:tcBorders>
              <w:top w:val="nil"/>
              <w:left w:val="nil"/>
              <w:bottom w:val="single" w:sz="4" w:space="0" w:color="auto"/>
              <w:right w:val="nil"/>
            </w:tcBorders>
            <w:noWrap/>
            <w:tcMar>
              <w:left w:w="14" w:type="dxa"/>
              <w:right w:w="43" w:type="dxa"/>
            </w:tcMar>
            <w:vAlign w:val="center"/>
            <w:hideMark/>
          </w:tcPr>
          <w:p w14:paraId="1DE4C07C" w14:textId="65E45EE4" w:rsidR="00006CE0" w:rsidRPr="00D2239A" w:rsidRDefault="00006CE0" w:rsidP="00435936">
            <w:pPr>
              <w:spacing w:after="0" w:line="240" w:lineRule="auto"/>
              <w:jc w:val="center"/>
              <w:rPr>
                <w:rFonts w:eastAsia="Times New Roman" w:cs="Times New Roman"/>
                <w:sz w:val="18"/>
                <w:szCs w:val="18"/>
              </w:rPr>
            </w:pPr>
            <w:r w:rsidRPr="00D2239A">
              <w:rPr>
                <w:rFonts w:eastAsia="Times New Roman" w:cs="Times New Roman"/>
                <w:sz w:val="18"/>
                <w:szCs w:val="18"/>
              </w:rPr>
              <w:t>2.95 (1.68 − 5.88)</w:t>
            </w:r>
          </w:p>
        </w:tc>
        <w:tc>
          <w:tcPr>
            <w:tcW w:w="270" w:type="dxa"/>
            <w:tcBorders>
              <w:top w:val="nil"/>
              <w:left w:val="nil"/>
              <w:bottom w:val="single" w:sz="4" w:space="0" w:color="auto"/>
              <w:right w:val="nil"/>
            </w:tcBorders>
            <w:vAlign w:val="center"/>
          </w:tcPr>
          <w:p w14:paraId="6BB907EC" w14:textId="77777777" w:rsidR="00006CE0" w:rsidRPr="00D2239A" w:rsidRDefault="00006CE0" w:rsidP="00435936">
            <w:pPr>
              <w:spacing w:after="0" w:line="240" w:lineRule="auto"/>
              <w:jc w:val="center"/>
              <w:rPr>
                <w:rFonts w:eastAsia="Times New Roman" w:cs="Times New Roman"/>
                <w:sz w:val="18"/>
                <w:szCs w:val="18"/>
              </w:rPr>
            </w:pPr>
          </w:p>
        </w:tc>
        <w:tc>
          <w:tcPr>
            <w:tcW w:w="2070" w:type="dxa"/>
            <w:tcBorders>
              <w:top w:val="nil"/>
              <w:left w:val="nil"/>
              <w:bottom w:val="single" w:sz="4" w:space="0" w:color="auto"/>
              <w:right w:val="nil"/>
            </w:tcBorders>
            <w:vAlign w:val="center"/>
          </w:tcPr>
          <w:p w14:paraId="0D2DDD1D" w14:textId="2134BF8C" w:rsidR="00006CE0" w:rsidRPr="00D2239A" w:rsidRDefault="00006CE0" w:rsidP="00435936">
            <w:pPr>
              <w:spacing w:after="0" w:line="240" w:lineRule="auto"/>
              <w:jc w:val="center"/>
              <w:rPr>
                <w:rFonts w:eastAsia="Times New Roman" w:cs="Times New Roman"/>
                <w:sz w:val="18"/>
                <w:szCs w:val="18"/>
              </w:rPr>
            </w:pPr>
            <w:r w:rsidRPr="00D2239A">
              <w:rPr>
                <w:rFonts w:eastAsia="Times New Roman" w:cs="Times New Roman"/>
                <w:sz w:val="18"/>
                <w:szCs w:val="18"/>
              </w:rPr>
              <w:t>5.59 (1.57 − 14.33)</w:t>
            </w:r>
          </w:p>
        </w:tc>
        <w:tc>
          <w:tcPr>
            <w:tcW w:w="2070" w:type="dxa"/>
            <w:tcBorders>
              <w:top w:val="nil"/>
              <w:left w:val="nil"/>
              <w:bottom w:val="single" w:sz="4" w:space="0" w:color="auto"/>
              <w:right w:val="nil"/>
            </w:tcBorders>
            <w:vAlign w:val="center"/>
          </w:tcPr>
          <w:p w14:paraId="33885456" w14:textId="563ACED8" w:rsidR="00006CE0" w:rsidRPr="00D2239A" w:rsidRDefault="00006CE0" w:rsidP="00435936">
            <w:pPr>
              <w:spacing w:after="0" w:line="240" w:lineRule="auto"/>
              <w:jc w:val="center"/>
              <w:rPr>
                <w:rFonts w:eastAsia="Times New Roman" w:cs="Times New Roman"/>
                <w:sz w:val="18"/>
                <w:szCs w:val="18"/>
              </w:rPr>
            </w:pPr>
            <w:r w:rsidRPr="00D2239A">
              <w:rPr>
                <w:rFonts w:eastAsia="Times New Roman" w:cs="Times New Roman"/>
                <w:sz w:val="18"/>
                <w:szCs w:val="18"/>
              </w:rPr>
              <w:t>4.90 (2.36 − 10.76)</w:t>
            </w:r>
          </w:p>
        </w:tc>
      </w:tr>
    </w:tbl>
    <w:p w14:paraId="2FF82C2A" w14:textId="720B6AD5" w:rsidR="001C2798" w:rsidRPr="00D2239A" w:rsidRDefault="001C2798" w:rsidP="006E4C2A">
      <w:pPr>
        <w:spacing w:after="0" w:line="276" w:lineRule="auto"/>
        <w:rPr>
          <w:rFonts w:cs="Times New Roman"/>
        </w:rPr>
      </w:pPr>
    </w:p>
    <w:p w14:paraId="63175A82" w14:textId="057F986C" w:rsidR="00FC04A9" w:rsidRPr="000E6906" w:rsidRDefault="00FC04A9" w:rsidP="006B4824">
      <w:pPr>
        <w:pStyle w:val="Heading2"/>
        <w:rPr>
          <w:bCs/>
          <w:szCs w:val="22"/>
        </w:rPr>
      </w:pPr>
      <w:bookmarkStart w:id="20" w:name="_Toc206680989"/>
      <w:bookmarkStart w:id="21" w:name="_Toc226020679"/>
      <w:r w:rsidRPr="000E6906">
        <w:rPr>
          <w:rFonts w:cs="Times New Roman"/>
          <w:bCs/>
          <w:szCs w:val="22"/>
        </w:rPr>
        <w:t>S1.2.3</w:t>
      </w:r>
      <w:r w:rsidR="0086108B">
        <w:rPr>
          <w:rFonts w:cs="Times New Roman"/>
          <w:bCs/>
          <w:szCs w:val="22"/>
        </w:rPr>
        <w:t>.</w:t>
      </w:r>
      <w:r w:rsidRPr="000E6906">
        <w:rPr>
          <w:rFonts w:cs="Times New Roman"/>
          <w:bCs/>
          <w:szCs w:val="22"/>
        </w:rPr>
        <w:t xml:space="preserve"> Sex and age distributions of persons with non-medical </w:t>
      </w:r>
      <w:r w:rsidR="003F539A" w:rsidRPr="000E6906">
        <w:rPr>
          <w:rFonts w:cs="Times New Roman"/>
          <w:bCs/>
          <w:szCs w:val="22"/>
        </w:rPr>
        <w:t xml:space="preserve">opioid </w:t>
      </w:r>
      <w:r w:rsidRPr="000E6906">
        <w:rPr>
          <w:rFonts w:cs="Times New Roman"/>
          <w:bCs/>
          <w:szCs w:val="22"/>
        </w:rPr>
        <w:t>use</w:t>
      </w:r>
      <w:bookmarkEnd w:id="20"/>
      <w:bookmarkEnd w:id="21"/>
    </w:p>
    <w:p w14:paraId="11F8232B" w14:textId="2EE411D5" w:rsidR="00FC04A9" w:rsidRPr="00EF4250" w:rsidRDefault="00FC04A9" w:rsidP="003F539A">
      <w:pPr>
        <w:spacing w:after="0" w:line="276" w:lineRule="auto"/>
        <w:rPr>
          <w:rFonts w:cs="Times New Roman"/>
          <w:szCs w:val="20"/>
        </w:rPr>
      </w:pPr>
      <w:r w:rsidRPr="00EF4250">
        <w:rPr>
          <w:rFonts w:cs="Times New Roman"/>
          <w:szCs w:val="20"/>
        </w:rPr>
        <w:t xml:space="preserve">As noted in </w:t>
      </w:r>
      <w:r w:rsidR="00A87FBF" w:rsidRPr="00626C29">
        <w:rPr>
          <w:b/>
          <w:szCs w:val="20"/>
        </w:rPr>
        <w:t>Supplement</w:t>
      </w:r>
      <w:r w:rsidR="00A87FBF">
        <w:rPr>
          <w:b/>
          <w:szCs w:val="20"/>
        </w:rPr>
        <w:t xml:space="preserve"> </w:t>
      </w:r>
      <w:r w:rsidRPr="00EF4250">
        <w:rPr>
          <w:rFonts w:cs="Times New Roman"/>
          <w:b/>
          <w:bCs/>
          <w:szCs w:val="20"/>
        </w:rPr>
        <w:t>S1.1.3</w:t>
      </w:r>
      <w:r w:rsidRPr="00EF4250">
        <w:rPr>
          <w:rFonts w:cs="Times New Roman"/>
          <w:szCs w:val="20"/>
        </w:rPr>
        <w:t xml:space="preserve">, the sex and initial age of a simulated individual in 2017 were sampled from distributions. Data were unavailable to estimate the joint distribution by sex and age, so we assumed that for each health state, the age distribution did not vary among males and females. </w:t>
      </w:r>
    </w:p>
    <w:p w14:paraId="6B911512" w14:textId="77777777" w:rsidR="003F539A" w:rsidRPr="00EF4250" w:rsidRDefault="003F539A" w:rsidP="003F539A">
      <w:pPr>
        <w:spacing w:after="0" w:line="276" w:lineRule="auto"/>
        <w:rPr>
          <w:rFonts w:cs="Times New Roman"/>
          <w:szCs w:val="20"/>
        </w:rPr>
      </w:pPr>
    </w:p>
    <w:p w14:paraId="7769D859" w14:textId="77777777" w:rsidR="00FC04A9" w:rsidRPr="00EF4250" w:rsidRDefault="00FC04A9" w:rsidP="003F539A">
      <w:pPr>
        <w:spacing w:line="276" w:lineRule="auto"/>
        <w:rPr>
          <w:rFonts w:cs="Times New Roman"/>
          <w:i/>
          <w:iCs/>
          <w:szCs w:val="20"/>
          <w:u w:val="single"/>
        </w:rPr>
      </w:pPr>
      <w:r w:rsidRPr="00EF4250">
        <w:rPr>
          <w:rFonts w:cs="Times New Roman"/>
          <w:i/>
          <w:iCs/>
          <w:szCs w:val="20"/>
          <w:u w:val="single"/>
        </w:rPr>
        <w:lastRenderedPageBreak/>
        <w:t>Sex distributions</w:t>
      </w:r>
    </w:p>
    <w:p w14:paraId="329DC339" w14:textId="441B97E9" w:rsidR="00FC04A9" w:rsidRPr="00EF4250" w:rsidRDefault="00FC04A9" w:rsidP="003F539A">
      <w:pPr>
        <w:spacing w:after="0" w:line="276" w:lineRule="auto"/>
        <w:rPr>
          <w:rFonts w:cs="Times New Roman"/>
          <w:szCs w:val="20"/>
        </w:rPr>
      </w:pPr>
      <w:r w:rsidRPr="00EF4250">
        <w:rPr>
          <w:rFonts w:cs="Times New Roman"/>
          <w:szCs w:val="20"/>
        </w:rPr>
        <w:t xml:space="preserve">Data on the sex of individuals with non-medical use of opioids were unavailable at the community level. Accordingly, we relied on state-level data from NSDUH. For each opioid-use-related health state and each (US) state of the simulated communities (i.e., Massachusetts, New York, Ohio), we combined estimates from the 2016-2017 and 2017-2018 state-level data to obtain the best estimate of the sex distribution in 2017. The details for each health state are provided </w:t>
      </w:r>
      <w:r w:rsidR="00154468" w:rsidRPr="00EF4250">
        <w:rPr>
          <w:rFonts w:cs="Times New Roman"/>
          <w:szCs w:val="20"/>
        </w:rPr>
        <w:t>below,</w:t>
      </w:r>
      <w:r w:rsidRPr="00EF4250">
        <w:rPr>
          <w:rFonts w:cs="Times New Roman"/>
          <w:szCs w:val="20"/>
        </w:rPr>
        <w:t xml:space="preserve"> and the estimates are summarized in </w:t>
      </w:r>
      <w:r w:rsidR="00A87FBF" w:rsidRPr="00626C29">
        <w:rPr>
          <w:b/>
          <w:szCs w:val="20"/>
        </w:rPr>
        <w:t xml:space="preserve">Supplementary </w:t>
      </w:r>
      <w:r w:rsidRPr="00EF4250">
        <w:rPr>
          <w:rFonts w:cs="Times New Roman"/>
          <w:b/>
          <w:bCs/>
          <w:szCs w:val="20"/>
        </w:rPr>
        <w:t xml:space="preserve">Table </w:t>
      </w:r>
      <w:r w:rsidR="003F539A" w:rsidRPr="00EF4250">
        <w:rPr>
          <w:rFonts w:cs="Times New Roman"/>
          <w:b/>
          <w:bCs/>
          <w:szCs w:val="20"/>
        </w:rPr>
        <w:t>7</w:t>
      </w:r>
      <w:r w:rsidRPr="00EF4250">
        <w:rPr>
          <w:rFonts w:cs="Times New Roman"/>
          <w:szCs w:val="20"/>
        </w:rPr>
        <w:t xml:space="preserve">. </w:t>
      </w:r>
    </w:p>
    <w:p w14:paraId="004916A2" w14:textId="77777777" w:rsidR="003F539A" w:rsidRPr="00EF4250" w:rsidRDefault="003F539A" w:rsidP="003F539A">
      <w:pPr>
        <w:spacing w:after="0" w:line="276" w:lineRule="auto"/>
        <w:rPr>
          <w:rFonts w:cs="Times New Roman"/>
          <w:szCs w:val="20"/>
        </w:rPr>
      </w:pPr>
    </w:p>
    <w:p w14:paraId="695722F8" w14:textId="0CB34633" w:rsidR="00FC04A9" w:rsidRPr="00EF4250" w:rsidRDefault="00FC04A9" w:rsidP="003F539A">
      <w:pPr>
        <w:spacing w:after="0" w:line="276" w:lineRule="auto"/>
        <w:rPr>
          <w:rFonts w:cs="Times New Roman"/>
          <w:szCs w:val="20"/>
        </w:rPr>
      </w:pPr>
      <w:r w:rsidRPr="00EF4250">
        <w:rPr>
          <w:rFonts w:cs="Times New Roman"/>
          <w:i/>
          <w:iCs/>
          <w:szCs w:val="20"/>
        </w:rPr>
        <w:t>OUD state</w:t>
      </w:r>
      <w:r w:rsidRPr="00EF4250">
        <w:rPr>
          <w:rFonts w:cs="Times New Roman"/>
          <w:szCs w:val="20"/>
        </w:rPr>
        <w:t>: The distribution of the population</w:t>
      </w:r>
      <w:r w:rsidR="00930949" w:rsidRPr="00EF4250">
        <w:rPr>
          <w:rFonts w:cs="Times New Roman"/>
          <w:szCs w:val="20"/>
        </w:rPr>
        <w:t xml:space="preserve"> with OUD</w:t>
      </w:r>
      <w:r w:rsidRPr="00EF4250">
        <w:rPr>
          <w:rFonts w:cs="Times New Roman"/>
          <w:szCs w:val="20"/>
        </w:rPr>
        <w:t xml:space="preserve"> in 2017 by sex was obtained from the number reporting past year opioid dependence or abuse in the 2016-2017 and 2017-2018 state-level NSDUH data.</w:t>
      </w:r>
      <w:r w:rsidR="00B66CD4" w:rsidRPr="00EF4250">
        <w:rPr>
          <w:rFonts w:cs="Times New Roman"/>
          <w:szCs w:val="20"/>
        </w:rPr>
        <w:fldChar w:fldCharType="begin"/>
      </w:r>
      <w:r w:rsidR="009959E5">
        <w:rPr>
          <w:rFonts w:cs="Times New Roman"/>
          <w:szCs w:val="20"/>
        </w:rPr>
        <w:instrText xml:space="preserve"> ADDIN EN.CITE &lt;EndNote&gt;&lt;Cite&gt;&lt;Author&gt;Substance Abuse and Mental Health Services Administration (SAMHSA)&lt;/Author&gt;&lt;RecNum&gt;441&lt;/RecNum&gt;&lt;DisplayText&gt;&lt;style face="superscript"&gt;12,13&lt;/style&gt;&lt;/DisplayText&gt;&lt;record&gt;&lt;rec-number&gt;441&lt;/rec-number&gt;&lt;foreign-keys&gt;&lt;key app="EN" db-id="avtevdx5n99twqeadeupredtzeaatxdp5xsr" timestamp="1727801651"&gt;441&lt;/key&gt;&lt;/foreign-keys&gt;&lt;ref-type name="Web Page"&gt;12&lt;/ref-type&gt;&lt;contributors&gt;&lt;authors&gt;&lt;author&gt;Substance Abuse and Mental Health Services Administration (SAMHSA),,&lt;/author&gt;&lt;/authors&gt;&lt;/contributors&gt;&lt;titles&gt;&lt;title&gt;National survey on drug use and health: 2-year RDAS (2016 to 2017) [Data set]&lt;/title&gt;&lt;/titles&gt;&lt;volume&gt;2023&lt;/volume&gt;&lt;number&gt;Jan 17&lt;/number&gt;&lt;dates&gt;&lt;/dates&gt;&lt;publisher&gt;Substance Abuse and Mental Health Data Archive&lt;/publisher&gt;&lt;urls&gt;&lt;related-urls&gt;&lt;url&gt;https://rdas.samhsa.gov/#/survey/NSDUH-2016-2017-RD02YR&lt;/url&gt;&lt;/related-urls&gt;&lt;/urls&gt;&lt;/record&gt;&lt;/Cite&gt;&lt;Cite&gt;&lt;Author&gt;Substance Abuse and Mental Health Services Administration (SAMHSA)&lt;/Author&gt;&lt;RecNum&gt;442&lt;/RecNum&gt;&lt;record&gt;&lt;rec-number&gt;442&lt;/rec-number&gt;&lt;foreign-keys&gt;&lt;key app="EN" db-id="avtevdx5n99twqeadeupredtzeaatxdp5xsr" timestamp="1727801651"&gt;442&lt;/key&gt;&lt;/foreign-keys&gt;&lt;ref-type name="Web Page"&gt;12&lt;/ref-type&gt;&lt;contributors&gt;&lt;authors&gt;&lt;author&gt;Substance Abuse and Mental Health Services Administration (SAMHSA),,&lt;/author&gt;&lt;/authors&gt;&lt;/contributors&gt;&lt;titles&gt;&lt;title&gt;National survey on drug use and health: 2-year RDAS (2017 to 2018) [Data set]&lt;/title&gt;&lt;/titles&gt;&lt;volume&gt;2023&lt;/volume&gt;&lt;number&gt;Jan 17&lt;/number&gt;&lt;dates&gt;&lt;/dates&gt;&lt;publisher&gt;Substance Abuse and Mental Health Data Archive&lt;/publisher&gt;&lt;urls&gt;&lt;related-urls&gt;&lt;url&gt;https://rdas.samhsa.gov/#/survey/NSDUH-2017-2018-RD02YR&lt;/url&gt;&lt;/related-urls&gt;&lt;/urls&gt;&lt;/record&gt;&lt;/Cite&gt;&lt;/EndNote&gt;</w:instrText>
      </w:r>
      <w:r w:rsidR="00B66CD4" w:rsidRPr="00EF4250">
        <w:rPr>
          <w:rFonts w:cs="Times New Roman"/>
          <w:szCs w:val="20"/>
        </w:rPr>
        <w:fldChar w:fldCharType="separate"/>
      </w:r>
      <w:r w:rsidR="00B66CD4" w:rsidRPr="00EF4250">
        <w:rPr>
          <w:rFonts w:cs="Times New Roman"/>
          <w:noProof/>
          <w:szCs w:val="20"/>
          <w:vertAlign w:val="superscript"/>
        </w:rPr>
        <w:t>12,13</w:t>
      </w:r>
      <w:r w:rsidR="00B66CD4" w:rsidRPr="00EF4250">
        <w:rPr>
          <w:rFonts w:cs="Times New Roman"/>
          <w:szCs w:val="20"/>
        </w:rPr>
        <w:fldChar w:fldCharType="end"/>
      </w:r>
      <w:r w:rsidRPr="00EF4250">
        <w:rPr>
          <w:rFonts w:cs="Times New Roman"/>
          <w:szCs w:val="20"/>
        </w:rPr>
        <w:t xml:space="preserve"> </w:t>
      </w:r>
    </w:p>
    <w:p w14:paraId="2AD318DD" w14:textId="77777777" w:rsidR="00044E17" w:rsidRPr="00EF4250" w:rsidRDefault="00044E17" w:rsidP="003F539A">
      <w:pPr>
        <w:spacing w:after="0" w:line="276" w:lineRule="auto"/>
        <w:rPr>
          <w:rFonts w:cs="Times New Roman"/>
          <w:i/>
          <w:iCs/>
          <w:szCs w:val="20"/>
        </w:rPr>
      </w:pPr>
    </w:p>
    <w:p w14:paraId="4EE565F3" w14:textId="689F6E1A" w:rsidR="00FC04A9" w:rsidRPr="00EF4250" w:rsidRDefault="00FC04A9" w:rsidP="003F539A">
      <w:pPr>
        <w:spacing w:after="0" w:line="276" w:lineRule="auto"/>
        <w:rPr>
          <w:rFonts w:cs="Times New Roman"/>
          <w:szCs w:val="20"/>
        </w:rPr>
      </w:pPr>
      <w:r w:rsidRPr="00EF4250">
        <w:rPr>
          <w:rFonts w:cs="Times New Roman"/>
          <w:i/>
          <w:iCs/>
          <w:szCs w:val="20"/>
        </w:rPr>
        <w:t xml:space="preserve">Prescription </w:t>
      </w:r>
      <w:r w:rsidR="00174977" w:rsidRPr="00EF4250">
        <w:rPr>
          <w:rFonts w:cs="Times New Roman"/>
          <w:i/>
          <w:iCs/>
          <w:szCs w:val="20"/>
        </w:rPr>
        <w:t>O</w:t>
      </w:r>
      <w:r w:rsidRPr="00EF4250">
        <w:rPr>
          <w:rFonts w:cs="Times New Roman"/>
          <w:i/>
          <w:iCs/>
          <w:szCs w:val="20"/>
        </w:rPr>
        <w:t xml:space="preserve">pioid </w:t>
      </w:r>
      <w:r w:rsidR="00174977" w:rsidRPr="00EF4250">
        <w:rPr>
          <w:rFonts w:cs="Times New Roman"/>
          <w:i/>
          <w:iCs/>
          <w:szCs w:val="20"/>
        </w:rPr>
        <w:t>M</w:t>
      </w:r>
      <w:r w:rsidRPr="00EF4250">
        <w:rPr>
          <w:rFonts w:cs="Times New Roman"/>
          <w:i/>
          <w:iCs/>
          <w:szCs w:val="20"/>
        </w:rPr>
        <w:t xml:space="preserve">isuse </w:t>
      </w:r>
      <w:r w:rsidR="00174977" w:rsidRPr="00EF4250">
        <w:rPr>
          <w:rFonts w:cs="Times New Roman"/>
          <w:i/>
          <w:iCs/>
          <w:szCs w:val="20"/>
        </w:rPr>
        <w:t>O</w:t>
      </w:r>
      <w:r w:rsidRPr="00EF4250">
        <w:rPr>
          <w:rFonts w:cs="Times New Roman"/>
          <w:i/>
          <w:iCs/>
          <w:szCs w:val="20"/>
        </w:rPr>
        <w:t xml:space="preserve">nly (without </w:t>
      </w:r>
      <w:r w:rsidR="00174977" w:rsidRPr="00EF4250">
        <w:rPr>
          <w:rFonts w:cs="Times New Roman"/>
          <w:i/>
          <w:iCs/>
          <w:szCs w:val="20"/>
        </w:rPr>
        <w:t>I</w:t>
      </w:r>
      <w:r w:rsidRPr="00EF4250">
        <w:rPr>
          <w:rFonts w:cs="Times New Roman"/>
          <w:i/>
          <w:iCs/>
          <w:szCs w:val="20"/>
        </w:rPr>
        <w:t xml:space="preserve">llicit </w:t>
      </w:r>
      <w:r w:rsidR="00174977" w:rsidRPr="00EF4250">
        <w:rPr>
          <w:rFonts w:cs="Times New Roman"/>
          <w:i/>
          <w:iCs/>
          <w:szCs w:val="20"/>
        </w:rPr>
        <w:t>O</w:t>
      </w:r>
      <w:r w:rsidRPr="00EF4250">
        <w:rPr>
          <w:rFonts w:cs="Times New Roman"/>
          <w:i/>
          <w:iCs/>
          <w:szCs w:val="20"/>
        </w:rPr>
        <w:t xml:space="preserve">pioid </w:t>
      </w:r>
      <w:r w:rsidR="00174977" w:rsidRPr="00EF4250">
        <w:rPr>
          <w:rFonts w:cs="Times New Roman"/>
          <w:i/>
          <w:iCs/>
          <w:szCs w:val="20"/>
        </w:rPr>
        <w:t>U</w:t>
      </w:r>
      <w:r w:rsidRPr="00EF4250">
        <w:rPr>
          <w:rFonts w:cs="Times New Roman"/>
          <w:i/>
          <w:iCs/>
          <w:szCs w:val="20"/>
        </w:rPr>
        <w:t>se</w:t>
      </w:r>
      <w:r w:rsidRPr="00EF4250">
        <w:rPr>
          <w:rFonts w:cs="Times New Roman"/>
          <w:szCs w:val="20"/>
        </w:rPr>
        <w:t xml:space="preserve">) </w:t>
      </w:r>
      <w:r w:rsidRPr="00EF4250">
        <w:rPr>
          <w:rFonts w:cs="Times New Roman"/>
          <w:i/>
          <w:iCs/>
          <w:szCs w:val="20"/>
        </w:rPr>
        <w:t>state</w:t>
      </w:r>
      <w:r w:rsidRPr="00EF4250">
        <w:rPr>
          <w:rFonts w:cs="Times New Roman"/>
          <w:szCs w:val="20"/>
        </w:rPr>
        <w:t>: The sex distribution of the population that misuses prescription opioids only (without illicit opioid use) in 2017 was obtained from 2016-2017 and 2017-2018 state-level NSDUH data provided by the National Institute on Drug Abuse (NIDA); estimates for this particular group were unavailable from publicly available NSDUH state-level data.</w:t>
      </w:r>
    </w:p>
    <w:p w14:paraId="0F248A98" w14:textId="77777777" w:rsidR="003F539A" w:rsidRPr="00EF4250" w:rsidRDefault="003F539A" w:rsidP="003F539A">
      <w:pPr>
        <w:spacing w:after="0" w:line="276" w:lineRule="auto"/>
        <w:rPr>
          <w:rFonts w:cs="Times New Roman"/>
          <w:szCs w:val="20"/>
        </w:rPr>
      </w:pPr>
    </w:p>
    <w:p w14:paraId="5184FDA8" w14:textId="0AB30061" w:rsidR="00FC04A9" w:rsidRPr="00EF4250" w:rsidRDefault="00FC04A9" w:rsidP="003F539A">
      <w:pPr>
        <w:spacing w:after="0" w:line="276" w:lineRule="auto"/>
        <w:rPr>
          <w:rFonts w:cs="Times New Roman"/>
          <w:szCs w:val="20"/>
        </w:rPr>
      </w:pPr>
      <w:r w:rsidRPr="00EF4250">
        <w:rPr>
          <w:rFonts w:cs="Times New Roman"/>
          <w:i/>
          <w:iCs/>
          <w:szCs w:val="20"/>
        </w:rPr>
        <w:t xml:space="preserve">Illicit </w:t>
      </w:r>
      <w:r w:rsidR="00B91C13" w:rsidRPr="00EF4250">
        <w:rPr>
          <w:rFonts w:cs="Times New Roman"/>
          <w:i/>
          <w:iCs/>
          <w:szCs w:val="20"/>
        </w:rPr>
        <w:t>O</w:t>
      </w:r>
      <w:r w:rsidRPr="00EF4250">
        <w:rPr>
          <w:rFonts w:cs="Times New Roman"/>
          <w:i/>
          <w:iCs/>
          <w:szCs w:val="20"/>
        </w:rPr>
        <w:t xml:space="preserve">pioid </w:t>
      </w:r>
      <w:r w:rsidR="00B91C13" w:rsidRPr="00EF4250">
        <w:rPr>
          <w:rFonts w:cs="Times New Roman"/>
          <w:i/>
          <w:iCs/>
          <w:szCs w:val="20"/>
        </w:rPr>
        <w:t>U</w:t>
      </w:r>
      <w:r w:rsidRPr="00EF4250">
        <w:rPr>
          <w:rFonts w:cs="Times New Roman"/>
          <w:i/>
          <w:iCs/>
          <w:szCs w:val="20"/>
        </w:rPr>
        <w:t>se without OUD state</w:t>
      </w:r>
      <w:r w:rsidRPr="00EF4250">
        <w:rPr>
          <w:rFonts w:cs="Times New Roman"/>
          <w:szCs w:val="20"/>
        </w:rPr>
        <w:t xml:space="preserve">: The sex distribution of the population that uses illicit opioids without OUD in 2017 was unavailable from </w:t>
      </w:r>
      <w:r w:rsidR="00154468" w:rsidRPr="00EF4250">
        <w:rPr>
          <w:rFonts w:cs="Times New Roman"/>
          <w:szCs w:val="20"/>
        </w:rPr>
        <w:t>publicly available</w:t>
      </w:r>
      <w:r w:rsidRPr="00EF4250">
        <w:rPr>
          <w:rFonts w:cs="Times New Roman"/>
          <w:szCs w:val="20"/>
        </w:rPr>
        <w:t xml:space="preserve"> NSDUH state-level data. Due to small numbers, the estimates were also not available by special request from NIDA. Accordingly, we assumed that the sex distribution of the group of interest, those who use illicit opioids without OUD, would be the same as the sex distribution of individuals reporting past-year heroin use (i.e., with or without OUD); we estimated the latter from publicly available 2016-2017 and 2017-2018 NSDUH state-level data.</w:t>
      </w:r>
      <w:r w:rsidR="00DE723A" w:rsidRPr="00EF4250">
        <w:rPr>
          <w:rFonts w:cs="Times New Roman"/>
          <w:szCs w:val="20"/>
        </w:rPr>
        <w:fldChar w:fldCharType="begin"/>
      </w:r>
      <w:r w:rsidR="009959E5">
        <w:rPr>
          <w:rFonts w:cs="Times New Roman"/>
          <w:szCs w:val="20"/>
        </w:rPr>
        <w:instrText xml:space="preserve"> ADDIN EN.CITE &lt;EndNote&gt;&lt;Cite&gt;&lt;Author&gt;Substance Abuse and Mental Health Services Administration (SAMHSA)&lt;/Author&gt;&lt;RecNum&gt;441&lt;/RecNum&gt;&lt;DisplayText&gt;&lt;style face="superscript"&gt;12,13&lt;/style&gt;&lt;/DisplayText&gt;&lt;record&gt;&lt;rec-number&gt;441&lt;/rec-number&gt;&lt;foreign-keys&gt;&lt;key app="EN" db-id="avtevdx5n99twqeadeupredtzeaatxdp5xsr" timestamp="1727801651"&gt;441&lt;/key&gt;&lt;/foreign-keys&gt;&lt;ref-type name="Web Page"&gt;12&lt;/ref-type&gt;&lt;contributors&gt;&lt;authors&gt;&lt;author&gt;Substance Abuse and Mental Health Services Administration (SAMHSA),,&lt;/author&gt;&lt;/authors&gt;&lt;/contributors&gt;&lt;titles&gt;&lt;title&gt;National survey on drug use and health: 2-year RDAS (2016 to 2017) [Data set]&lt;/title&gt;&lt;/titles&gt;&lt;volume&gt;2023&lt;/volume&gt;&lt;number&gt;Jan 17&lt;/number&gt;&lt;dates&gt;&lt;/dates&gt;&lt;publisher&gt;Substance Abuse and Mental Health Data Archive&lt;/publisher&gt;&lt;urls&gt;&lt;related-urls&gt;&lt;url&gt;https://rdas.samhsa.gov/#/survey/NSDUH-2016-2017-RD02YR&lt;/url&gt;&lt;/related-urls&gt;&lt;/urls&gt;&lt;/record&gt;&lt;/Cite&gt;&lt;Cite&gt;&lt;Author&gt;Substance Abuse and Mental Health Services Administration (SAMHSA)&lt;/Author&gt;&lt;RecNum&gt;442&lt;/RecNum&gt;&lt;record&gt;&lt;rec-number&gt;442&lt;/rec-number&gt;&lt;foreign-keys&gt;&lt;key app="EN" db-id="avtevdx5n99twqeadeupredtzeaatxdp5xsr" timestamp="1727801651"&gt;442&lt;/key&gt;&lt;/foreign-keys&gt;&lt;ref-type name="Web Page"&gt;12&lt;/ref-type&gt;&lt;contributors&gt;&lt;authors&gt;&lt;author&gt;Substance Abuse and Mental Health Services Administration (SAMHSA),,&lt;/author&gt;&lt;/authors&gt;&lt;/contributors&gt;&lt;titles&gt;&lt;title&gt;National survey on drug use and health: 2-year RDAS (2017 to 2018) [Data set]&lt;/title&gt;&lt;/titles&gt;&lt;volume&gt;2023&lt;/volume&gt;&lt;number&gt;Jan 17&lt;/number&gt;&lt;dates&gt;&lt;/dates&gt;&lt;publisher&gt;Substance Abuse and Mental Health Data Archive&lt;/publisher&gt;&lt;urls&gt;&lt;related-urls&gt;&lt;url&gt;https://rdas.samhsa.gov/#/survey/NSDUH-2017-2018-RD02YR&lt;/url&gt;&lt;/related-urls&gt;&lt;/urls&gt;&lt;/record&gt;&lt;/Cite&gt;&lt;/EndNote&gt;</w:instrText>
      </w:r>
      <w:r w:rsidR="00DE723A" w:rsidRPr="00EF4250">
        <w:rPr>
          <w:rFonts w:cs="Times New Roman"/>
          <w:szCs w:val="20"/>
        </w:rPr>
        <w:fldChar w:fldCharType="separate"/>
      </w:r>
      <w:r w:rsidR="00DE723A" w:rsidRPr="00EF4250">
        <w:rPr>
          <w:rFonts w:cs="Times New Roman"/>
          <w:noProof/>
          <w:szCs w:val="20"/>
          <w:vertAlign w:val="superscript"/>
        </w:rPr>
        <w:t>12,13</w:t>
      </w:r>
      <w:r w:rsidR="00DE723A" w:rsidRPr="00EF4250">
        <w:rPr>
          <w:rFonts w:cs="Times New Roman"/>
          <w:szCs w:val="20"/>
        </w:rPr>
        <w:fldChar w:fldCharType="end"/>
      </w:r>
    </w:p>
    <w:p w14:paraId="760402D3" w14:textId="09D98879" w:rsidR="00FC04A9" w:rsidRPr="00EF4250" w:rsidRDefault="00A87FBF" w:rsidP="00154468">
      <w:pPr>
        <w:pStyle w:val="table-title"/>
        <w:ind w:left="0" w:firstLine="0"/>
        <w:rPr>
          <w:rFonts w:ascii="Times New Roman" w:hAnsi="Times New Roman"/>
          <w:szCs w:val="20"/>
        </w:rPr>
      </w:pPr>
      <w:r w:rsidRPr="00626C29">
        <w:rPr>
          <w:rFonts w:ascii="Times New Roman" w:hAnsi="Times New Roman"/>
          <w:b/>
          <w:szCs w:val="20"/>
        </w:rPr>
        <w:t xml:space="preserve">Supplementary </w:t>
      </w:r>
      <w:r w:rsidR="00FC04A9" w:rsidRPr="00EF4250">
        <w:rPr>
          <w:rFonts w:ascii="Times New Roman" w:hAnsi="Times New Roman"/>
          <w:b/>
          <w:szCs w:val="20"/>
        </w:rPr>
        <w:t xml:space="preserve">Table </w:t>
      </w:r>
      <w:r w:rsidR="003F539A" w:rsidRPr="00EF4250">
        <w:rPr>
          <w:rFonts w:ascii="Times New Roman" w:hAnsi="Times New Roman"/>
          <w:b/>
          <w:szCs w:val="20"/>
        </w:rPr>
        <w:t>7</w:t>
      </w:r>
      <w:r w:rsidR="00FC04A9" w:rsidRPr="00EF4250">
        <w:rPr>
          <w:rFonts w:ascii="Times New Roman" w:hAnsi="Times New Roman"/>
          <w:szCs w:val="20"/>
        </w:rPr>
        <w:t>.</w:t>
      </w:r>
      <w:r w:rsidR="00F92FB6">
        <w:rPr>
          <w:rFonts w:ascii="Times New Roman" w:hAnsi="Times New Roman"/>
          <w:szCs w:val="20"/>
        </w:rPr>
        <w:t xml:space="preserve"> </w:t>
      </w:r>
      <w:r w:rsidR="00FC04A9" w:rsidRPr="00EF4250">
        <w:rPr>
          <w:rFonts w:ascii="Times New Roman" w:hAnsi="Times New Roman"/>
          <w:szCs w:val="20"/>
        </w:rPr>
        <w:t xml:space="preserve">Estimated proportion of those with OUD, those who misuse prescription opioid without OUD, and those who use illicit opioids without OUD who are female in Massachusetts, New York, and Ohio in 2017. </w:t>
      </w:r>
    </w:p>
    <w:tbl>
      <w:tblPr>
        <w:tblW w:w="9360" w:type="dxa"/>
        <w:tblLayout w:type="fixed"/>
        <w:tblLook w:val="04A0" w:firstRow="1" w:lastRow="0" w:firstColumn="1" w:lastColumn="0" w:noHBand="0" w:noVBand="1"/>
      </w:tblPr>
      <w:tblGrid>
        <w:gridCol w:w="1260"/>
        <w:gridCol w:w="2700"/>
        <w:gridCol w:w="2700"/>
        <w:gridCol w:w="2700"/>
      </w:tblGrid>
      <w:tr w:rsidR="00FC04A9" w:rsidRPr="00D2239A" w14:paraId="22E24621" w14:textId="77777777" w:rsidTr="00342646">
        <w:trPr>
          <w:trHeight w:val="288"/>
        </w:trPr>
        <w:tc>
          <w:tcPr>
            <w:tcW w:w="1260" w:type="dxa"/>
            <w:tcBorders>
              <w:top w:val="single" w:sz="4" w:space="0" w:color="auto"/>
              <w:left w:val="nil"/>
              <w:right w:val="nil"/>
            </w:tcBorders>
            <w:tcMar>
              <w:left w:w="29" w:type="dxa"/>
              <w:right w:w="29" w:type="dxa"/>
            </w:tcMar>
            <w:vAlign w:val="center"/>
          </w:tcPr>
          <w:p w14:paraId="12ED4EF8" w14:textId="77777777" w:rsidR="00FC04A9" w:rsidRPr="00D2239A" w:rsidRDefault="00FC04A9" w:rsidP="00342646">
            <w:pPr>
              <w:keepNext/>
              <w:keepLines/>
              <w:spacing w:after="0" w:line="240" w:lineRule="auto"/>
              <w:ind w:right="-595"/>
              <w:jc w:val="center"/>
              <w:rPr>
                <w:rFonts w:eastAsia="Times New Roman" w:cs="Times New Roman"/>
                <w:sz w:val="18"/>
                <w:szCs w:val="18"/>
              </w:rPr>
            </w:pPr>
          </w:p>
        </w:tc>
        <w:tc>
          <w:tcPr>
            <w:tcW w:w="8100" w:type="dxa"/>
            <w:gridSpan w:val="3"/>
            <w:tcBorders>
              <w:top w:val="single" w:sz="4" w:space="0" w:color="auto"/>
              <w:left w:val="nil"/>
              <w:bottom w:val="single" w:sz="4" w:space="0" w:color="auto"/>
              <w:right w:val="nil"/>
            </w:tcBorders>
            <w:noWrap/>
            <w:tcMar>
              <w:left w:w="14" w:type="dxa"/>
              <w:right w:w="43" w:type="dxa"/>
            </w:tcMar>
            <w:vAlign w:val="center"/>
          </w:tcPr>
          <w:p w14:paraId="34FB2C61" w14:textId="77777777" w:rsidR="00FC04A9" w:rsidRPr="00D2239A" w:rsidRDefault="00FC04A9" w:rsidP="003B63DD">
            <w:pPr>
              <w:keepNext/>
              <w:keepLines/>
              <w:spacing w:after="0" w:line="240" w:lineRule="auto"/>
              <w:jc w:val="center"/>
              <w:rPr>
                <w:rFonts w:eastAsia="Times New Roman" w:cs="Times New Roman"/>
                <w:b/>
                <w:bCs/>
                <w:sz w:val="18"/>
                <w:szCs w:val="18"/>
              </w:rPr>
            </w:pPr>
            <w:r w:rsidRPr="00D2239A">
              <w:rPr>
                <w:rFonts w:eastAsia="Times New Roman" w:cs="Times New Roman"/>
                <w:b/>
                <w:bCs/>
                <w:sz w:val="18"/>
                <w:szCs w:val="18"/>
              </w:rPr>
              <w:t>Proportion female in 2017 by health state</w:t>
            </w:r>
          </w:p>
        </w:tc>
      </w:tr>
      <w:tr w:rsidR="00FC04A9" w:rsidRPr="00D2239A" w14:paraId="6D53A2AC" w14:textId="77777777" w:rsidTr="003F539A">
        <w:trPr>
          <w:trHeight w:val="432"/>
        </w:trPr>
        <w:tc>
          <w:tcPr>
            <w:tcW w:w="1260" w:type="dxa"/>
            <w:tcBorders>
              <w:left w:val="nil"/>
              <w:right w:val="nil"/>
            </w:tcBorders>
            <w:tcMar>
              <w:left w:w="29" w:type="dxa"/>
              <w:right w:w="29" w:type="dxa"/>
            </w:tcMar>
          </w:tcPr>
          <w:p w14:paraId="5DA91F00" w14:textId="77777777" w:rsidR="00FC04A9" w:rsidRPr="00D2239A" w:rsidRDefault="00FC04A9" w:rsidP="003F539A">
            <w:pPr>
              <w:keepNext/>
              <w:keepLines/>
              <w:spacing w:after="0" w:line="240" w:lineRule="auto"/>
              <w:ind w:right="-595"/>
              <w:rPr>
                <w:rFonts w:eastAsia="Times New Roman" w:cs="Times New Roman"/>
                <w:b/>
                <w:bCs/>
                <w:sz w:val="18"/>
                <w:szCs w:val="18"/>
              </w:rPr>
            </w:pPr>
            <w:r w:rsidRPr="00D2239A">
              <w:rPr>
                <w:rFonts w:eastAsia="Times New Roman" w:cs="Times New Roman"/>
                <w:b/>
                <w:bCs/>
                <w:sz w:val="18"/>
                <w:szCs w:val="18"/>
              </w:rPr>
              <w:t>State</w:t>
            </w:r>
          </w:p>
        </w:tc>
        <w:tc>
          <w:tcPr>
            <w:tcW w:w="2700" w:type="dxa"/>
            <w:tcBorders>
              <w:top w:val="single" w:sz="4" w:space="0" w:color="auto"/>
              <w:left w:val="nil"/>
              <w:bottom w:val="single" w:sz="4" w:space="0" w:color="auto"/>
              <w:right w:val="nil"/>
            </w:tcBorders>
            <w:noWrap/>
            <w:tcMar>
              <w:left w:w="14" w:type="dxa"/>
              <w:right w:w="43" w:type="dxa"/>
            </w:tcMar>
          </w:tcPr>
          <w:p w14:paraId="3C1739FD" w14:textId="77777777" w:rsidR="00FC04A9" w:rsidRPr="00D2239A" w:rsidRDefault="00FC04A9" w:rsidP="003F539A">
            <w:pPr>
              <w:keepNext/>
              <w:keepLines/>
              <w:spacing w:after="0" w:line="240" w:lineRule="auto"/>
              <w:jc w:val="center"/>
              <w:rPr>
                <w:rFonts w:eastAsia="Times New Roman" w:cs="Times New Roman"/>
                <w:b/>
                <w:bCs/>
                <w:sz w:val="18"/>
                <w:szCs w:val="18"/>
              </w:rPr>
            </w:pPr>
            <w:r w:rsidRPr="00D2239A">
              <w:rPr>
                <w:rFonts w:eastAsia="Times New Roman" w:cs="Times New Roman"/>
                <w:b/>
                <w:bCs/>
                <w:sz w:val="18"/>
                <w:szCs w:val="18"/>
              </w:rPr>
              <w:t>OUD</w:t>
            </w:r>
          </w:p>
        </w:tc>
        <w:tc>
          <w:tcPr>
            <w:tcW w:w="2700" w:type="dxa"/>
            <w:tcBorders>
              <w:top w:val="single" w:sz="4" w:space="0" w:color="auto"/>
              <w:left w:val="nil"/>
              <w:bottom w:val="single" w:sz="4" w:space="0" w:color="auto"/>
              <w:right w:val="nil"/>
            </w:tcBorders>
          </w:tcPr>
          <w:p w14:paraId="62186378" w14:textId="77777777" w:rsidR="00FC04A9" w:rsidRPr="00D2239A" w:rsidRDefault="00FC04A9" w:rsidP="003F539A">
            <w:pPr>
              <w:keepNext/>
              <w:keepLines/>
              <w:spacing w:after="0" w:line="240" w:lineRule="auto"/>
              <w:jc w:val="center"/>
              <w:rPr>
                <w:rFonts w:eastAsia="Times New Roman" w:cs="Times New Roman"/>
                <w:b/>
                <w:bCs/>
                <w:sz w:val="18"/>
                <w:szCs w:val="18"/>
              </w:rPr>
            </w:pPr>
            <w:r w:rsidRPr="00D2239A">
              <w:rPr>
                <w:rFonts w:eastAsia="Times New Roman" w:cs="Times New Roman"/>
                <w:b/>
                <w:bCs/>
                <w:sz w:val="18"/>
                <w:szCs w:val="18"/>
              </w:rPr>
              <w:t>Prescription opioid misuse without OUD</w:t>
            </w:r>
          </w:p>
        </w:tc>
        <w:tc>
          <w:tcPr>
            <w:tcW w:w="2700" w:type="dxa"/>
            <w:tcBorders>
              <w:top w:val="single" w:sz="4" w:space="0" w:color="auto"/>
              <w:left w:val="nil"/>
              <w:bottom w:val="single" w:sz="4" w:space="0" w:color="auto"/>
              <w:right w:val="nil"/>
            </w:tcBorders>
          </w:tcPr>
          <w:p w14:paraId="5CACD426" w14:textId="77777777" w:rsidR="00FC04A9" w:rsidRPr="00D2239A" w:rsidRDefault="00FC04A9" w:rsidP="003F539A">
            <w:pPr>
              <w:keepNext/>
              <w:keepLines/>
              <w:spacing w:after="0" w:line="240" w:lineRule="auto"/>
              <w:jc w:val="center"/>
              <w:rPr>
                <w:rFonts w:eastAsia="Times New Roman" w:cs="Times New Roman"/>
                <w:b/>
                <w:bCs/>
                <w:sz w:val="18"/>
                <w:szCs w:val="18"/>
              </w:rPr>
            </w:pPr>
            <w:r w:rsidRPr="00D2239A">
              <w:rPr>
                <w:rFonts w:eastAsia="Times New Roman" w:cs="Times New Roman"/>
                <w:b/>
                <w:bCs/>
                <w:sz w:val="18"/>
                <w:szCs w:val="18"/>
              </w:rPr>
              <w:t>Illicit opioid use without OUD</w:t>
            </w:r>
          </w:p>
        </w:tc>
      </w:tr>
      <w:tr w:rsidR="00FC04A9" w:rsidRPr="00D2239A" w14:paraId="4DD17EFE" w14:textId="77777777" w:rsidTr="00435936">
        <w:trPr>
          <w:trHeight w:val="288"/>
        </w:trPr>
        <w:tc>
          <w:tcPr>
            <w:tcW w:w="1260" w:type="dxa"/>
            <w:tcBorders>
              <w:top w:val="single" w:sz="4" w:space="0" w:color="auto"/>
              <w:left w:val="nil"/>
              <w:bottom w:val="nil"/>
              <w:right w:val="nil"/>
            </w:tcBorders>
            <w:tcMar>
              <w:left w:w="29" w:type="dxa"/>
              <w:right w:w="29" w:type="dxa"/>
            </w:tcMar>
            <w:vAlign w:val="center"/>
          </w:tcPr>
          <w:p w14:paraId="3C949DC4" w14:textId="77777777" w:rsidR="00FC04A9" w:rsidRPr="00D2239A" w:rsidRDefault="00FC04A9" w:rsidP="00435936">
            <w:pPr>
              <w:keepNext/>
              <w:keepLines/>
              <w:spacing w:after="0" w:line="240" w:lineRule="auto"/>
              <w:rPr>
                <w:rFonts w:eastAsia="Times New Roman" w:cs="Times New Roman"/>
                <w:sz w:val="18"/>
                <w:szCs w:val="18"/>
              </w:rPr>
            </w:pPr>
            <w:r w:rsidRPr="00D2239A">
              <w:rPr>
                <w:rFonts w:eastAsia="Times New Roman" w:cs="Times New Roman"/>
                <w:sz w:val="18"/>
                <w:szCs w:val="18"/>
              </w:rPr>
              <w:t>Massachusetts</w:t>
            </w:r>
          </w:p>
        </w:tc>
        <w:tc>
          <w:tcPr>
            <w:tcW w:w="2700" w:type="dxa"/>
            <w:tcBorders>
              <w:top w:val="single" w:sz="4" w:space="0" w:color="auto"/>
              <w:left w:val="nil"/>
              <w:bottom w:val="nil"/>
              <w:right w:val="nil"/>
            </w:tcBorders>
            <w:noWrap/>
            <w:tcMar>
              <w:left w:w="14" w:type="dxa"/>
              <w:right w:w="43" w:type="dxa"/>
            </w:tcMar>
            <w:vAlign w:val="center"/>
            <w:hideMark/>
          </w:tcPr>
          <w:p w14:paraId="2C7536A8" w14:textId="77777777" w:rsidR="00FC04A9" w:rsidRPr="00D2239A" w:rsidRDefault="00FC04A9" w:rsidP="00435936">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0.156</w:t>
            </w:r>
          </w:p>
        </w:tc>
        <w:tc>
          <w:tcPr>
            <w:tcW w:w="2700" w:type="dxa"/>
            <w:tcBorders>
              <w:top w:val="single" w:sz="4" w:space="0" w:color="auto"/>
              <w:left w:val="nil"/>
              <w:bottom w:val="nil"/>
              <w:right w:val="nil"/>
            </w:tcBorders>
            <w:vAlign w:val="center"/>
          </w:tcPr>
          <w:p w14:paraId="27BE8554" w14:textId="77777777" w:rsidR="00FC04A9" w:rsidRPr="00D2239A" w:rsidRDefault="00FC04A9" w:rsidP="00435936">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0.496</w:t>
            </w:r>
          </w:p>
        </w:tc>
        <w:tc>
          <w:tcPr>
            <w:tcW w:w="2700" w:type="dxa"/>
            <w:tcBorders>
              <w:top w:val="single" w:sz="4" w:space="0" w:color="auto"/>
              <w:left w:val="nil"/>
              <w:bottom w:val="nil"/>
              <w:right w:val="nil"/>
            </w:tcBorders>
            <w:vAlign w:val="center"/>
          </w:tcPr>
          <w:p w14:paraId="530DA721" w14:textId="77777777" w:rsidR="00FC04A9" w:rsidRPr="00D2239A" w:rsidRDefault="00FC04A9" w:rsidP="00435936">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0.342</w:t>
            </w:r>
          </w:p>
        </w:tc>
      </w:tr>
      <w:tr w:rsidR="00FC04A9" w:rsidRPr="00D2239A" w14:paraId="03B9F7DC" w14:textId="77777777" w:rsidTr="00435936">
        <w:trPr>
          <w:trHeight w:val="288"/>
        </w:trPr>
        <w:tc>
          <w:tcPr>
            <w:tcW w:w="1260" w:type="dxa"/>
            <w:tcBorders>
              <w:left w:val="nil"/>
              <w:bottom w:val="nil"/>
              <w:right w:val="nil"/>
            </w:tcBorders>
            <w:tcMar>
              <w:left w:w="29" w:type="dxa"/>
              <w:right w:w="29" w:type="dxa"/>
            </w:tcMar>
            <w:vAlign w:val="center"/>
          </w:tcPr>
          <w:p w14:paraId="7901C696" w14:textId="77777777" w:rsidR="00FC04A9" w:rsidRPr="00D2239A" w:rsidRDefault="00FC04A9" w:rsidP="00435936">
            <w:pPr>
              <w:keepNext/>
              <w:keepLines/>
              <w:spacing w:after="0" w:line="240" w:lineRule="auto"/>
              <w:rPr>
                <w:rFonts w:eastAsia="Times New Roman" w:cs="Times New Roman"/>
                <w:sz w:val="18"/>
                <w:szCs w:val="18"/>
              </w:rPr>
            </w:pPr>
            <w:r w:rsidRPr="00D2239A">
              <w:rPr>
                <w:rFonts w:eastAsia="Times New Roman" w:cs="Times New Roman"/>
                <w:sz w:val="18"/>
                <w:szCs w:val="18"/>
              </w:rPr>
              <w:t>New York</w:t>
            </w:r>
          </w:p>
        </w:tc>
        <w:tc>
          <w:tcPr>
            <w:tcW w:w="2700" w:type="dxa"/>
            <w:tcBorders>
              <w:left w:val="nil"/>
              <w:bottom w:val="nil"/>
              <w:right w:val="nil"/>
            </w:tcBorders>
            <w:noWrap/>
            <w:tcMar>
              <w:left w:w="14" w:type="dxa"/>
              <w:right w:w="43" w:type="dxa"/>
            </w:tcMar>
            <w:vAlign w:val="center"/>
          </w:tcPr>
          <w:p w14:paraId="542C7369" w14:textId="77777777" w:rsidR="00FC04A9" w:rsidRPr="00D2239A" w:rsidRDefault="00FC04A9" w:rsidP="00435936">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0.313</w:t>
            </w:r>
          </w:p>
        </w:tc>
        <w:tc>
          <w:tcPr>
            <w:tcW w:w="2700" w:type="dxa"/>
            <w:tcBorders>
              <w:left w:val="nil"/>
              <w:bottom w:val="nil"/>
              <w:right w:val="nil"/>
            </w:tcBorders>
            <w:vAlign w:val="center"/>
          </w:tcPr>
          <w:p w14:paraId="485453FE" w14:textId="77777777" w:rsidR="00FC04A9" w:rsidRPr="00D2239A" w:rsidRDefault="00FC04A9" w:rsidP="00435936">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0.505</w:t>
            </w:r>
          </w:p>
        </w:tc>
        <w:tc>
          <w:tcPr>
            <w:tcW w:w="2700" w:type="dxa"/>
            <w:tcBorders>
              <w:left w:val="nil"/>
              <w:bottom w:val="nil"/>
              <w:right w:val="nil"/>
            </w:tcBorders>
            <w:vAlign w:val="center"/>
          </w:tcPr>
          <w:p w14:paraId="662710BC" w14:textId="77777777" w:rsidR="00FC04A9" w:rsidRPr="00D2239A" w:rsidRDefault="00FC04A9" w:rsidP="00435936">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0.273</w:t>
            </w:r>
          </w:p>
        </w:tc>
      </w:tr>
      <w:tr w:rsidR="00FC04A9" w:rsidRPr="00D2239A" w14:paraId="7C34834D" w14:textId="77777777" w:rsidTr="00435936">
        <w:trPr>
          <w:trHeight w:val="288"/>
        </w:trPr>
        <w:tc>
          <w:tcPr>
            <w:tcW w:w="1260" w:type="dxa"/>
            <w:tcBorders>
              <w:top w:val="nil"/>
              <w:left w:val="nil"/>
              <w:bottom w:val="single" w:sz="4" w:space="0" w:color="auto"/>
              <w:right w:val="nil"/>
            </w:tcBorders>
            <w:tcMar>
              <w:left w:w="29" w:type="dxa"/>
              <w:right w:w="29" w:type="dxa"/>
            </w:tcMar>
            <w:vAlign w:val="center"/>
          </w:tcPr>
          <w:p w14:paraId="10665431" w14:textId="77777777" w:rsidR="00FC04A9" w:rsidRPr="00D2239A" w:rsidRDefault="00FC04A9" w:rsidP="00435936">
            <w:pPr>
              <w:keepNext/>
              <w:keepLines/>
              <w:spacing w:after="0" w:line="240" w:lineRule="auto"/>
              <w:rPr>
                <w:rFonts w:eastAsia="Times New Roman" w:cs="Times New Roman"/>
                <w:sz w:val="18"/>
                <w:szCs w:val="18"/>
              </w:rPr>
            </w:pPr>
            <w:r w:rsidRPr="00D2239A">
              <w:rPr>
                <w:rFonts w:eastAsia="Times New Roman" w:cs="Times New Roman"/>
                <w:sz w:val="18"/>
                <w:szCs w:val="18"/>
              </w:rPr>
              <w:t>Ohio</w:t>
            </w:r>
          </w:p>
        </w:tc>
        <w:tc>
          <w:tcPr>
            <w:tcW w:w="2700" w:type="dxa"/>
            <w:tcBorders>
              <w:top w:val="nil"/>
              <w:left w:val="nil"/>
              <w:bottom w:val="single" w:sz="4" w:space="0" w:color="auto"/>
              <w:right w:val="nil"/>
            </w:tcBorders>
            <w:noWrap/>
            <w:tcMar>
              <w:left w:w="14" w:type="dxa"/>
              <w:right w:w="43" w:type="dxa"/>
            </w:tcMar>
            <w:vAlign w:val="center"/>
            <w:hideMark/>
          </w:tcPr>
          <w:p w14:paraId="40B8A827" w14:textId="77777777" w:rsidR="00FC04A9" w:rsidRPr="00D2239A" w:rsidRDefault="00FC04A9" w:rsidP="00435936">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0.374</w:t>
            </w:r>
          </w:p>
        </w:tc>
        <w:tc>
          <w:tcPr>
            <w:tcW w:w="2700" w:type="dxa"/>
            <w:tcBorders>
              <w:top w:val="nil"/>
              <w:left w:val="nil"/>
              <w:bottom w:val="single" w:sz="4" w:space="0" w:color="auto"/>
              <w:right w:val="nil"/>
            </w:tcBorders>
            <w:vAlign w:val="center"/>
          </w:tcPr>
          <w:p w14:paraId="0717BD88" w14:textId="77777777" w:rsidR="00FC04A9" w:rsidRPr="00D2239A" w:rsidRDefault="00FC04A9" w:rsidP="00435936">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0.458</w:t>
            </w:r>
          </w:p>
        </w:tc>
        <w:tc>
          <w:tcPr>
            <w:tcW w:w="2700" w:type="dxa"/>
            <w:tcBorders>
              <w:top w:val="nil"/>
              <w:left w:val="nil"/>
              <w:bottom w:val="single" w:sz="4" w:space="0" w:color="auto"/>
              <w:right w:val="nil"/>
            </w:tcBorders>
            <w:vAlign w:val="center"/>
          </w:tcPr>
          <w:p w14:paraId="34CECA52" w14:textId="77777777" w:rsidR="00FC04A9" w:rsidRPr="00D2239A" w:rsidRDefault="00FC04A9" w:rsidP="00435936">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0.324</w:t>
            </w:r>
          </w:p>
        </w:tc>
      </w:tr>
    </w:tbl>
    <w:p w14:paraId="059E272C" w14:textId="77777777" w:rsidR="00FC04A9" w:rsidRPr="00D2239A" w:rsidRDefault="00FC04A9" w:rsidP="00FC04A9">
      <w:pPr>
        <w:spacing w:after="0" w:line="276" w:lineRule="auto"/>
        <w:rPr>
          <w:rFonts w:cs="Times New Roman"/>
          <w:sz w:val="22"/>
          <w:szCs w:val="22"/>
        </w:rPr>
      </w:pPr>
    </w:p>
    <w:p w14:paraId="1F5182C0" w14:textId="77777777" w:rsidR="00FC04A9" w:rsidRPr="00EF4250" w:rsidRDefault="00FC04A9" w:rsidP="00FC04A9">
      <w:pPr>
        <w:spacing w:after="120" w:line="276" w:lineRule="auto"/>
        <w:rPr>
          <w:rFonts w:cs="Times New Roman"/>
          <w:i/>
          <w:iCs/>
          <w:szCs w:val="20"/>
          <w:u w:val="single"/>
        </w:rPr>
      </w:pPr>
      <w:r w:rsidRPr="00EF4250">
        <w:rPr>
          <w:rFonts w:cs="Times New Roman"/>
          <w:i/>
          <w:iCs/>
          <w:szCs w:val="20"/>
          <w:u w:val="single"/>
        </w:rPr>
        <w:t>Age distributions</w:t>
      </w:r>
    </w:p>
    <w:p w14:paraId="1511C955" w14:textId="1191AF31" w:rsidR="00FC04A9" w:rsidRPr="00EF4250" w:rsidRDefault="00FC04A9" w:rsidP="003F539A">
      <w:pPr>
        <w:spacing w:after="0" w:line="276" w:lineRule="auto"/>
        <w:rPr>
          <w:rFonts w:cs="Times New Roman"/>
          <w:szCs w:val="20"/>
        </w:rPr>
      </w:pPr>
      <w:r w:rsidRPr="00EF4250">
        <w:rPr>
          <w:rFonts w:cs="Times New Roman"/>
          <w:szCs w:val="20"/>
        </w:rPr>
        <w:t xml:space="preserve">Similar to data on the distribution by sex, data on the age group of individuals with non-medical use of opioids were unavailable at the community level. We largely relied on data from NSDUH to inform these distributions for each opioid-use-related health state and each (US) state of the simulated communities (i.e., Massachusetts, New York, Ohio), combining estimates from the 2016-2017 and 2017-2018 state-level data to obtain the best estimate of the age distribution in 2017. The details for each health state are provided </w:t>
      </w:r>
      <w:r w:rsidR="00154468" w:rsidRPr="00EF4250">
        <w:rPr>
          <w:rFonts w:cs="Times New Roman"/>
          <w:szCs w:val="20"/>
        </w:rPr>
        <w:t>below,</w:t>
      </w:r>
      <w:r w:rsidRPr="00EF4250">
        <w:rPr>
          <w:rFonts w:cs="Times New Roman"/>
          <w:szCs w:val="20"/>
        </w:rPr>
        <w:t xml:space="preserve"> and the estimates are summarized in </w:t>
      </w:r>
      <w:r w:rsidR="00A87FBF" w:rsidRPr="00626C29">
        <w:rPr>
          <w:b/>
          <w:szCs w:val="20"/>
        </w:rPr>
        <w:t xml:space="preserve">Supplementary </w:t>
      </w:r>
      <w:r w:rsidRPr="00EF4250">
        <w:rPr>
          <w:rFonts w:cs="Times New Roman"/>
          <w:b/>
          <w:bCs/>
          <w:szCs w:val="20"/>
        </w:rPr>
        <w:t>Table</w:t>
      </w:r>
      <w:r w:rsidR="003F539A" w:rsidRPr="00EF4250">
        <w:rPr>
          <w:rFonts w:cs="Times New Roman"/>
          <w:b/>
          <w:bCs/>
          <w:szCs w:val="20"/>
        </w:rPr>
        <w:t>s</w:t>
      </w:r>
      <w:r w:rsidRPr="00EF4250">
        <w:rPr>
          <w:rFonts w:cs="Times New Roman"/>
          <w:b/>
          <w:bCs/>
          <w:szCs w:val="20"/>
        </w:rPr>
        <w:t xml:space="preserve"> </w:t>
      </w:r>
      <w:r w:rsidR="003F539A" w:rsidRPr="00EF4250">
        <w:rPr>
          <w:rFonts w:cs="Times New Roman"/>
          <w:b/>
          <w:bCs/>
          <w:szCs w:val="20"/>
        </w:rPr>
        <w:t>8</w:t>
      </w:r>
      <w:r w:rsidR="00A87FBF">
        <w:rPr>
          <w:rFonts w:cs="Times New Roman"/>
          <w:b/>
          <w:bCs/>
          <w:szCs w:val="20"/>
        </w:rPr>
        <w:t xml:space="preserve"> – </w:t>
      </w:r>
      <w:r w:rsidR="003F539A" w:rsidRPr="00EF4250">
        <w:rPr>
          <w:rFonts w:cs="Times New Roman"/>
          <w:b/>
          <w:bCs/>
          <w:szCs w:val="20"/>
        </w:rPr>
        <w:t>10</w:t>
      </w:r>
      <w:r w:rsidRPr="00EF4250">
        <w:rPr>
          <w:rFonts w:cs="Times New Roman"/>
          <w:b/>
          <w:bCs/>
          <w:szCs w:val="20"/>
        </w:rPr>
        <w:t xml:space="preserve"> </w:t>
      </w:r>
      <w:r w:rsidRPr="00EF4250">
        <w:rPr>
          <w:rFonts w:cs="Times New Roman"/>
          <w:szCs w:val="20"/>
        </w:rPr>
        <w:t>below.</w:t>
      </w:r>
    </w:p>
    <w:p w14:paraId="700786BB" w14:textId="77777777" w:rsidR="003F539A" w:rsidRPr="00EF4250" w:rsidRDefault="003F539A" w:rsidP="003F539A">
      <w:pPr>
        <w:spacing w:after="0" w:line="276" w:lineRule="auto"/>
        <w:rPr>
          <w:rFonts w:cs="Times New Roman"/>
          <w:szCs w:val="20"/>
        </w:rPr>
      </w:pPr>
    </w:p>
    <w:p w14:paraId="66658397" w14:textId="67BA30A7" w:rsidR="00FC04A9" w:rsidRPr="00EF4250" w:rsidRDefault="00FC04A9" w:rsidP="003F539A">
      <w:pPr>
        <w:spacing w:after="0" w:line="276" w:lineRule="auto"/>
        <w:rPr>
          <w:rFonts w:cs="Times New Roman"/>
          <w:szCs w:val="20"/>
        </w:rPr>
      </w:pPr>
      <w:r w:rsidRPr="00EF4250">
        <w:rPr>
          <w:rFonts w:cs="Times New Roman"/>
          <w:i/>
          <w:iCs/>
          <w:szCs w:val="20"/>
        </w:rPr>
        <w:t>OUD state</w:t>
      </w:r>
      <w:r w:rsidRPr="00EF4250">
        <w:rPr>
          <w:rFonts w:cs="Times New Roman"/>
          <w:szCs w:val="20"/>
        </w:rPr>
        <w:t>:</w:t>
      </w:r>
      <w:r w:rsidRPr="00EF4250">
        <w:rPr>
          <w:rFonts w:cs="Times New Roman"/>
          <w:i/>
          <w:iCs/>
          <w:szCs w:val="20"/>
        </w:rPr>
        <w:t xml:space="preserve"> </w:t>
      </w:r>
      <w:r w:rsidRPr="00EF4250">
        <w:rPr>
          <w:rFonts w:cs="Times New Roman"/>
          <w:szCs w:val="20"/>
        </w:rPr>
        <w:t xml:space="preserve">As described in section </w:t>
      </w:r>
      <w:r w:rsidR="00A87FBF" w:rsidRPr="00626C29">
        <w:rPr>
          <w:b/>
          <w:szCs w:val="20"/>
        </w:rPr>
        <w:t>Supplement</w:t>
      </w:r>
      <w:r w:rsidR="00A87FBF">
        <w:rPr>
          <w:b/>
          <w:szCs w:val="20"/>
        </w:rPr>
        <w:t xml:space="preserve"> </w:t>
      </w:r>
      <w:r w:rsidRPr="00EF4250">
        <w:rPr>
          <w:rFonts w:cs="Times New Roman"/>
          <w:b/>
          <w:bCs/>
          <w:szCs w:val="20"/>
        </w:rPr>
        <w:t>1.2.1</w:t>
      </w:r>
      <w:r w:rsidRPr="00EF4250">
        <w:rPr>
          <w:rFonts w:cs="Times New Roman"/>
          <w:szCs w:val="20"/>
        </w:rPr>
        <w:t>, we derived estimates of the number of people in each community with OUD for the following age groups: 12-17 years, 18-64 years, and 65 years and older. From these estimates, we estimated a community-specific distribution of the population</w:t>
      </w:r>
      <w:r w:rsidR="00F46400" w:rsidRPr="00EF4250">
        <w:rPr>
          <w:rFonts w:cs="Times New Roman"/>
          <w:szCs w:val="20"/>
        </w:rPr>
        <w:t xml:space="preserve"> with OUD</w:t>
      </w:r>
      <w:r w:rsidRPr="00EF4250">
        <w:rPr>
          <w:rFonts w:cs="Times New Roman"/>
          <w:szCs w:val="20"/>
        </w:rPr>
        <w:t xml:space="preserve"> by age group. Because the middle age group spanned a large age group (i.e., 18-64 years), we used state-level data from the 2016-2017 and 2017-2018 state-level NSDUH reports</w:t>
      </w:r>
      <w:r w:rsidR="00943EE6" w:rsidRPr="00EF4250">
        <w:rPr>
          <w:rFonts w:cs="Times New Roman"/>
          <w:szCs w:val="20"/>
        </w:rPr>
        <w:fldChar w:fldCharType="begin"/>
      </w:r>
      <w:r w:rsidR="009959E5">
        <w:rPr>
          <w:rFonts w:cs="Times New Roman"/>
          <w:szCs w:val="20"/>
        </w:rPr>
        <w:instrText xml:space="preserve"> ADDIN EN.CITE &lt;EndNote&gt;&lt;Cite&gt;&lt;Author&gt;Substance Abuse and Mental Health Services Administration (SAMHSA)&lt;/Author&gt;&lt;RecNum&gt;441&lt;/RecNum&gt;&lt;DisplayText&gt;&lt;style face="superscript"&gt;12,13&lt;/style&gt;&lt;/DisplayText&gt;&lt;record&gt;&lt;rec-number&gt;441&lt;/rec-number&gt;&lt;foreign-keys&gt;&lt;key app="EN" db-id="avtevdx5n99twqeadeupredtzeaatxdp5xsr" timestamp="1727801651"&gt;441&lt;/key&gt;&lt;/foreign-keys&gt;&lt;ref-type name="Web Page"&gt;12&lt;/ref-type&gt;&lt;contributors&gt;&lt;authors&gt;&lt;author&gt;Substance Abuse and Mental Health Services Administration (SAMHSA),,&lt;/author&gt;&lt;/authors&gt;&lt;/contributors&gt;&lt;titles&gt;&lt;title&gt;National survey on drug use and health: 2-year RDAS (2016 to 2017) [Data set]&lt;/title&gt;&lt;/titles&gt;&lt;volume&gt;2023&lt;/volume&gt;&lt;number&gt;Jan 17&lt;/number&gt;&lt;dates&gt;&lt;/dates&gt;&lt;publisher&gt;Substance Abuse and Mental Health Data Archive&lt;/publisher&gt;&lt;urls&gt;&lt;related-urls&gt;&lt;url&gt;https://rdas.samhsa.gov/#/survey/NSDUH-2016-2017-RD02YR&lt;/url&gt;&lt;/related-urls&gt;&lt;/urls&gt;&lt;/record&gt;&lt;/Cite&gt;&lt;Cite&gt;&lt;Author&gt;Substance Abuse and Mental Health Services Administration (SAMHSA)&lt;/Author&gt;&lt;RecNum&gt;442&lt;/RecNum&gt;&lt;record&gt;&lt;rec-number&gt;442&lt;/rec-number&gt;&lt;foreign-keys&gt;&lt;key app="EN" db-id="avtevdx5n99twqeadeupredtzeaatxdp5xsr" timestamp="1727801651"&gt;442&lt;/key&gt;&lt;/foreign-keys&gt;&lt;ref-type name="Web Page"&gt;12&lt;/ref-type&gt;&lt;contributors&gt;&lt;authors&gt;&lt;author&gt;Substance Abuse and Mental Health Services Administration (SAMHSA),,&lt;/author&gt;&lt;/authors&gt;&lt;/contributors&gt;&lt;titles&gt;&lt;title&gt;National survey on drug use and health: 2-year RDAS (2017 to 2018) [Data set]&lt;/title&gt;&lt;/titles&gt;&lt;volume&gt;2023&lt;/volume&gt;&lt;number&gt;Jan 17&lt;/number&gt;&lt;dates&gt;&lt;/dates&gt;&lt;publisher&gt;Substance Abuse and Mental Health Data Archive&lt;/publisher&gt;&lt;urls&gt;&lt;related-urls&gt;&lt;url&gt;https://rdas.samhsa.gov/#/survey/NSDUH-2017-2018-RD02YR&lt;/url&gt;&lt;/related-urls&gt;&lt;/urls&gt;&lt;/record&gt;&lt;/Cite&gt;&lt;/EndNote&gt;</w:instrText>
      </w:r>
      <w:r w:rsidR="00943EE6" w:rsidRPr="00EF4250">
        <w:rPr>
          <w:rFonts w:cs="Times New Roman"/>
          <w:szCs w:val="20"/>
        </w:rPr>
        <w:fldChar w:fldCharType="separate"/>
      </w:r>
      <w:r w:rsidR="00943EE6" w:rsidRPr="00EF4250">
        <w:rPr>
          <w:rFonts w:cs="Times New Roman"/>
          <w:noProof/>
          <w:szCs w:val="20"/>
          <w:vertAlign w:val="superscript"/>
        </w:rPr>
        <w:t>12,13</w:t>
      </w:r>
      <w:r w:rsidR="00943EE6" w:rsidRPr="00EF4250">
        <w:rPr>
          <w:rFonts w:cs="Times New Roman"/>
          <w:szCs w:val="20"/>
        </w:rPr>
        <w:fldChar w:fldCharType="end"/>
      </w:r>
      <w:r w:rsidRPr="00EF4250">
        <w:rPr>
          <w:rFonts w:cs="Times New Roman"/>
          <w:szCs w:val="20"/>
        </w:rPr>
        <w:t xml:space="preserve"> to estimate the distribution by smaller age groups with</w:t>
      </w:r>
      <w:r w:rsidR="00E1782C" w:rsidRPr="00EF4250">
        <w:rPr>
          <w:rFonts w:cs="Times New Roman"/>
          <w:szCs w:val="20"/>
        </w:rPr>
        <w:t>in</w:t>
      </w:r>
      <w:r w:rsidRPr="00EF4250">
        <w:rPr>
          <w:rFonts w:cs="Times New Roman"/>
          <w:szCs w:val="20"/>
        </w:rPr>
        <w:t xml:space="preserve"> the 18-64 age range. The resulting age distributions are shown in </w:t>
      </w:r>
      <w:r w:rsidR="00A87FBF" w:rsidRPr="00626C29">
        <w:rPr>
          <w:b/>
          <w:szCs w:val="20"/>
        </w:rPr>
        <w:t xml:space="preserve">Supplementary </w:t>
      </w:r>
      <w:r w:rsidRPr="00EF4250">
        <w:rPr>
          <w:rFonts w:cs="Times New Roman"/>
          <w:b/>
          <w:bCs/>
          <w:szCs w:val="20"/>
        </w:rPr>
        <w:t>Table</w:t>
      </w:r>
      <w:r w:rsidR="00A87FBF">
        <w:rPr>
          <w:rFonts w:cs="Times New Roman"/>
          <w:b/>
          <w:bCs/>
          <w:szCs w:val="20"/>
        </w:rPr>
        <w:t xml:space="preserve"> </w:t>
      </w:r>
      <w:r w:rsidR="003F539A" w:rsidRPr="00EF4250">
        <w:rPr>
          <w:rFonts w:cs="Times New Roman"/>
          <w:b/>
          <w:bCs/>
          <w:szCs w:val="20"/>
        </w:rPr>
        <w:t>8</w:t>
      </w:r>
      <w:r w:rsidRPr="00EF4250">
        <w:rPr>
          <w:rFonts w:cs="Times New Roman"/>
          <w:szCs w:val="20"/>
        </w:rPr>
        <w:t xml:space="preserve">. </w:t>
      </w:r>
    </w:p>
    <w:p w14:paraId="5F761D28" w14:textId="02758262" w:rsidR="00FC04A9" w:rsidRPr="00EF4250" w:rsidRDefault="00A87FBF" w:rsidP="00154468">
      <w:pPr>
        <w:pStyle w:val="table-title"/>
        <w:ind w:left="0" w:firstLine="0"/>
        <w:rPr>
          <w:rFonts w:ascii="Times New Roman" w:hAnsi="Times New Roman"/>
          <w:szCs w:val="20"/>
        </w:rPr>
      </w:pPr>
      <w:r w:rsidRPr="00626C29">
        <w:rPr>
          <w:rFonts w:ascii="Times New Roman" w:hAnsi="Times New Roman"/>
          <w:b/>
          <w:szCs w:val="20"/>
        </w:rPr>
        <w:lastRenderedPageBreak/>
        <w:t xml:space="preserve">Supplementary </w:t>
      </w:r>
      <w:r w:rsidR="00FC04A9" w:rsidRPr="00EF4250">
        <w:rPr>
          <w:rFonts w:ascii="Times New Roman" w:hAnsi="Times New Roman"/>
          <w:b/>
          <w:szCs w:val="20"/>
        </w:rPr>
        <w:t xml:space="preserve">Table </w:t>
      </w:r>
      <w:r w:rsidR="003F539A" w:rsidRPr="00EF4250">
        <w:rPr>
          <w:rFonts w:ascii="Times New Roman" w:hAnsi="Times New Roman"/>
          <w:b/>
          <w:szCs w:val="20"/>
        </w:rPr>
        <w:t>8</w:t>
      </w:r>
      <w:r w:rsidR="00FC04A9" w:rsidRPr="00EF4250">
        <w:rPr>
          <w:rFonts w:ascii="Times New Roman" w:hAnsi="Times New Roman"/>
          <w:szCs w:val="20"/>
        </w:rPr>
        <w:t xml:space="preserve">. Estimated distribution of populations </w:t>
      </w:r>
      <w:r w:rsidR="00A34D8A" w:rsidRPr="00EF4250">
        <w:rPr>
          <w:rFonts w:ascii="Times New Roman" w:hAnsi="Times New Roman"/>
          <w:szCs w:val="20"/>
        </w:rPr>
        <w:t xml:space="preserve">with OUD </w:t>
      </w:r>
      <w:r w:rsidR="00FC04A9" w:rsidRPr="00EF4250">
        <w:rPr>
          <w:rFonts w:ascii="Times New Roman" w:hAnsi="Times New Roman"/>
          <w:szCs w:val="20"/>
        </w:rPr>
        <w:t xml:space="preserve">in Massachusetts, New York, and Ohio in 2017 by age group. </w:t>
      </w:r>
    </w:p>
    <w:tbl>
      <w:tblPr>
        <w:tblW w:w="9360" w:type="dxa"/>
        <w:tblLayout w:type="fixed"/>
        <w:tblLook w:val="04A0" w:firstRow="1" w:lastRow="0" w:firstColumn="1" w:lastColumn="0" w:noHBand="0" w:noVBand="1"/>
      </w:tblPr>
      <w:tblGrid>
        <w:gridCol w:w="1260"/>
        <w:gridCol w:w="720"/>
        <w:gridCol w:w="1687"/>
        <w:gridCol w:w="1688"/>
        <w:gridCol w:w="1687"/>
        <w:gridCol w:w="1688"/>
        <w:gridCol w:w="624"/>
        <w:gridCol w:w="6"/>
      </w:tblGrid>
      <w:tr w:rsidR="00FC04A9" w:rsidRPr="00D2239A" w14:paraId="57A09319" w14:textId="77777777" w:rsidTr="00342646">
        <w:trPr>
          <w:gridAfter w:val="1"/>
          <w:wAfter w:w="6" w:type="dxa"/>
          <w:trHeight w:val="288"/>
        </w:trPr>
        <w:tc>
          <w:tcPr>
            <w:tcW w:w="1260" w:type="dxa"/>
            <w:tcBorders>
              <w:top w:val="single" w:sz="4" w:space="0" w:color="auto"/>
              <w:left w:val="nil"/>
              <w:right w:val="nil"/>
            </w:tcBorders>
            <w:tcMar>
              <w:left w:w="29" w:type="dxa"/>
              <w:right w:w="29" w:type="dxa"/>
            </w:tcMar>
            <w:vAlign w:val="center"/>
          </w:tcPr>
          <w:p w14:paraId="5149778C" w14:textId="77777777" w:rsidR="00FC04A9" w:rsidRPr="00D2239A" w:rsidRDefault="00FC04A9" w:rsidP="00435936">
            <w:pPr>
              <w:keepNext/>
              <w:keepLines/>
              <w:spacing w:after="0" w:line="240" w:lineRule="auto"/>
              <w:ind w:right="-595"/>
              <w:rPr>
                <w:rFonts w:eastAsia="Times New Roman" w:cs="Times New Roman"/>
                <w:sz w:val="18"/>
                <w:szCs w:val="18"/>
              </w:rPr>
            </w:pPr>
          </w:p>
        </w:tc>
        <w:tc>
          <w:tcPr>
            <w:tcW w:w="8094" w:type="dxa"/>
            <w:gridSpan w:val="6"/>
            <w:tcBorders>
              <w:top w:val="single" w:sz="4" w:space="0" w:color="auto"/>
              <w:left w:val="nil"/>
              <w:right w:val="nil"/>
            </w:tcBorders>
            <w:vAlign w:val="center"/>
          </w:tcPr>
          <w:p w14:paraId="0A7C24E8" w14:textId="68984709" w:rsidR="00FC04A9" w:rsidRPr="00D2239A" w:rsidRDefault="00FC04A9" w:rsidP="00435936">
            <w:pPr>
              <w:keepNext/>
              <w:keepLines/>
              <w:spacing w:after="0" w:line="240" w:lineRule="auto"/>
              <w:jc w:val="center"/>
              <w:rPr>
                <w:rFonts w:eastAsia="Times New Roman" w:cs="Times New Roman"/>
                <w:b/>
                <w:bCs/>
                <w:sz w:val="18"/>
                <w:szCs w:val="18"/>
              </w:rPr>
            </w:pPr>
            <w:r w:rsidRPr="00D2239A">
              <w:rPr>
                <w:rFonts w:eastAsia="Times New Roman" w:cs="Times New Roman"/>
                <w:b/>
                <w:bCs/>
                <w:sz w:val="18"/>
                <w:szCs w:val="18"/>
              </w:rPr>
              <w:t>Proportion by age group</w:t>
            </w:r>
          </w:p>
        </w:tc>
      </w:tr>
      <w:tr w:rsidR="00FC04A9" w:rsidRPr="00D2239A" w14:paraId="7532005B" w14:textId="77777777" w:rsidTr="00435936">
        <w:trPr>
          <w:trHeight w:val="432"/>
        </w:trPr>
        <w:tc>
          <w:tcPr>
            <w:tcW w:w="1260" w:type="dxa"/>
            <w:tcBorders>
              <w:left w:val="nil"/>
              <w:right w:val="nil"/>
            </w:tcBorders>
            <w:tcMar>
              <w:left w:w="29" w:type="dxa"/>
              <w:right w:w="29" w:type="dxa"/>
            </w:tcMar>
            <w:vAlign w:val="center"/>
          </w:tcPr>
          <w:p w14:paraId="46381679" w14:textId="77777777" w:rsidR="00FC04A9" w:rsidRPr="00D2239A" w:rsidRDefault="00FC04A9" w:rsidP="00435936">
            <w:pPr>
              <w:keepNext/>
              <w:keepLines/>
              <w:spacing w:after="0" w:line="240" w:lineRule="auto"/>
              <w:ind w:right="-595"/>
              <w:rPr>
                <w:rFonts w:eastAsia="Times New Roman" w:cs="Times New Roman"/>
                <w:b/>
                <w:bCs/>
                <w:sz w:val="18"/>
                <w:szCs w:val="18"/>
              </w:rPr>
            </w:pPr>
            <w:r w:rsidRPr="00D2239A">
              <w:rPr>
                <w:rFonts w:eastAsia="Times New Roman" w:cs="Times New Roman"/>
                <w:b/>
                <w:bCs/>
                <w:sz w:val="18"/>
                <w:szCs w:val="18"/>
              </w:rPr>
              <w:t>State</w:t>
            </w:r>
          </w:p>
        </w:tc>
        <w:tc>
          <w:tcPr>
            <w:tcW w:w="720" w:type="dxa"/>
            <w:tcBorders>
              <w:top w:val="single" w:sz="4" w:space="0" w:color="auto"/>
              <w:left w:val="nil"/>
              <w:bottom w:val="single" w:sz="4" w:space="0" w:color="auto"/>
              <w:right w:val="nil"/>
            </w:tcBorders>
            <w:noWrap/>
            <w:tcMar>
              <w:left w:w="14" w:type="dxa"/>
              <w:right w:w="14" w:type="dxa"/>
            </w:tcMar>
            <w:vAlign w:val="center"/>
          </w:tcPr>
          <w:p w14:paraId="70C30B7A" w14:textId="21E01F22" w:rsidR="00FC04A9" w:rsidRPr="00D2239A" w:rsidRDefault="00FC04A9" w:rsidP="00435936">
            <w:pPr>
              <w:keepNext/>
              <w:keepLines/>
              <w:spacing w:after="0" w:line="240" w:lineRule="auto"/>
              <w:jc w:val="center"/>
              <w:rPr>
                <w:rFonts w:eastAsia="Times New Roman" w:cs="Times New Roman"/>
                <w:b/>
                <w:bCs/>
                <w:sz w:val="18"/>
                <w:szCs w:val="18"/>
              </w:rPr>
            </w:pPr>
            <w:r w:rsidRPr="00D2239A">
              <w:rPr>
                <w:rFonts w:eastAsia="Times New Roman" w:cs="Times New Roman"/>
                <w:b/>
                <w:bCs/>
                <w:sz w:val="18"/>
                <w:szCs w:val="18"/>
              </w:rPr>
              <w:t>12-17</w:t>
            </w:r>
            <w:r w:rsidR="00A204E0" w:rsidRPr="00D2239A">
              <w:rPr>
                <w:rFonts w:eastAsia="Times New Roman" w:cs="Times New Roman"/>
                <w:b/>
                <w:bCs/>
                <w:sz w:val="18"/>
                <w:szCs w:val="18"/>
              </w:rPr>
              <w:t xml:space="preserve"> </w:t>
            </w:r>
            <w:proofErr w:type="spellStart"/>
            <w:r w:rsidRPr="00D2239A">
              <w:rPr>
                <w:rFonts w:eastAsia="Times New Roman" w:cs="Times New Roman"/>
                <w:b/>
                <w:bCs/>
                <w:sz w:val="18"/>
                <w:szCs w:val="18"/>
              </w:rPr>
              <w:t>y</w:t>
            </w:r>
            <w:r w:rsidR="00A204E0" w:rsidRPr="00D2239A">
              <w:rPr>
                <w:rFonts w:eastAsia="Times New Roman" w:cs="Times New Roman"/>
                <w:b/>
                <w:bCs/>
                <w:sz w:val="18"/>
                <w:szCs w:val="18"/>
              </w:rPr>
              <w:t>ear</w:t>
            </w:r>
            <w:r w:rsidR="00A264D8" w:rsidRPr="00D2239A">
              <w:rPr>
                <w:rFonts w:eastAsia="Times New Roman" w:cs="Times New Roman"/>
                <w:b/>
                <w:bCs/>
                <w:sz w:val="18"/>
                <w:szCs w:val="18"/>
              </w:rPr>
              <w:t>s</w:t>
            </w:r>
            <w:r w:rsidR="00A264D8" w:rsidRPr="00D2239A">
              <w:rPr>
                <w:rFonts w:eastAsia="Times New Roman" w:cs="Times New Roman"/>
                <w:b/>
                <w:bCs/>
                <w:sz w:val="18"/>
                <w:szCs w:val="18"/>
                <w:vertAlign w:val="superscript"/>
              </w:rPr>
              <w:t>a</w:t>
            </w:r>
            <w:proofErr w:type="spellEnd"/>
          </w:p>
        </w:tc>
        <w:tc>
          <w:tcPr>
            <w:tcW w:w="1687" w:type="dxa"/>
            <w:tcBorders>
              <w:top w:val="single" w:sz="4" w:space="0" w:color="auto"/>
              <w:left w:val="nil"/>
              <w:bottom w:val="single" w:sz="4" w:space="0" w:color="auto"/>
              <w:right w:val="nil"/>
            </w:tcBorders>
            <w:tcMar>
              <w:left w:w="14" w:type="dxa"/>
              <w:right w:w="14" w:type="dxa"/>
            </w:tcMar>
            <w:vAlign w:val="center"/>
          </w:tcPr>
          <w:p w14:paraId="059C3A44" w14:textId="0C53E718" w:rsidR="00FC04A9" w:rsidRPr="00D2239A" w:rsidRDefault="00FC04A9" w:rsidP="00435936">
            <w:pPr>
              <w:keepNext/>
              <w:keepLines/>
              <w:spacing w:after="0" w:line="240" w:lineRule="auto"/>
              <w:jc w:val="center"/>
              <w:rPr>
                <w:rFonts w:eastAsia="Times New Roman" w:cs="Times New Roman"/>
                <w:b/>
                <w:bCs/>
                <w:sz w:val="18"/>
                <w:szCs w:val="18"/>
              </w:rPr>
            </w:pPr>
            <w:r w:rsidRPr="00D2239A">
              <w:rPr>
                <w:rFonts w:eastAsia="Times New Roman" w:cs="Times New Roman"/>
                <w:b/>
                <w:bCs/>
                <w:sz w:val="18"/>
                <w:szCs w:val="18"/>
              </w:rPr>
              <w:t>18-25</w:t>
            </w:r>
            <w:r w:rsidR="00A204E0" w:rsidRPr="00D2239A">
              <w:rPr>
                <w:rFonts w:eastAsia="Times New Roman" w:cs="Times New Roman"/>
                <w:b/>
                <w:bCs/>
                <w:sz w:val="18"/>
                <w:szCs w:val="18"/>
              </w:rPr>
              <w:t xml:space="preserve"> </w:t>
            </w:r>
            <w:r w:rsidRPr="00D2239A">
              <w:rPr>
                <w:rFonts w:eastAsia="Times New Roman" w:cs="Times New Roman"/>
                <w:b/>
                <w:bCs/>
                <w:sz w:val="18"/>
                <w:szCs w:val="18"/>
              </w:rPr>
              <w:t>y</w:t>
            </w:r>
            <w:r w:rsidR="00A204E0" w:rsidRPr="00D2239A">
              <w:rPr>
                <w:rFonts w:eastAsia="Times New Roman" w:cs="Times New Roman"/>
                <w:b/>
                <w:bCs/>
                <w:sz w:val="18"/>
                <w:szCs w:val="18"/>
              </w:rPr>
              <w:t>ear</w:t>
            </w:r>
            <w:r w:rsidR="00A264D8" w:rsidRPr="00D2239A">
              <w:rPr>
                <w:rFonts w:eastAsia="Times New Roman" w:cs="Times New Roman"/>
                <w:b/>
                <w:bCs/>
                <w:sz w:val="18"/>
                <w:szCs w:val="18"/>
              </w:rPr>
              <w:t>s</w:t>
            </w:r>
          </w:p>
        </w:tc>
        <w:tc>
          <w:tcPr>
            <w:tcW w:w="1688" w:type="dxa"/>
            <w:tcBorders>
              <w:top w:val="single" w:sz="4" w:space="0" w:color="auto"/>
              <w:left w:val="nil"/>
              <w:bottom w:val="single" w:sz="4" w:space="0" w:color="auto"/>
              <w:right w:val="nil"/>
            </w:tcBorders>
            <w:tcMar>
              <w:left w:w="14" w:type="dxa"/>
              <w:right w:w="14" w:type="dxa"/>
            </w:tcMar>
            <w:vAlign w:val="center"/>
          </w:tcPr>
          <w:p w14:paraId="5573E864" w14:textId="3FB56DB3" w:rsidR="00FC04A9" w:rsidRPr="00D2239A" w:rsidRDefault="00FC04A9" w:rsidP="00435936">
            <w:pPr>
              <w:keepNext/>
              <w:keepLines/>
              <w:spacing w:after="0" w:line="240" w:lineRule="auto"/>
              <w:jc w:val="center"/>
              <w:rPr>
                <w:rFonts w:eastAsia="Times New Roman" w:cs="Times New Roman"/>
                <w:b/>
                <w:bCs/>
                <w:sz w:val="18"/>
                <w:szCs w:val="18"/>
              </w:rPr>
            </w:pPr>
            <w:r w:rsidRPr="00D2239A">
              <w:rPr>
                <w:rFonts w:eastAsia="Times New Roman" w:cs="Times New Roman"/>
                <w:b/>
                <w:bCs/>
                <w:sz w:val="18"/>
                <w:szCs w:val="18"/>
              </w:rPr>
              <w:t>26-34</w:t>
            </w:r>
            <w:r w:rsidR="00A204E0" w:rsidRPr="00D2239A">
              <w:rPr>
                <w:rFonts w:eastAsia="Times New Roman" w:cs="Times New Roman"/>
                <w:b/>
                <w:bCs/>
                <w:sz w:val="18"/>
                <w:szCs w:val="18"/>
              </w:rPr>
              <w:t xml:space="preserve"> </w:t>
            </w:r>
            <w:r w:rsidRPr="00D2239A">
              <w:rPr>
                <w:rFonts w:eastAsia="Times New Roman" w:cs="Times New Roman"/>
                <w:b/>
                <w:bCs/>
                <w:sz w:val="18"/>
                <w:szCs w:val="18"/>
              </w:rPr>
              <w:t>y</w:t>
            </w:r>
            <w:r w:rsidR="00A204E0" w:rsidRPr="00D2239A">
              <w:rPr>
                <w:rFonts w:eastAsia="Times New Roman" w:cs="Times New Roman"/>
                <w:b/>
                <w:bCs/>
                <w:sz w:val="18"/>
                <w:szCs w:val="18"/>
              </w:rPr>
              <w:t>ear</w:t>
            </w:r>
            <w:r w:rsidR="00A264D8" w:rsidRPr="00D2239A">
              <w:rPr>
                <w:rFonts w:eastAsia="Times New Roman" w:cs="Times New Roman"/>
                <w:b/>
                <w:bCs/>
                <w:sz w:val="18"/>
                <w:szCs w:val="18"/>
              </w:rPr>
              <w:t>s</w:t>
            </w:r>
            <w:r w:rsidR="00A204E0" w:rsidRPr="00D2239A">
              <w:rPr>
                <w:rFonts w:eastAsia="Times New Roman" w:cs="Times New Roman"/>
                <w:b/>
                <w:bCs/>
                <w:sz w:val="18"/>
                <w:szCs w:val="18"/>
              </w:rPr>
              <w:t xml:space="preserve"> </w:t>
            </w:r>
          </w:p>
        </w:tc>
        <w:tc>
          <w:tcPr>
            <w:tcW w:w="1687" w:type="dxa"/>
            <w:tcBorders>
              <w:top w:val="single" w:sz="4" w:space="0" w:color="auto"/>
              <w:left w:val="nil"/>
              <w:bottom w:val="single" w:sz="4" w:space="0" w:color="auto"/>
              <w:right w:val="nil"/>
            </w:tcBorders>
            <w:tcMar>
              <w:left w:w="14" w:type="dxa"/>
              <w:right w:w="14" w:type="dxa"/>
            </w:tcMar>
            <w:vAlign w:val="center"/>
          </w:tcPr>
          <w:p w14:paraId="5AA72C2D" w14:textId="0E45EC3B" w:rsidR="00FC04A9" w:rsidRPr="00D2239A" w:rsidRDefault="00FC04A9" w:rsidP="00435936">
            <w:pPr>
              <w:keepNext/>
              <w:keepLines/>
              <w:spacing w:after="0" w:line="240" w:lineRule="auto"/>
              <w:jc w:val="center"/>
              <w:rPr>
                <w:rFonts w:eastAsia="Times New Roman" w:cs="Times New Roman"/>
                <w:b/>
                <w:bCs/>
                <w:sz w:val="18"/>
                <w:szCs w:val="18"/>
              </w:rPr>
            </w:pPr>
            <w:r w:rsidRPr="00D2239A">
              <w:rPr>
                <w:rFonts w:eastAsia="Times New Roman" w:cs="Times New Roman"/>
                <w:b/>
                <w:bCs/>
                <w:sz w:val="18"/>
                <w:szCs w:val="18"/>
              </w:rPr>
              <w:t>35-49</w:t>
            </w:r>
            <w:r w:rsidR="00A204E0" w:rsidRPr="00D2239A">
              <w:rPr>
                <w:rFonts w:eastAsia="Times New Roman" w:cs="Times New Roman"/>
                <w:b/>
                <w:bCs/>
                <w:sz w:val="18"/>
                <w:szCs w:val="18"/>
              </w:rPr>
              <w:t xml:space="preserve"> </w:t>
            </w:r>
            <w:r w:rsidRPr="00D2239A">
              <w:rPr>
                <w:rFonts w:eastAsia="Times New Roman" w:cs="Times New Roman"/>
                <w:b/>
                <w:bCs/>
                <w:sz w:val="18"/>
                <w:szCs w:val="18"/>
              </w:rPr>
              <w:t>y</w:t>
            </w:r>
            <w:r w:rsidR="00A204E0" w:rsidRPr="00D2239A">
              <w:rPr>
                <w:rFonts w:eastAsia="Times New Roman" w:cs="Times New Roman"/>
                <w:b/>
                <w:bCs/>
                <w:sz w:val="18"/>
                <w:szCs w:val="18"/>
              </w:rPr>
              <w:t>ear</w:t>
            </w:r>
            <w:r w:rsidR="00A264D8" w:rsidRPr="00D2239A">
              <w:rPr>
                <w:rFonts w:eastAsia="Times New Roman" w:cs="Times New Roman"/>
                <w:b/>
                <w:bCs/>
                <w:sz w:val="18"/>
                <w:szCs w:val="18"/>
              </w:rPr>
              <w:t>s</w:t>
            </w:r>
          </w:p>
        </w:tc>
        <w:tc>
          <w:tcPr>
            <w:tcW w:w="1688" w:type="dxa"/>
            <w:tcBorders>
              <w:top w:val="single" w:sz="4" w:space="0" w:color="auto"/>
              <w:left w:val="nil"/>
              <w:bottom w:val="single" w:sz="4" w:space="0" w:color="auto"/>
              <w:right w:val="nil"/>
            </w:tcBorders>
            <w:tcMar>
              <w:left w:w="14" w:type="dxa"/>
              <w:right w:w="14" w:type="dxa"/>
            </w:tcMar>
            <w:vAlign w:val="center"/>
          </w:tcPr>
          <w:p w14:paraId="5A56B11C" w14:textId="073D4B83" w:rsidR="00FC04A9" w:rsidRPr="00D2239A" w:rsidRDefault="00FC04A9" w:rsidP="00435936">
            <w:pPr>
              <w:keepNext/>
              <w:keepLines/>
              <w:spacing w:after="0" w:line="240" w:lineRule="auto"/>
              <w:jc w:val="center"/>
              <w:rPr>
                <w:rFonts w:eastAsia="Times New Roman" w:cs="Times New Roman"/>
                <w:b/>
                <w:bCs/>
                <w:sz w:val="18"/>
                <w:szCs w:val="18"/>
              </w:rPr>
            </w:pPr>
            <w:r w:rsidRPr="00D2239A">
              <w:rPr>
                <w:rFonts w:eastAsia="Times New Roman" w:cs="Times New Roman"/>
                <w:b/>
                <w:bCs/>
                <w:sz w:val="18"/>
                <w:szCs w:val="18"/>
              </w:rPr>
              <w:t>50-64</w:t>
            </w:r>
            <w:r w:rsidR="00A204E0" w:rsidRPr="00D2239A">
              <w:rPr>
                <w:rFonts w:eastAsia="Times New Roman" w:cs="Times New Roman"/>
                <w:b/>
                <w:bCs/>
                <w:sz w:val="18"/>
                <w:szCs w:val="18"/>
              </w:rPr>
              <w:t xml:space="preserve"> </w:t>
            </w:r>
            <w:r w:rsidRPr="00D2239A">
              <w:rPr>
                <w:rFonts w:eastAsia="Times New Roman" w:cs="Times New Roman"/>
                <w:b/>
                <w:bCs/>
                <w:sz w:val="18"/>
                <w:szCs w:val="18"/>
              </w:rPr>
              <w:t>y</w:t>
            </w:r>
            <w:r w:rsidR="00A204E0" w:rsidRPr="00D2239A">
              <w:rPr>
                <w:rFonts w:eastAsia="Times New Roman" w:cs="Times New Roman"/>
                <w:b/>
                <w:bCs/>
                <w:sz w:val="18"/>
                <w:szCs w:val="18"/>
              </w:rPr>
              <w:t>ear</w:t>
            </w:r>
            <w:r w:rsidR="00A264D8" w:rsidRPr="00D2239A">
              <w:rPr>
                <w:rFonts w:eastAsia="Times New Roman" w:cs="Times New Roman"/>
                <w:b/>
                <w:bCs/>
                <w:sz w:val="18"/>
                <w:szCs w:val="18"/>
              </w:rPr>
              <w:t>s</w:t>
            </w:r>
          </w:p>
        </w:tc>
        <w:tc>
          <w:tcPr>
            <w:tcW w:w="630" w:type="dxa"/>
            <w:gridSpan w:val="2"/>
            <w:tcBorders>
              <w:top w:val="single" w:sz="4" w:space="0" w:color="auto"/>
              <w:left w:val="nil"/>
              <w:bottom w:val="single" w:sz="4" w:space="0" w:color="auto"/>
              <w:right w:val="nil"/>
            </w:tcBorders>
            <w:tcMar>
              <w:left w:w="14" w:type="dxa"/>
              <w:right w:w="14" w:type="dxa"/>
            </w:tcMar>
            <w:vAlign w:val="center"/>
          </w:tcPr>
          <w:p w14:paraId="4AD55530" w14:textId="2E171F2A" w:rsidR="00FC04A9" w:rsidRPr="00D2239A" w:rsidRDefault="00FC04A9" w:rsidP="00435936">
            <w:pPr>
              <w:keepNext/>
              <w:keepLines/>
              <w:spacing w:after="0" w:line="240" w:lineRule="auto"/>
              <w:jc w:val="center"/>
              <w:rPr>
                <w:rFonts w:eastAsia="Times New Roman" w:cs="Times New Roman"/>
                <w:b/>
                <w:bCs/>
                <w:sz w:val="18"/>
                <w:szCs w:val="18"/>
              </w:rPr>
            </w:pPr>
            <w:r w:rsidRPr="00D2239A">
              <w:rPr>
                <w:rFonts w:eastAsia="Times New Roman" w:cs="Times New Roman"/>
                <w:b/>
                <w:bCs/>
                <w:sz w:val="18"/>
                <w:szCs w:val="18"/>
              </w:rPr>
              <w:t>≥ 65</w:t>
            </w:r>
            <w:r w:rsidR="00A204E0" w:rsidRPr="00D2239A">
              <w:rPr>
                <w:rFonts w:eastAsia="Times New Roman" w:cs="Times New Roman"/>
                <w:b/>
                <w:bCs/>
                <w:sz w:val="18"/>
                <w:szCs w:val="18"/>
              </w:rPr>
              <w:t xml:space="preserve"> </w:t>
            </w:r>
            <w:proofErr w:type="spellStart"/>
            <w:r w:rsidRPr="00D2239A">
              <w:rPr>
                <w:rFonts w:eastAsia="Times New Roman" w:cs="Times New Roman"/>
                <w:b/>
                <w:bCs/>
                <w:sz w:val="18"/>
                <w:szCs w:val="18"/>
              </w:rPr>
              <w:t>y</w:t>
            </w:r>
            <w:r w:rsidR="00A204E0" w:rsidRPr="00D2239A">
              <w:rPr>
                <w:rFonts w:eastAsia="Times New Roman" w:cs="Times New Roman"/>
                <w:b/>
                <w:bCs/>
                <w:sz w:val="18"/>
                <w:szCs w:val="18"/>
              </w:rPr>
              <w:t>ear</w:t>
            </w:r>
            <w:r w:rsidR="00A264D8" w:rsidRPr="00D2239A">
              <w:rPr>
                <w:rFonts w:eastAsia="Times New Roman" w:cs="Times New Roman"/>
                <w:b/>
                <w:bCs/>
                <w:sz w:val="18"/>
                <w:szCs w:val="18"/>
              </w:rPr>
              <w:t>s</w:t>
            </w:r>
            <w:r w:rsidR="00A264D8" w:rsidRPr="00D2239A">
              <w:rPr>
                <w:rFonts w:eastAsia="Times New Roman" w:cs="Times New Roman"/>
                <w:b/>
                <w:bCs/>
                <w:sz w:val="18"/>
                <w:szCs w:val="18"/>
                <w:vertAlign w:val="superscript"/>
              </w:rPr>
              <w:t>a</w:t>
            </w:r>
            <w:proofErr w:type="spellEnd"/>
          </w:p>
        </w:tc>
      </w:tr>
      <w:tr w:rsidR="00FC04A9" w:rsidRPr="00D2239A" w14:paraId="76E83712" w14:textId="77777777" w:rsidTr="00435936">
        <w:trPr>
          <w:trHeight w:val="432"/>
        </w:trPr>
        <w:tc>
          <w:tcPr>
            <w:tcW w:w="1260" w:type="dxa"/>
            <w:tcBorders>
              <w:top w:val="single" w:sz="4" w:space="0" w:color="auto"/>
              <w:left w:val="nil"/>
              <w:bottom w:val="nil"/>
              <w:right w:val="nil"/>
            </w:tcBorders>
            <w:tcMar>
              <w:left w:w="29" w:type="dxa"/>
              <w:right w:w="29" w:type="dxa"/>
            </w:tcMar>
            <w:vAlign w:val="center"/>
          </w:tcPr>
          <w:p w14:paraId="1A448ECF" w14:textId="77777777" w:rsidR="00FC04A9" w:rsidRPr="00D2239A" w:rsidRDefault="00FC04A9" w:rsidP="00435936">
            <w:pPr>
              <w:keepNext/>
              <w:keepLines/>
              <w:spacing w:after="0" w:line="240" w:lineRule="auto"/>
              <w:rPr>
                <w:rFonts w:eastAsia="Times New Roman" w:cs="Times New Roman"/>
                <w:sz w:val="18"/>
                <w:szCs w:val="18"/>
              </w:rPr>
            </w:pPr>
            <w:r w:rsidRPr="00D2239A">
              <w:rPr>
                <w:rFonts w:eastAsia="Times New Roman" w:cs="Times New Roman"/>
                <w:sz w:val="18"/>
                <w:szCs w:val="18"/>
              </w:rPr>
              <w:t>Massachusetts</w:t>
            </w:r>
          </w:p>
        </w:tc>
        <w:tc>
          <w:tcPr>
            <w:tcW w:w="720" w:type="dxa"/>
            <w:tcBorders>
              <w:top w:val="single" w:sz="4" w:space="0" w:color="auto"/>
              <w:left w:val="nil"/>
              <w:bottom w:val="nil"/>
              <w:right w:val="nil"/>
            </w:tcBorders>
            <w:noWrap/>
            <w:tcMar>
              <w:left w:w="14" w:type="dxa"/>
              <w:right w:w="14" w:type="dxa"/>
            </w:tcMar>
            <w:vAlign w:val="center"/>
            <w:hideMark/>
          </w:tcPr>
          <w:p w14:paraId="53275677" w14:textId="77777777" w:rsidR="00FC04A9" w:rsidRPr="00D2239A" w:rsidRDefault="00000000" w:rsidP="00435936">
            <w:pPr>
              <w:keepNext/>
              <w:keepLines/>
              <w:spacing w:after="0" w:line="240" w:lineRule="auto"/>
              <w:jc w:val="center"/>
              <w:rPr>
                <w:rFonts w:eastAsia="Times New Roman" w:cs="Times New Roman"/>
                <w:sz w:val="18"/>
                <w:szCs w:val="18"/>
              </w:rPr>
            </w:pPr>
            <m:oMathPara>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12</m:t>
                    </m:r>
                  </m:sub>
                </m:sSub>
              </m:oMath>
            </m:oMathPara>
          </w:p>
        </w:tc>
        <w:tc>
          <w:tcPr>
            <w:tcW w:w="1687" w:type="dxa"/>
            <w:tcBorders>
              <w:top w:val="single" w:sz="4" w:space="0" w:color="auto"/>
              <w:left w:val="nil"/>
              <w:bottom w:val="nil"/>
              <w:right w:val="nil"/>
            </w:tcBorders>
            <w:tcMar>
              <w:left w:w="14" w:type="dxa"/>
              <w:right w:w="14" w:type="dxa"/>
            </w:tcMar>
            <w:vAlign w:val="center"/>
          </w:tcPr>
          <w:p w14:paraId="272D0712" w14:textId="77777777" w:rsidR="00FC04A9" w:rsidRPr="00D2239A" w:rsidRDefault="00FC04A9" w:rsidP="00435936">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 xml:space="preserve">0.156 </w:t>
            </w:r>
            <w:r w:rsidRPr="00D2239A">
              <w:rPr>
                <w:rFonts w:cs="Times New Roman"/>
                <w:sz w:val="18"/>
                <w:szCs w:val="18"/>
              </w:rPr>
              <w:t xml:space="preserve">× </w:t>
            </w:r>
            <w:r w:rsidRPr="00D2239A">
              <w:rPr>
                <w:rFonts w:eastAsia="Times New Roman" w:cs="Times New Roman"/>
                <w:sz w:val="18"/>
                <w:szCs w:val="18"/>
              </w:rPr>
              <w:t>(1-</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12</m:t>
                  </m:r>
                </m:sub>
              </m:sSub>
            </m:oMath>
            <w:r w:rsidRPr="00D2239A">
              <w:rPr>
                <w:rFonts w:eastAsia="Times New Roman" w:cs="Times New Roman"/>
                <w:sz w:val="18"/>
                <w:szCs w:val="18"/>
              </w:rPr>
              <w:t>-</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65</m:t>
                  </m:r>
                </m:sub>
              </m:sSub>
            </m:oMath>
            <w:r w:rsidRPr="00D2239A">
              <w:rPr>
                <w:rFonts w:eastAsia="Times New Roman" w:cs="Times New Roman"/>
                <w:sz w:val="18"/>
                <w:szCs w:val="18"/>
              </w:rPr>
              <w:t>)</w:t>
            </w:r>
          </w:p>
        </w:tc>
        <w:tc>
          <w:tcPr>
            <w:tcW w:w="1688" w:type="dxa"/>
            <w:tcBorders>
              <w:top w:val="single" w:sz="4" w:space="0" w:color="auto"/>
              <w:left w:val="nil"/>
              <w:bottom w:val="nil"/>
              <w:right w:val="nil"/>
            </w:tcBorders>
            <w:tcMar>
              <w:left w:w="14" w:type="dxa"/>
              <w:right w:w="14" w:type="dxa"/>
            </w:tcMar>
            <w:vAlign w:val="center"/>
          </w:tcPr>
          <w:p w14:paraId="05751057" w14:textId="77777777" w:rsidR="00FC04A9" w:rsidRPr="00D2239A" w:rsidRDefault="00FC04A9" w:rsidP="00435936">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 xml:space="preserve">0.052 </w:t>
            </w:r>
            <w:r w:rsidRPr="00D2239A">
              <w:rPr>
                <w:rFonts w:cs="Times New Roman"/>
                <w:sz w:val="18"/>
                <w:szCs w:val="18"/>
              </w:rPr>
              <w:t xml:space="preserve">× </w:t>
            </w:r>
            <w:r w:rsidRPr="00D2239A">
              <w:rPr>
                <w:rFonts w:eastAsia="Times New Roman" w:cs="Times New Roman"/>
                <w:sz w:val="18"/>
                <w:szCs w:val="18"/>
              </w:rPr>
              <w:t>(1-</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12</m:t>
                  </m:r>
                </m:sub>
              </m:sSub>
            </m:oMath>
            <w:r w:rsidRPr="00D2239A">
              <w:rPr>
                <w:rFonts w:eastAsia="Times New Roman" w:cs="Times New Roman"/>
                <w:sz w:val="18"/>
                <w:szCs w:val="18"/>
              </w:rPr>
              <w:t>-</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65</m:t>
                  </m:r>
                </m:sub>
              </m:sSub>
            </m:oMath>
            <w:r w:rsidRPr="00D2239A">
              <w:rPr>
                <w:rFonts w:eastAsia="Times New Roman" w:cs="Times New Roman"/>
                <w:sz w:val="18"/>
                <w:szCs w:val="18"/>
              </w:rPr>
              <w:t>)</w:t>
            </w:r>
          </w:p>
        </w:tc>
        <w:tc>
          <w:tcPr>
            <w:tcW w:w="1687" w:type="dxa"/>
            <w:tcBorders>
              <w:top w:val="single" w:sz="4" w:space="0" w:color="auto"/>
              <w:left w:val="nil"/>
              <w:bottom w:val="nil"/>
              <w:right w:val="nil"/>
            </w:tcBorders>
            <w:tcMar>
              <w:left w:w="14" w:type="dxa"/>
              <w:right w:w="14" w:type="dxa"/>
            </w:tcMar>
            <w:vAlign w:val="center"/>
          </w:tcPr>
          <w:p w14:paraId="77008210" w14:textId="77777777" w:rsidR="00FC04A9" w:rsidRPr="00D2239A" w:rsidRDefault="00FC04A9" w:rsidP="00435936">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 xml:space="preserve">0.252 </w:t>
            </w:r>
            <w:r w:rsidRPr="00D2239A">
              <w:rPr>
                <w:rFonts w:cs="Times New Roman"/>
                <w:sz w:val="18"/>
                <w:szCs w:val="18"/>
              </w:rPr>
              <w:t xml:space="preserve">× </w:t>
            </w:r>
            <w:r w:rsidRPr="00D2239A">
              <w:rPr>
                <w:rFonts w:eastAsia="Times New Roman" w:cs="Times New Roman"/>
                <w:sz w:val="18"/>
                <w:szCs w:val="18"/>
              </w:rPr>
              <w:t>(1-</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12</m:t>
                  </m:r>
                </m:sub>
              </m:sSub>
            </m:oMath>
            <w:r w:rsidRPr="00D2239A">
              <w:rPr>
                <w:rFonts w:eastAsia="Times New Roman" w:cs="Times New Roman"/>
                <w:sz w:val="18"/>
                <w:szCs w:val="18"/>
              </w:rPr>
              <w:t>-</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65</m:t>
                  </m:r>
                </m:sub>
              </m:sSub>
            </m:oMath>
            <w:r w:rsidRPr="00D2239A">
              <w:rPr>
                <w:rFonts w:eastAsia="Times New Roman" w:cs="Times New Roman"/>
                <w:sz w:val="18"/>
                <w:szCs w:val="18"/>
              </w:rPr>
              <w:t>)</w:t>
            </w:r>
          </w:p>
        </w:tc>
        <w:tc>
          <w:tcPr>
            <w:tcW w:w="1688" w:type="dxa"/>
            <w:tcBorders>
              <w:top w:val="single" w:sz="4" w:space="0" w:color="auto"/>
              <w:left w:val="nil"/>
              <w:bottom w:val="nil"/>
              <w:right w:val="nil"/>
            </w:tcBorders>
            <w:tcMar>
              <w:left w:w="14" w:type="dxa"/>
              <w:right w:w="14" w:type="dxa"/>
            </w:tcMar>
            <w:vAlign w:val="center"/>
          </w:tcPr>
          <w:p w14:paraId="698AA34F" w14:textId="77777777" w:rsidR="00FC04A9" w:rsidRPr="00D2239A" w:rsidRDefault="00FC04A9" w:rsidP="00435936">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 xml:space="preserve">0.541 </w:t>
            </w:r>
            <w:r w:rsidRPr="00D2239A">
              <w:rPr>
                <w:rFonts w:cs="Times New Roman"/>
                <w:sz w:val="18"/>
                <w:szCs w:val="18"/>
              </w:rPr>
              <w:t xml:space="preserve">× </w:t>
            </w:r>
            <w:r w:rsidRPr="00D2239A">
              <w:rPr>
                <w:rFonts w:eastAsia="Times New Roman" w:cs="Times New Roman"/>
                <w:sz w:val="18"/>
                <w:szCs w:val="18"/>
              </w:rPr>
              <w:t>(1-</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12</m:t>
                  </m:r>
                </m:sub>
              </m:sSub>
            </m:oMath>
            <w:r w:rsidRPr="00D2239A">
              <w:rPr>
                <w:rFonts w:eastAsia="Times New Roman" w:cs="Times New Roman"/>
                <w:sz w:val="18"/>
                <w:szCs w:val="18"/>
              </w:rPr>
              <w:t>-</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65</m:t>
                  </m:r>
                </m:sub>
              </m:sSub>
            </m:oMath>
            <w:r w:rsidRPr="00D2239A">
              <w:rPr>
                <w:rFonts w:eastAsia="Times New Roman" w:cs="Times New Roman"/>
                <w:sz w:val="18"/>
                <w:szCs w:val="18"/>
              </w:rPr>
              <w:t>)</w:t>
            </w:r>
          </w:p>
        </w:tc>
        <w:tc>
          <w:tcPr>
            <w:tcW w:w="630" w:type="dxa"/>
            <w:gridSpan w:val="2"/>
            <w:tcBorders>
              <w:top w:val="single" w:sz="4" w:space="0" w:color="auto"/>
              <w:left w:val="nil"/>
              <w:bottom w:val="nil"/>
              <w:right w:val="nil"/>
            </w:tcBorders>
            <w:tcMar>
              <w:left w:w="14" w:type="dxa"/>
              <w:right w:w="14" w:type="dxa"/>
            </w:tcMar>
            <w:vAlign w:val="center"/>
          </w:tcPr>
          <w:p w14:paraId="06A80583" w14:textId="77777777" w:rsidR="00FC04A9" w:rsidRPr="00D2239A" w:rsidRDefault="00000000" w:rsidP="00435936">
            <w:pPr>
              <w:keepNext/>
              <w:keepLines/>
              <w:spacing w:after="0" w:line="240" w:lineRule="auto"/>
              <w:jc w:val="center"/>
              <w:rPr>
                <w:rFonts w:eastAsia="Times New Roman" w:cs="Times New Roman"/>
                <w:sz w:val="18"/>
                <w:szCs w:val="18"/>
              </w:rPr>
            </w:pPr>
            <m:oMathPara>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65</m:t>
                    </m:r>
                  </m:sub>
                </m:sSub>
              </m:oMath>
            </m:oMathPara>
          </w:p>
        </w:tc>
      </w:tr>
      <w:tr w:rsidR="00FC04A9" w:rsidRPr="00D2239A" w14:paraId="76869160" w14:textId="77777777" w:rsidTr="00435936">
        <w:trPr>
          <w:trHeight w:val="432"/>
        </w:trPr>
        <w:tc>
          <w:tcPr>
            <w:tcW w:w="1260" w:type="dxa"/>
            <w:tcBorders>
              <w:left w:val="nil"/>
              <w:bottom w:val="nil"/>
              <w:right w:val="nil"/>
            </w:tcBorders>
            <w:tcMar>
              <w:left w:w="29" w:type="dxa"/>
              <w:right w:w="29" w:type="dxa"/>
            </w:tcMar>
            <w:vAlign w:val="center"/>
          </w:tcPr>
          <w:p w14:paraId="4595AE7E" w14:textId="77777777" w:rsidR="00FC04A9" w:rsidRPr="00D2239A" w:rsidRDefault="00FC04A9" w:rsidP="00435936">
            <w:pPr>
              <w:keepNext/>
              <w:keepLines/>
              <w:spacing w:after="0" w:line="240" w:lineRule="auto"/>
              <w:rPr>
                <w:rFonts w:eastAsia="Times New Roman" w:cs="Times New Roman"/>
                <w:sz w:val="18"/>
                <w:szCs w:val="18"/>
              </w:rPr>
            </w:pPr>
            <w:r w:rsidRPr="00D2239A">
              <w:rPr>
                <w:rFonts w:eastAsia="Times New Roman" w:cs="Times New Roman"/>
                <w:sz w:val="18"/>
                <w:szCs w:val="18"/>
              </w:rPr>
              <w:t>New York</w:t>
            </w:r>
          </w:p>
        </w:tc>
        <w:tc>
          <w:tcPr>
            <w:tcW w:w="720" w:type="dxa"/>
            <w:tcBorders>
              <w:left w:val="nil"/>
              <w:bottom w:val="nil"/>
              <w:right w:val="nil"/>
            </w:tcBorders>
            <w:noWrap/>
            <w:tcMar>
              <w:left w:w="14" w:type="dxa"/>
              <w:right w:w="14" w:type="dxa"/>
            </w:tcMar>
            <w:vAlign w:val="center"/>
          </w:tcPr>
          <w:p w14:paraId="1A53E27B" w14:textId="77777777" w:rsidR="00FC04A9" w:rsidRPr="00D2239A" w:rsidRDefault="00000000" w:rsidP="00435936">
            <w:pPr>
              <w:keepNext/>
              <w:keepLines/>
              <w:spacing w:after="0" w:line="240" w:lineRule="auto"/>
              <w:jc w:val="center"/>
              <w:rPr>
                <w:rFonts w:eastAsia="Times New Roman" w:cs="Times New Roman"/>
                <w:sz w:val="18"/>
                <w:szCs w:val="18"/>
              </w:rPr>
            </w:pPr>
            <m:oMathPara>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12</m:t>
                    </m:r>
                  </m:sub>
                </m:sSub>
              </m:oMath>
            </m:oMathPara>
          </w:p>
        </w:tc>
        <w:tc>
          <w:tcPr>
            <w:tcW w:w="1687" w:type="dxa"/>
            <w:tcBorders>
              <w:left w:val="nil"/>
              <w:bottom w:val="nil"/>
              <w:right w:val="nil"/>
            </w:tcBorders>
            <w:tcMar>
              <w:left w:w="14" w:type="dxa"/>
              <w:right w:w="14" w:type="dxa"/>
            </w:tcMar>
            <w:vAlign w:val="center"/>
          </w:tcPr>
          <w:p w14:paraId="1F243FD5" w14:textId="77777777" w:rsidR="00FC04A9" w:rsidRPr="00D2239A" w:rsidRDefault="00FC04A9" w:rsidP="00435936">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 xml:space="preserve">0.151 </w:t>
            </w:r>
            <w:r w:rsidRPr="00D2239A">
              <w:rPr>
                <w:rFonts w:cs="Times New Roman"/>
                <w:sz w:val="18"/>
                <w:szCs w:val="18"/>
              </w:rPr>
              <w:t>×</w:t>
            </w:r>
            <w:r w:rsidRPr="00D2239A">
              <w:rPr>
                <w:rFonts w:eastAsia="Times New Roman" w:cs="Times New Roman"/>
                <w:sz w:val="18"/>
                <w:szCs w:val="18"/>
              </w:rPr>
              <w:t xml:space="preserve"> (1-</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12</m:t>
                  </m:r>
                </m:sub>
              </m:sSub>
            </m:oMath>
            <w:r w:rsidRPr="00D2239A">
              <w:rPr>
                <w:rFonts w:eastAsia="Times New Roman" w:cs="Times New Roman"/>
                <w:sz w:val="18"/>
                <w:szCs w:val="18"/>
              </w:rPr>
              <w:t>-</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65</m:t>
                  </m:r>
                </m:sub>
              </m:sSub>
            </m:oMath>
            <w:r w:rsidRPr="00D2239A">
              <w:rPr>
                <w:rFonts w:eastAsia="Times New Roman" w:cs="Times New Roman"/>
                <w:sz w:val="18"/>
                <w:szCs w:val="18"/>
              </w:rPr>
              <w:t xml:space="preserve">) </w:t>
            </w:r>
          </w:p>
        </w:tc>
        <w:tc>
          <w:tcPr>
            <w:tcW w:w="1688" w:type="dxa"/>
            <w:tcBorders>
              <w:left w:val="nil"/>
              <w:bottom w:val="nil"/>
              <w:right w:val="nil"/>
            </w:tcBorders>
            <w:tcMar>
              <w:left w:w="14" w:type="dxa"/>
              <w:right w:w="14" w:type="dxa"/>
            </w:tcMar>
            <w:vAlign w:val="center"/>
          </w:tcPr>
          <w:p w14:paraId="4CB19C3B" w14:textId="77777777" w:rsidR="00FC04A9" w:rsidRPr="00D2239A" w:rsidRDefault="00FC04A9" w:rsidP="00435936">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 xml:space="preserve">0.285 </w:t>
            </w:r>
            <w:r w:rsidRPr="00D2239A">
              <w:rPr>
                <w:rFonts w:cs="Times New Roman"/>
                <w:sz w:val="18"/>
                <w:szCs w:val="18"/>
              </w:rPr>
              <w:t xml:space="preserve">× </w:t>
            </w:r>
            <w:r w:rsidRPr="00D2239A">
              <w:rPr>
                <w:rFonts w:eastAsia="Times New Roman" w:cs="Times New Roman"/>
                <w:sz w:val="18"/>
                <w:szCs w:val="18"/>
              </w:rPr>
              <w:t>(1-</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12</m:t>
                  </m:r>
                </m:sub>
              </m:sSub>
            </m:oMath>
            <w:r w:rsidRPr="00D2239A">
              <w:rPr>
                <w:rFonts w:eastAsia="Times New Roman" w:cs="Times New Roman"/>
                <w:sz w:val="18"/>
                <w:szCs w:val="18"/>
              </w:rPr>
              <w:t>-</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65</m:t>
                  </m:r>
                </m:sub>
              </m:sSub>
            </m:oMath>
            <w:r w:rsidRPr="00D2239A">
              <w:rPr>
                <w:rFonts w:eastAsia="Times New Roman" w:cs="Times New Roman"/>
                <w:sz w:val="18"/>
                <w:szCs w:val="18"/>
              </w:rPr>
              <w:t>)</w:t>
            </w:r>
          </w:p>
        </w:tc>
        <w:tc>
          <w:tcPr>
            <w:tcW w:w="1687" w:type="dxa"/>
            <w:tcBorders>
              <w:left w:val="nil"/>
              <w:bottom w:val="nil"/>
              <w:right w:val="nil"/>
            </w:tcBorders>
            <w:tcMar>
              <w:left w:w="14" w:type="dxa"/>
              <w:right w:w="14" w:type="dxa"/>
            </w:tcMar>
            <w:vAlign w:val="center"/>
          </w:tcPr>
          <w:p w14:paraId="54C352B5" w14:textId="77777777" w:rsidR="00FC04A9" w:rsidRPr="00D2239A" w:rsidRDefault="00FC04A9" w:rsidP="00435936">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 xml:space="preserve">0.301 </w:t>
            </w:r>
            <w:r w:rsidRPr="00D2239A">
              <w:rPr>
                <w:rFonts w:cs="Times New Roman"/>
                <w:sz w:val="18"/>
                <w:szCs w:val="18"/>
              </w:rPr>
              <w:t xml:space="preserve">× </w:t>
            </w:r>
            <w:r w:rsidRPr="00D2239A">
              <w:rPr>
                <w:rFonts w:eastAsia="Times New Roman" w:cs="Times New Roman"/>
                <w:sz w:val="18"/>
                <w:szCs w:val="18"/>
              </w:rPr>
              <w:t>(1-</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12</m:t>
                  </m:r>
                </m:sub>
              </m:sSub>
            </m:oMath>
            <w:r w:rsidRPr="00D2239A">
              <w:rPr>
                <w:rFonts w:eastAsia="Times New Roman" w:cs="Times New Roman"/>
                <w:sz w:val="18"/>
                <w:szCs w:val="18"/>
              </w:rPr>
              <w:t>-</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65</m:t>
                  </m:r>
                </m:sub>
              </m:sSub>
            </m:oMath>
            <w:r w:rsidRPr="00D2239A">
              <w:rPr>
                <w:rFonts w:eastAsia="Times New Roman" w:cs="Times New Roman"/>
                <w:sz w:val="18"/>
                <w:szCs w:val="18"/>
              </w:rPr>
              <w:t>)</w:t>
            </w:r>
          </w:p>
        </w:tc>
        <w:tc>
          <w:tcPr>
            <w:tcW w:w="1688" w:type="dxa"/>
            <w:tcBorders>
              <w:left w:val="nil"/>
              <w:bottom w:val="nil"/>
              <w:right w:val="nil"/>
            </w:tcBorders>
            <w:tcMar>
              <w:left w:w="14" w:type="dxa"/>
              <w:right w:w="14" w:type="dxa"/>
            </w:tcMar>
            <w:vAlign w:val="center"/>
          </w:tcPr>
          <w:p w14:paraId="6448CA56" w14:textId="77777777" w:rsidR="00FC04A9" w:rsidRPr="00D2239A" w:rsidRDefault="00FC04A9" w:rsidP="00435936">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 xml:space="preserve">0.263 </w:t>
            </w:r>
            <w:r w:rsidRPr="00D2239A">
              <w:rPr>
                <w:rFonts w:cs="Times New Roman"/>
                <w:sz w:val="18"/>
                <w:szCs w:val="18"/>
              </w:rPr>
              <w:t xml:space="preserve">× </w:t>
            </w:r>
            <w:r w:rsidRPr="00D2239A">
              <w:rPr>
                <w:rFonts w:eastAsia="Times New Roman" w:cs="Times New Roman"/>
                <w:sz w:val="18"/>
                <w:szCs w:val="18"/>
              </w:rPr>
              <w:t>(1-</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12</m:t>
                  </m:r>
                </m:sub>
              </m:sSub>
            </m:oMath>
            <w:r w:rsidRPr="00D2239A">
              <w:rPr>
                <w:rFonts w:eastAsia="Times New Roman" w:cs="Times New Roman"/>
                <w:sz w:val="18"/>
                <w:szCs w:val="18"/>
              </w:rPr>
              <w:t>-</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65</m:t>
                  </m:r>
                </m:sub>
              </m:sSub>
            </m:oMath>
            <w:r w:rsidRPr="00D2239A">
              <w:rPr>
                <w:rFonts w:eastAsia="Times New Roman" w:cs="Times New Roman"/>
                <w:sz w:val="18"/>
                <w:szCs w:val="18"/>
              </w:rPr>
              <w:t>)</w:t>
            </w:r>
          </w:p>
        </w:tc>
        <w:tc>
          <w:tcPr>
            <w:tcW w:w="630" w:type="dxa"/>
            <w:gridSpan w:val="2"/>
            <w:tcBorders>
              <w:left w:val="nil"/>
              <w:bottom w:val="nil"/>
              <w:right w:val="nil"/>
            </w:tcBorders>
            <w:tcMar>
              <w:left w:w="14" w:type="dxa"/>
              <w:right w:w="14" w:type="dxa"/>
            </w:tcMar>
            <w:vAlign w:val="center"/>
          </w:tcPr>
          <w:p w14:paraId="57872440" w14:textId="77777777" w:rsidR="00FC04A9" w:rsidRPr="00D2239A" w:rsidRDefault="00000000" w:rsidP="00435936">
            <w:pPr>
              <w:keepNext/>
              <w:keepLines/>
              <w:spacing w:after="0" w:line="240" w:lineRule="auto"/>
              <w:jc w:val="center"/>
              <w:rPr>
                <w:rFonts w:eastAsia="Times New Roman" w:cs="Times New Roman"/>
                <w:sz w:val="18"/>
                <w:szCs w:val="18"/>
              </w:rPr>
            </w:pPr>
            <m:oMathPara>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65</m:t>
                    </m:r>
                  </m:sub>
                </m:sSub>
              </m:oMath>
            </m:oMathPara>
          </w:p>
        </w:tc>
      </w:tr>
      <w:tr w:rsidR="00FC04A9" w:rsidRPr="00D2239A" w14:paraId="189B970B" w14:textId="77777777" w:rsidTr="00435936">
        <w:trPr>
          <w:trHeight w:val="432"/>
        </w:trPr>
        <w:tc>
          <w:tcPr>
            <w:tcW w:w="1260" w:type="dxa"/>
            <w:tcBorders>
              <w:top w:val="nil"/>
              <w:left w:val="nil"/>
              <w:bottom w:val="single" w:sz="4" w:space="0" w:color="auto"/>
              <w:right w:val="nil"/>
            </w:tcBorders>
            <w:tcMar>
              <w:left w:w="29" w:type="dxa"/>
              <w:right w:w="29" w:type="dxa"/>
            </w:tcMar>
            <w:vAlign w:val="center"/>
          </w:tcPr>
          <w:p w14:paraId="2383FFD2" w14:textId="77777777" w:rsidR="00FC04A9" w:rsidRPr="00D2239A" w:rsidRDefault="00FC04A9" w:rsidP="00435936">
            <w:pPr>
              <w:keepNext/>
              <w:keepLines/>
              <w:spacing w:after="0" w:line="240" w:lineRule="auto"/>
              <w:rPr>
                <w:rFonts w:eastAsia="Times New Roman" w:cs="Times New Roman"/>
                <w:sz w:val="18"/>
                <w:szCs w:val="18"/>
              </w:rPr>
            </w:pPr>
            <w:r w:rsidRPr="00D2239A">
              <w:rPr>
                <w:rFonts w:eastAsia="Times New Roman" w:cs="Times New Roman"/>
                <w:sz w:val="18"/>
                <w:szCs w:val="18"/>
              </w:rPr>
              <w:t>Ohio</w:t>
            </w:r>
          </w:p>
        </w:tc>
        <w:tc>
          <w:tcPr>
            <w:tcW w:w="720" w:type="dxa"/>
            <w:tcBorders>
              <w:top w:val="nil"/>
              <w:left w:val="nil"/>
              <w:bottom w:val="single" w:sz="4" w:space="0" w:color="auto"/>
              <w:right w:val="nil"/>
            </w:tcBorders>
            <w:noWrap/>
            <w:tcMar>
              <w:left w:w="14" w:type="dxa"/>
              <w:right w:w="14" w:type="dxa"/>
            </w:tcMar>
            <w:vAlign w:val="center"/>
            <w:hideMark/>
          </w:tcPr>
          <w:p w14:paraId="19F9DD27" w14:textId="77777777" w:rsidR="00FC04A9" w:rsidRPr="00D2239A" w:rsidRDefault="00000000" w:rsidP="00435936">
            <w:pPr>
              <w:keepNext/>
              <w:keepLines/>
              <w:spacing w:after="0" w:line="240" w:lineRule="auto"/>
              <w:jc w:val="center"/>
              <w:rPr>
                <w:rFonts w:eastAsia="Times New Roman" w:cs="Times New Roman"/>
                <w:sz w:val="18"/>
                <w:szCs w:val="18"/>
              </w:rPr>
            </w:pPr>
            <m:oMathPara>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12</m:t>
                    </m:r>
                  </m:sub>
                </m:sSub>
              </m:oMath>
            </m:oMathPara>
          </w:p>
        </w:tc>
        <w:tc>
          <w:tcPr>
            <w:tcW w:w="1687" w:type="dxa"/>
            <w:tcBorders>
              <w:top w:val="nil"/>
              <w:left w:val="nil"/>
              <w:bottom w:val="single" w:sz="4" w:space="0" w:color="auto"/>
              <w:right w:val="nil"/>
            </w:tcBorders>
            <w:tcMar>
              <w:left w:w="14" w:type="dxa"/>
              <w:right w:w="14" w:type="dxa"/>
            </w:tcMar>
            <w:vAlign w:val="center"/>
          </w:tcPr>
          <w:p w14:paraId="21A5EE0C" w14:textId="77777777" w:rsidR="00FC04A9" w:rsidRPr="00D2239A" w:rsidRDefault="00FC04A9" w:rsidP="00435936">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 xml:space="preserve">0.181 </w:t>
            </w:r>
            <w:r w:rsidRPr="00D2239A">
              <w:rPr>
                <w:rFonts w:cs="Times New Roman"/>
                <w:sz w:val="18"/>
                <w:szCs w:val="18"/>
              </w:rPr>
              <w:t>×</w:t>
            </w:r>
            <w:r w:rsidRPr="00D2239A">
              <w:rPr>
                <w:rFonts w:eastAsia="Times New Roman" w:cs="Times New Roman"/>
                <w:sz w:val="18"/>
                <w:szCs w:val="18"/>
              </w:rPr>
              <w:t xml:space="preserve"> (1-</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12</m:t>
                  </m:r>
                </m:sub>
              </m:sSub>
            </m:oMath>
            <w:r w:rsidRPr="00D2239A">
              <w:rPr>
                <w:rFonts w:eastAsia="Times New Roman" w:cs="Times New Roman"/>
                <w:sz w:val="18"/>
                <w:szCs w:val="18"/>
              </w:rPr>
              <w:t>-</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65</m:t>
                  </m:r>
                </m:sub>
              </m:sSub>
            </m:oMath>
            <w:r w:rsidRPr="00D2239A">
              <w:rPr>
                <w:rFonts w:eastAsia="Times New Roman" w:cs="Times New Roman"/>
                <w:sz w:val="18"/>
                <w:szCs w:val="18"/>
              </w:rPr>
              <w:t xml:space="preserve">) </w:t>
            </w:r>
          </w:p>
        </w:tc>
        <w:tc>
          <w:tcPr>
            <w:tcW w:w="1688" w:type="dxa"/>
            <w:tcBorders>
              <w:top w:val="nil"/>
              <w:left w:val="nil"/>
              <w:bottom w:val="single" w:sz="4" w:space="0" w:color="auto"/>
              <w:right w:val="nil"/>
            </w:tcBorders>
            <w:tcMar>
              <w:left w:w="14" w:type="dxa"/>
              <w:right w:w="14" w:type="dxa"/>
            </w:tcMar>
            <w:vAlign w:val="center"/>
          </w:tcPr>
          <w:p w14:paraId="75AA03C5" w14:textId="77777777" w:rsidR="00FC04A9" w:rsidRPr="00D2239A" w:rsidRDefault="00FC04A9" w:rsidP="00435936">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 xml:space="preserve">0.235 </w:t>
            </w:r>
            <w:r w:rsidRPr="00D2239A">
              <w:rPr>
                <w:rFonts w:cs="Times New Roman"/>
                <w:sz w:val="18"/>
                <w:szCs w:val="18"/>
              </w:rPr>
              <w:t xml:space="preserve">× </w:t>
            </w:r>
            <w:r w:rsidRPr="00D2239A">
              <w:rPr>
                <w:rFonts w:eastAsia="Times New Roman" w:cs="Times New Roman"/>
                <w:sz w:val="18"/>
                <w:szCs w:val="18"/>
              </w:rPr>
              <w:t>(1-</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12</m:t>
                  </m:r>
                </m:sub>
              </m:sSub>
            </m:oMath>
            <w:r w:rsidRPr="00D2239A">
              <w:rPr>
                <w:rFonts w:eastAsia="Times New Roman" w:cs="Times New Roman"/>
                <w:sz w:val="18"/>
                <w:szCs w:val="18"/>
              </w:rPr>
              <w:t>-</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65</m:t>
                  </m:r>
                </m:sub>
              </m:sSub>
            </m:oMath>
            <w:r w:rsidRPr="00D2239A">
              <w:rPr>
                <w:rFonts w:eastAsia="Times New Roman" w:cs="Times New Roman"/>
                <w:sz w:val="18"/>
                <w:szCs w:val="18"/>
              </w:rPr>
              <w:t>)</w:t>
            </w:r>
          </w:p>
        </w:tc>
        <w:tc>
          <w:tcPr>
            <w:tcW w:w="1687" w:type="dxa"/>
            <w:tcBorders>
              <w:top w:val="nil"/>
              <w:left w:val="nil"/>
              <w:bottom w:val="single" w:sz="4" w:space="0" w:color="auto"/>
              <w:right w:val="nil"/>
            </w:tcBorders>
            <w:tcMar>
              <w:left w:w="14" w:type="dxa"/>
              <w:right w:w="14" w:type="dxa"/>
            </w:tcMar>
            <w:vAlign w:val="center"/>
          </w:tcPr>
          <w:p w14:paraId="165F8C5D" w14:textId="77777777" w:rsidR="00FC04A9" w:rsidRPr="00D2239A" w:rsidRDefault="00FC04A9" w:rsidP="00435936">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 xml:space="preserve">0.363 </w:t>
            </w:r>
            <w:r w:rsidRPr="00D2239A">
              <w:rPr>
                <w:rFonts w:cs="Times New Roman"/>
                <w:sz w:val="18"/>
                <w:szCs w:val="18"/>
              </w:rPr>
              <w:t xml:space="preserve">× </w:t>
            </w:r>
            <w:r w:rsidRPr="00D2239A">
              <w:rPr>
                <w:rFonts w:eastAsia="Times New Roman" w:cs="Times New Roman"/>
                <w:sz w:val="18"/>
                <w:szCs w:val="18"/>
              </w:rPr>
              <w:t>(1-</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12</m:t>
                  </m:r>
                </m:sub>
              </m:sSub>
            </m:oMath>
            <w:r w:rsidRPr="00D2239A">
              <w:rPr>
                <w:rFonts w:eastAsia="Times New Roman" w:cs="Times New Roman"/>
                <w:sz w:val="18"/>
                <w:szCs w:val="18"/>
              </w:rPr>
              <w:t>-</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65</m:t>
                  </m:r>
                </m:sub>
              </m:sSub>
            </m:oMath>
            <w:r w:rsidRPr="00D2239A">
              <w:rPr>
                <w:rFonts w:eastAsia="Times New Roman" w:cs="Times New Roman"/>
                <w:sz w:val="18"/>
                <w:szCs w:val="18"/>
              </w:rPr>
              <w:t>)</w:t>
            </w:r>
          </w:p>
        </w:tc>
        <w:tc>
          <w:tcPr>
            <w:tcW w:w="1688" w:type="dxa"/>
            <w:tcBorders>
              <w:top w:val="nil"/>
              <w:left w:val="nil"/>
              <w:bottom w:val="single" w:sz="4" w:space="0" w:color="auto"/>
              <w:right w:val="nil"/>
            </w:tcBorders>
            <w:tcMar>
              <w:left w:w="14" w:type="dxa"/>
              <w:right w:w="14" w:type="dxa"/>
            </w:tcMar>
            <w:vAlign w:val="center"/>
          </w:tcPr>
          <w:p w14:paraId="6A987F8F" w14:textId="77777777" w:rsidR="00FC04A9" w:rsidRPr="00D2239A" w:rsidRDefault="00FC04A9" w:rsidP="00435936">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 xml:space="preserve">0.221 </w:t>
            </w:r>
            <w:r w:rsidRPr="00D2239A">
              <w:rPr>
                <w:rFonts w:cs="Times New Roman"/>
                <w:sz w:val="18"/>
                <w:szCs w:val="18"/>
              </w:rPr>
              <w:t xml:space="preserve">× </w:t>
            </w:r>
            <w:r w:rsidRPr="00D2239A">
              <w:rPr>
                <w:rFonts w:eastAsia="Times New Roman" w:cs="Times New Roman"/>
                <w:sz w:val="18"/>
                <w:szCs w:val="18"/>
              </w:rPr>
              <w:t>(1-</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12</m:t>
                  </m:r>
                </m:sub>
              </m:sSub>
            </m:oMath>
            <w:r w:rsidRPr="00D2239A">
              <w:rPr>
                <w:rFonts w:eastAsia="Times New Roman" w:cs="Times New Roman"/>
                <w:sz w:val="18"/>
                <w:szCs w:val="18"/>
              </w:rPr>
              <w:t>-</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65</m:t>
                  </m:r>
                </m:sub>
              </m:sSub>
            </m:oMath>
            <w:r w:rsidRPr="00D2239A">
              <w:rPr>
                <w:rFonts w:eastAsia="Times New Roman" w:cs="Times New Roman"/>
                <w:sz w:val="18"/>
                <w:szCs w:val="18"/>
              </w:rPr>
              <w:t>)</w:t>
            </w:r>
          </w:p>
        </w:tc>
        <w:tc>
          <w:tcPr>
            <w:tcW w:w="630" w:type="dxa"/>
            <w:gridSpan w:val="2"/>
            <w:tcBorders>
              <w:top w:val="nil"/>
              <w:left w:val="nil"/>
              <w:bottom w:val="single" w:sz="4" w:space="0" w:color="auto"/>
              <w:right w:val="nil"/>
            </w:tcBorders>
            <w:tcMar>
              <w:left w:w="14" w:type="dxa"/>
              <w:right w:w="14" w:type="dxa"/>
            </w:tcMar>
            <w:vAlign w:val="center"/>
          </w:tcPr>
          <w:p w14:paraId="77627E7E" w14:textId="77777777" w:rsidR="00FC04A9" w:rsidRPr="00D2239A" w:rsidRDefault="00000000" w:rsidP="00435936">
            <w:pPr>
              <w:keepNext/>
              <w:keepLines/>
              <w:spacing w:after="0" w:line="240" w:lineRule="auto"/>
              <w:jc w:val="center"/>
              <w:rPr>
                <w:rFonts w:eastAsia="Times New Roman" w:cs="Times New Roman"/>
                <w:sz w:val="18"/>
                <w:szCs w:val="18"/>
              </w:rPr>
            </w:pPr>
            <m:oMathPara>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p</m:t>
                    </m:r>
                  </m:e>
                  <m:sub>
                    <m:r>
                      <w:rPr>
                        <w:rFonts w:ascii="Cambria Math" w:eastAsia="Times New Roman" w:hAnsi="Cambria Math" w:cs="Times New Roman"/>
                        <w:sz w:val="18"/>
                        <w:szCs w:val="18"/>
                      </w:rPr>
                      <m:t>65</m:t>
                    </m:r>
                  </m:sub>
                </m:sSub>
              </m:oMath>
            </m:oMathPara>
          </w:p>
        </w:tc>
      </w:tr>
    </w:tbl>
    <w:p w14:paraId="23FE50CC" w14:textId="109CD5F8" w:rsidR="00FC04A9" w:rsidRPr="00D2239A" w:rsidRDefault="00A264D8" w:rsidP="00FC04A9">
      <w:pPr>
        <w:spacing w:after="0" w:line="276" w:lineRule="auto"/>
        <w:rPr>
          <w:rFonts w:cs="Times New Roman"/>
          <w:szCs w:val="20"/>
        </w:rPr>
      </w:pPr>
      <w:r w:rsidRPr="00D2239A">
        <w:rPr>
          <w:rFonts w:cs="Times New Roman"/>
          <w:szCs w:val="20"/>
          <w:vertAlign w:val="superscript"/>
        </w:rPr>
        <w:t>a</w:t>
      </w:r>
      <w:r w:rsidRPr="00D2239A">
        <w:rPr>
          <w:rFonts w:cs="Times New Roman"/>
          <w:szCs w:val="20"/>
        </w:rPr>
        <w:t xml:space="preserve"> </w:t>
      </w:r>
      <w:r w:rsidR="00FC04A9" w:rsidRPr="00D2239A">
        <w:rPr>
          <w:rFonts w:cs="Times New Roman"/>
          <w:szCs w:val="20"/>
        </w:rPr>
        <w:t xml:space="preserve">Estimates are </w:t>
      </w:r>
      <w:r w:rsidR="00154468" w:rsidRPr="00D2239A">
        <w:rPr>
          <w:rFonts w:cs="Times New Roman"/>
          <w:szCs w:val="20"/>
        </w:rPr>
        <w:t>community specific</w:t>
      </w:r>
      <w:r w:rsidR="00FC04A9" w:rsidRPr="00D2239A">
        <w:rPr>
          <w:rFonts w:cs="Times New Roman"/>
          <w:szCs w:val="20"/>
        </w:rPr>
        <w:t>.</w:t>
      </w:r>
    </w:p>
    <w:p w14:paraId="6E6E66BE" w14:textId="77777777" w:rsidR="00FC04A9" w:rsidRPr="00D2239A" w:rsidRDefault="00FC04A9" w:rsidP="00FC04A9">
      <w:pPr>
        <w:spacing w:after="0" w:line="276" w:lineRule="auto"/>
        <w:rPr>
          <w:rFonts w:cs="Times New Roman"/>
          <w:szCs w:val="20"/>
        </w:rPr>
      </w:pPr>
    </w:p>
    <w:p w14:paraId="1C686F8D" w14:textId="37335A36" w:rsidR="00FC04A9" w:rsidRPr="00EF4250" w:rsidRDefault="00FC04A9" w:rsidP="00FC04A9">
      <w:pPr>
        <w:spacing w:after="120" w:line="276" w:lineRule="auto"/>
        <w:rPr>
          <w:rFonts w:cs="Times New Roman"/>
          <w:szCs w:val="20"/>
        </w:rPr>
      </w:pPr>
      <w:r w:rsidRPr="00EF4250">
        <w:rPr>
          <w:rFonts w:cs="Times New Roman"/>
          <w:i/>
          <w:iCs/>
          <w:szCs w:val="20"/>
        </w:rPr>
        <w:t xml:space="preserve">Prescription </w:t>
      </w:r>
      <w:r w:rsidR="000F3960" w:rsidRPr="00EF4250">
        <w:rPr>
          <w:rFonts w:cs="Times New Roman"/>
          <w:i/>
          <w:iCs/>
          <w:szCs w:val="20"/>
        </w:rPr>
        <w:t>O</w:t>
      </w:r>
      <w:r w:rsidRPr="00EF4250">
        <w:rPr>
          <w:rFonts w:cs="Times New Roman"/>
          <w:i/>
          <w:iCs/>
          <w:szCs w:val="20"/>
        </w:rPr>
        <w:t xml:space="preserve">pioid </w:t>
      </w:r>
      <w:r w:rsidR="000F3960" w:rsidRPr="00EF4250">
        <w:rPr>
          <w:rFonts w:cs="Times New Roman"/>
          <w:i/>
          <w:iCs/>
          <w:szCs w:val="20"/>
        </w:rPr>
        <w:t>M</w:t>
      </w:r>
      <w:r w:rsidRPr="00EF4250">
        <w:rPr>
          <w:rFonts w:cs="Times New Roman"/>
          <w:i/>
          <w:iCs/>
          <w:szCs w:val="20"/>
        </w:rPr>
        <w:t xml:space="preserve">isuse </w:t>
      </w:r>
      <w:r w:rsidR="000F3960" w:rsidRPr="00EF4250">
        <w:rPr>
          <w:rFonts w:cs="Times New Roman"/>
          <w:i/>
          <w:iCs/>
          <w:szCs w:val="20"/>
        </w:rPr>
        <w:t>O</w:t>
      </w:r>
      <w:r w:rsidRPr="00EF4250">
        <w:rPr>
          <w:rFonts w:cs="Times New Roman"/>
          <w:i/>
          <w:iCs/>
          <w:szCs w:val="20"/>
        </w:rPr>
        <w:t xml:space="preserve">nly (without </w:t>
      </w:r>
      <w:r w:rsidR="000F3960" w:rsidRPr="00EF4250">
        <w:rPr>
          <w:rFonts w:cs="Times New Roman"/>
          <w:i/>
          <w:iCs/>
          <w:szCs w:val="20"/>
        </w:rPr>
        <w:t>I</w:t>
      </w:r>
      <w:r w:rsidRPr="00EF4250">
        <w:rPr>
          <w:rFonts w:cs="Times New Roman"/>
          <w:i/>
          <w:iCs/>
          <w:szCs w:val="20"/>
        </w:rPr>
        <w:t xml:space="preserve">llicit </w:t>
      </w:r>
      <w:r w:rsidR="000F3960" w:rsidRPr="00EF4250">
        <w:rPr>
          <w:rFonts w:cs="Times New Roman"/>
          <w:i/>
          <w:iCs/>
          <w:szCs w:val="20"/>
        </w:rPr>
        <w:t>O</w:t>
      </w:r>
      <w:r w:rsidRPr="00EF4250">
        <w:rPr>
          <w:rFonts w:cs="Times New Roman"/>
          <w:i/>
          <w:iCs/>
          <w:szCs w:val="20"/>
        </w:rPr>
        <w:t xml:space="preserve">pioid </w:t>
      </w:r>
      <w:r w:rsidR="00AD03B9" w:rsidRPr="00EF4250">
        <w:rPr>
          <w:rFonts w:cs="Times New Roman"/>
          <w:i/>
          <w:iCs/>
          <w:szCs w:val="20"/>
        </w:rPr>
        <w:t>U</w:t>
      </w:r>
      <w:r w:rsidRPr="00EF4250">
        <w:rPr>
          <w:rFonts w:cs="Times New Roman"/>
          <w:i/>
          <w:iCs/>
          <w:szCs w:val="20"/>
        </w:rPr>
        <w:t>se</w:t>
      </w:r>
      <w:r w:rsidRPr="00EF4250">
        <w:rPr>
          <w:rFonts w:cs="Times New Roman"/>
          <w:szCs w:val="20"/>
        </w:rPr>
        <w:t xml:space="preserve">) </w:t>
      </w:r>
      <w:r w:rsidRPr="00EF4250">
        <w:rPr>
          <w:rFonts w:cs="Times New Roman"/>
          <w:i/>
          <w:iCs/>
          <w:szCs w:val="20"/>
        </w:rPr>
        <w:t>state</w:t>
      </w:r>
      <w:r w:rsidRPr="00EF4250">
        <w:rPr>
          <w:rFonts w:cs="Times New Roman"/>
          <w:szCs w:val="20"/>
        </w:rPr>
        <w:t>: The age group distribution of the population that misuses prescription opioids only (without illicit opioid use) in 2017 was obtained from 2016-2017 and 2017-2018 state-level NSDUH data provided by NIDA; estimates for this particular group were unavailable from publicly available NSDUH state-level data. Data were provided for the age groups 12-19 years, 20-29 years, 30-49 years, and ≥ 50 years (</w:t>
      </w:r>
      <w:r w:rsidR="00A87FBF" w:rsidRPr="00626C29">
        <w:rPr>
          <w:b/>
          <w:szCs w:val="20"/>
        </w:rPr>
        <w:t xml:space="preserve">Supplementary </w:t>
      </w:r>
      <w:r w:rsidRPr="00EF4250">
        <w:rPr>
          <w:rFonts w:cs="Times New Roman"/>
          <w:b/>
          <w:bCs/>
          <w:szCs w:val="20"/>
        </w:rPr>
        <w:t xml:space="preserve">Table </w:t>
      </w:r>
      <w:r w:rsidR="003F539A" w:rsidRPr="00EF4250">
        <w:rPr>
          <w:rFonts w:cs="Times New Roman"/>
          <w:b/>
          <w:bCs/>
          <w:szCs w:val="20"/>
        </w:rPr>
        <w:t>9</w:t>
      </w:r>
      <w:r w:rsidRPr="00EF4250">
        <w:rPr>
          <w:rFonts w:cs="Times New Roman"/>
          <w:szCs w:val="20"/>
        </w:rPr>
        <w:t>).</w:t>
      </w:r>
    </w:p>
    <w:p w14:paraId="6D8C36AE" w14:textId="6E134174" w:rsidR="00FC04A9" w:rsidRPr="00EF4250" w:rsidRDefault="00A87FBF" w:rsidP="00154468">
      <w:pPr>
        <w:pStyle w:val="table-title"/>
        <w:ind w:left="0" w:firstLine="0"/>
        <w:rPr>
          <w:rFonts w:ascii="Times New Roman" w:hAnsi="Times New Roman"/>
          <w:szCs w:val="20"/>
        </w:rPr>
      </w:pPr>
      <w:r w:rsidRPr="00626C29">
        <w:rPr>
          <w:rFonts w:ascii="Times New Roman" w:hAnsi="Times New Roman"/>
          <w:b/>
          <w:szCs w:val="20"/>
        </w:rPr>
        <w:t xml:space="preserve">Supplementary </w:t>
      </w:r>
      <w:r w:rsidR="00FC04A9" w:rsidRPr="00EF4250">
        <w:rPr>
          <w:rFonts w:ascii="Times New Roman" w:hAnsi="Times New Roman"/>
          <w:b/>
          <w:szCs w:val="20"/>
        </w:rPr>
        <w:t xml:space="preserve">Table </w:t>
      </w:r>
      <w:r w:rsidR="003F539A" w:rsidRPr="00EF4250">
        <w:rPr>
          <w:rFonts w:ascii="Times New Roman" w:hAnsi="Times New Roman"/>
          <w:b/>
          <w:szCs w:val="20"/>
        </w:rPr>
        <w:t>9</w:t>
      </w:r>
      <w:r w:rsidR="00FC04A9" w:rsidRPr="00EF4250">
        <w:rPr>
          <w:rFonts w:ascii="Times New Roman" w:hAnsi="Times New Roman"/>
          <w:szCs w:val="20"/>
        </w:rPr>
        <w:t xml:space="preserve">. Estimated distribution of populations in Massachusetts, New York, and Ohio in 2017 who misuse prescription opioids only by age group. </w:t>
      </w:r>
    </w:p>
    <w:tbl>
      <w:tblPr>
        <w:tblW w:w="9360" w:type="dxa"/>
        <w:tblLayout w:type="fixed"/>
        <w:tblLook w:val="04A0" w:firstRow="1" w:lastRow="0" w:firstColumn="1" w:lastColumn="0" w:noHBand="0" w:noVBand="1"/>
      </w:tblPr>
      <w:tblGrid>
        <w:gridCol w:w="1440"/>
        <w:gridCol w:w="1845"/>
        <w:gridCol w:w="2025"/>
        <w:gridCol w:w="2025"/>
        <w:gridCol w:w="2019"/>
        <w:gridCol w:w="6"/>
      </w:tblGrid>
      <w:tr w:rsidR="00FC04A9" w:rsidRPr="00D2239A" w14:paraId="291B4265" w14:textId="77777777" w:rsidTr="00AD03B9">
        <w:trPr>
          <w:gridAfter w:val="1"/>
          <w:wAfter w:w="6" w:type="dxa"/>
          <w:trHeight w:val="288"/>
        </w:trPr>
        <w:tc>
          <w:tcPr>
            <w:tcW w:w="1440" w:type="dxa"/>
            <w:tcBorders>
              <w:top w:val="single" w:sz="4" w:space="0" w:color="auto"/>
              <w:left w:val="nil"/>
              <w:right w:val="nil"/>
            </w:tcBorders>
            <w:tcMar>
              <w:left w:w="29" w:type="dxa"/>
              <w:right w:w="29" w:type="dxa"/>
            </w:tcMar>
            <w:vAlign w:val="center"/>
          </w:tcPr>
          <w:p w14:paraId="371AB5D6" w14:textId="77777777" w:rsidR="00FC04A9" w:rsidRPr="00D2239A" w:rsidRDefault="00FC04A9" w:rsidP="003B63DD">
            <w:pPr>
              <w:keepNext/>
              <w:keepLines/>
              <w:spacing w:after="0" w:line="240" w:lineRule="auto"/>
              <w:ind w:right="-595"/>
              <w:rPr>
                <w:rFonts w:eastAsia="Times New Roman" w:cs="Times New Roman"/>
                <w:sz w:val="18"/>
                <w:szCs w:val="18"/>
              </w:rPr>
            </w:pPr>
          </w:p>
        </w:tc>
        <w:tc>
          <w:tcPr>
            <w:tcW w:w="7914" w:type="dxa"/>
            <w:gridSpan w:val="4"/>
            <w:tcBorders>
              <w:top w:val="single" w:sz="4" w:space="0" w:color="auto"/>
              <w:left w:val="nil"/>
              <w:right w:val="nil"/>
            </w:tcBorders>
            <w:vAlign w:val="center"/>
          </w:tcPr>
          <w:p w14:paraId="16BE99B4" w14:textId="77777777" w:rsidR="00FC04A9" w:rsidRPr="00D2239A" w:rsidRDefault="00FC04A9" w:rsidP="00354D57">
            <w:pPr>
              <w:keepNext/>
              <w:keepLines/>
              <w:spacing w:after="0" w:line="240" w:lineRule="auto"/>
              <w:jc w:val="center"/>
              <w:rPr>
                <w:rFonts w:eastAsia="Times New Roman" w:cs="Times New Roman"/>
                <w:b/>
                <w:bCs/>
                <w:sz w:val="18"/>
                <w:szCs w:val="18"/>
              </w:rPr>
            </w:pPr>
            <w:r w:rsidRPr="00D2239A">
              <w:rPr>
                <w:rFonts w:eastAsia="Times New Roman" w:cs="Times New Roman"/>
                <w:b/>
                <w:bCs/>
                <w:sz w:val="18"/>
                <w:szCs w:val="18"/>
              </w:rPr>
              <w:t>Proportion by age group</w:t>
            </w:r>
          </w:p>
        </w:tc>
      </w:tr>
      <w:tr w:rsidR="00FC04A9" w:rsidRPr="00D2239A" w14:paraId="52E81801" w14:textId="77777777" w:rsidTr="00AD03B9">
        <w:trPr>
          <w:trHeight w:val="288"/>
        </w:trPr>
        <w:tc>
          <w:tcPr>
            <w:tcW w:w="1440" w:type="dxa"/>
            <w:tcBorders>
              <w:left w:val="nil"/>
              <w:right w:val="nil"/>
            </w:tcBorders>
            <w:tcMar>
              <w:left w:w="29" w:type="dxa"/>
              <w:right w:w="29" w:type="dxa"/>
            </w:tcMar>
            <w:vAlign w:val="center"/>
          </w:tcPr>
          <w:p w14:paraId="15CED26B" w14:textId="77777777" w:rsidR="00FC04A9" w:rsidRPr="00D2239A" w:rsidRDefault="00FC04A9" w:rsidP="003B63DD">
            <w:pPr>
              <w:keepNext/>
              <w:keepLines/>
              <w:spacing w:after="0" w:line="240" w:lineRule="auto"/>
              <w:ind w:right="-595"/>
              <w:rPr>
                <w:rFonts w:eastAsia="Times New Roman" w:cs="Times New Roman"/>
                <w:b/>
                <w:bCs/>
                <w:sz w:val="18"/>
                <w:szCs w:val="18"/>
              </w:rPr>
            </w:pPr>
            <w:r w:rsidRPr="00D2239A">
              <w:rPr>
                <w:rFonts w:eastAsia="Times New Roman" w:cs="Times New Roman"/>
                <w:b/>
                <w:bCs/>
                <w:sz w:val="18"/>
                <w:szCs w:val="18"/>
              </w:rPr>
              <w:t>State</w:t>
            </w:r>
          </w:p>
        </w:tc>
        <w:tc>
          <w:tcPr>
            <w:tcW w:w="1845" w:type="dxa"/>
            <w:tcBorders>
              <w:top w:val="single" w:sz="4" w:space="0" w:color="auto"/>
              <w:left w:val="nil"/>
              <w:bottom w:val="single" w:sz="4" w:space="0" w:color="auto"/>
              <w:right w:val="nil"/>
            </w:tcBorders>
            <w:noWrap/>
            <w:tcMar>
              <w:left w:w="14" w:type="dxa"/>
              <w:right w:w="14" w:type="dxa"/>
            </w:tcMar>
            <w:vAlign w:val="center"/>
          </w:tcPr>
          <w:p w14:paraId="3A6B0F6A" w14:textId="1DD31A55" w:rsidR="00FC04A9" w:rsidRPr="00D2239A" w:rsidRDefault="00FC04A9" w:rsidP="00354D57">
            <w:pPr>
              <w:keepNext/>
              <w:keepLines/>
              <w:spacing w:after="0" w:line="240" w:lineRule="auto"/>
              <w:jc w:val="center"/>
              <w:rPr>
                <w:rFonts w:eastAsia="Times New Roman" w:cs="Times New Roman"/>
                <w:b/>
                <w:bCs/>
                <w:sz w:val="18"/>
                <w:szCs w:val="18"/>
              </w:rPr>
            </w:pPr>
            <w:r w:rsidRPr="00D2239A">
              <w:rPr>
                <w:rFonts w:eastAsia="Times New Roman" w:cs="Times New Roman"/>
                <w:b/>
                <w:bCs/>
                <w:sz w:val="18"/>
                <w:szCs w:val="18"/>
              </w:rPr>
              <w:t>12-19</w:t>
            </w:r>
            <w:r w:rsidR="00A204E0" w:rsidRPr="00D2239A">
              <w:rPr>
                <w:rFonts w:eastAsia="Times New Roman" w:cs="Times New Roman"/>
                <w:b/>
                <w:bCs/>
                <w:sz w:val="18"/>
                <w:szCs w:val="18"/>
              </w:rPr>
              <w:t xml:space="preserve"> </w:t>
            </w:r>
            <w:r w:rsidRPr="00D2239A">
              <w:rPr>
                <w:rFonts w:eastAsia="Times New Roman" w:cs="Times New Roman"/>
                <w:b/>
                <w:bCs/>
                <w:sz w:val="18"/>
                <w:szCs w:val="18"/>
              </w:rPr>
              <w:t>y</w:t>
            </w:r>
            <w:r w:rsidR="00A204E0" w:rsidRPr="00D2239A">
              <w:rPr>
                <w:rFonts w:eastAsia="Times New Roman" w:cs="Times New Roman"/>
                <w:b/>
                <w:bCs/>
                <w:sz w:val="18"/>
                <w:szCs w:val="18"/>
              </w:rPr>
              <w:t>ear</w:t>
            </w:r>
            <w:r w:rsidR="00A264D8" w:rsidRPr="00D2239A">
              <w:rPr>
                <w:rFonts w:eastAsia="Times New Roman" w:cs="Times New Roman"/>
                <w:b/>
                <w:bCs/>
                <w:sz w:val="18"/>
                <w:szCs w:val="18"/>
              </w:rPr>
              <w:t>s</w:t>
            </w:r>
          </w:p>
        </w:tc>
        <w:tc>
          <w:tcPr>
            <w:tcW w:w="2025" w:type="dxa"/>
            <w:tcBorders>
              <w:top w:val="single" w:sz="4" w:space="0" w:color="auto"/>
              <w:left w:val="nil"/>
              <w:bottom w:val="single" w:sz="4" w:space="0" w:color="auto"/>
              <w:right w:val="nil"/>
            </w:tcBorders>
            <w:tcMar>
              <w:left w:w="14" w:type="dxa"/>
              <w:right w:w="14" w:type="dxa"/>
            </w:tcMar>
            <w:vAlign w:val="center"/>
          </w:tcPr>
          <w:p w14:paraId="383B265B" w14:textId="5086A7E9" w:rsidR="00FC04A9" w:rsidRPr="00D2239A" w:rsidRDefault="00FC04A9" w:rsidP="00354D57">
            <w:pPr>
              <w:keepNext/>
              <w:keepLines/>
              <w:spacing w:after="0" w:line="240" w:lineRule="auto"/>
              <w:jc w:val="center"/>
              <w:rPr>
                <w:rFonts w:eastAsia="Times New Roman" w:cs="Times New Roman"/>
                <w:b/>
                <w:bCs/>
                <w:sz w:val="18"/>
                <w:szCs w:val="18"/>
              </w:rPr>
            </w:pPr>
            <w:r w:rsidRPr="00D2239A">
              <w:rPr>
                <w:rFonts w:eastAsia="Times New Roman" w:cs="Times New Roman"/>
                <w:b/>
                <w:bCs/>
                <w:sz w:val="18"/>
                <w:szCs w:val="18"/>
              </w:rPr>
              <w:t>20-29</w:t>
            </w:r>
            <w:r w:rsidR="00A204E0" w:rsidRPr="00D2239A">
              <w:rPr>
                <w:rFonts w:eastAsia="Times New Roman" w:cs="Times New Roman"/>
                <w:b/>
                <w:bCs/>
                <w:sz w:val="18"/>
                <w:szCs w:val="18"/>
              </w:rPr>
              <w:t xml:space="preserve"> </w:t>
            </w:r>
            <w:r w:rsidRPr="00D2239A">
              <w:rPr>
                <w:rFonts w:eastAsia="Times New Roman" w:cs="Times New Roman"/>
                <w:b/>
                <w:bCs/>
                <w:sz w:val="18"/>
                <w:szCs w:val="18"/>
              </w:rPr>
              <w:t>y</w:t>
            </w:r>
            <w:r w:rsidR="00A204E0" w:rsidRPr="00D2239A">
              <w:rPr>
                <w:rFonts w:eastAsia="Times New Roman" w:cs="Times New Roman"/>
                <w:b/>
                <w:bCs/>
                <w:sz w:val="18"/>
                <w:szCs w:val="18"/>
              </w:rPr>
              <w:t>ear</w:t>
            </w:r>
            <w:r w:rsidR="00A264D8" w:rsidRPr="00D2239A">
              <w:rPr>
                <w:rFonts w:eastAsia="Times New Roman" w:cs="Times New Roman"/>
                <w:b/>
                <w:bCs/>
                <w:sz w:val="18"/>
                <w:szCs w:val="18"/>
              </w:rPr>
              <w:t>s</w:t>
            </w:r>
          </w:p>
        </w:tc>
        <w:tc>
          <w:tcPr>
            <w:tcW w:w="2025" w:type="dxa"/>
            <w:tcBorders>
              <w:top w:val="single" w:sz="4" w:space="0" w:color="auto"/>
              <w:left w:val="nil"/>
              <w:bottom w:val="single" w:sz="4" w:space="0" w:color="auto"/>
              <w:right w:val="nil"/>
            </w:tcBorders>
            <w:tcMar>
              <w:left w:w="14" w:type="dxa"/>
              <w:right w:w="14" w:type="dxa"/>
            </w:tcMar>
            <w:vAlign w:val="center"/>
          </w:tcPr>
          <w:p w14:paraId="503B4A86" w14:textId="57CBE893" w:rsidR="00FC04A9" w:rsidRPr="00D2239A" w:rsidRDefault="00FC04A9" w:rsidP="00354D57">
            <w:pPr>
              <w:keepNext/>
              <w:keepLines/>
              <w:spacing w:after="0" w:line="240" w:lineRule="auto"/>
              <w:jc w:val="center"/>
              <w:rPr>
                <w:rFonts w:eastAsia="Times New Roman" w:cs="Times New Roman"/>
                <w:b/>
                <w:bCs/>
                <w:sz w:val="18"/>
                <w:szCs w:val="18"/>
              </w:rPr>
            </w:pPr>
            <w:r w:rsidRPr="00D2239A">
              <w:rPr>
                <w:rFonts w:eastAsia="Times New Roman" w:cs="Times New Roman"/>
                <w:b/>
                <w:bCs/>
                <w:sz w:val="18"/>
                <w:szCs w:val="18"/>
              </w:rPr>
              <w:t>30-49</w:t>
            </w:r>
            <w:r w:rsidR="00A204E0" w:rsidRPr="00D2239A">
              <w:rPr>
                <w:rFonts w:eastAsia="Times New Roman" w:cs="Times New Roman"/>
                <w:b/>
                <w:bCs/>
                <w:sz w:val="18"/>
                <w:szCs w:val="18"/>
              </w:rPr>
              <w:t xml:space="preserve"> </w:t>
            </w:r>
            <w:r w:rsidRPr="00D2239A">
              <w:rPr>
                <w:rFonts w:eastAsia="Times New Roman" w:cs="Times New Roman"/>
                <w:b/>
                <w:bCs/>
                <w:sz w:val="18"/>
                <w:szCs w:val="18"/>
              </w:rPr>
              <w:t>y</w:t>
            </w:r>
            <w:r w:rsidR="00A204E0" w:rsidRPr="00D2239A">
              <w:rPr>
                <w:rFonts w:eastAsia="Times New Roman" w:cs="Times New Roman"/>
                <w:b/>
                <w:bCs/>
                <w:sz w:val="18"/>
                <w:szCs w:val="18"/>
              </w:rPr>
              <w:t>ear</w:t>
            </w:r>
            <w:r w:rsidR="00A264D8" w:rsidRPr="00D2239A">
              <w:rPr>
                <w:rFonts w:eastAsia="Times New Roman" w:cs="Times New Roman"/>
                <w:b/>
                <w:bCs/>
                <w:sz w:val="18"/>
                <w:szCs w:val="18"/>
              </w:rPr>
              <w:t>s</w:t>
            </w:r>
          </w:p>
        </w:tc>
        <w:tc>
          <w:tcPr>
            <w:tcW w:w="2025" w:type="dxa"/>
            <w:gridSpan w:val="2"/>
            <w:tcBorders>
              <w:top w:val="single" w:sz="4" w:space="0" w:color="auto"/>
              <w:left w:val="nil"/>
              <w:bottom w:val="single" w:sz="4" w:space="0" w:color="auto"/>
              <w:right w:val="nil"/>
            </w:tcBorders>
            <w:tcMar>
              <w:left w:w="14" w:type="dxa"/>
              <w:right w:w="14" w:type="dxa"/>
            </w:tcMar>
            <w:vAlign w:val="center"/>
          </w:tcPr>
          <w:p w14:paraId="0DA6CBE0" w14:textId="4BD56D10" w:rsidR="00FC04A9" w:rsidRPr="00D2239A" w:rsidRDefault="00FC04A9" w:rsidP="00354D57">
            <w:pPr>
              <w:keepNext/>
              <w:keepLines/>
              <w:spacing w:after="0" w:line="240" w:lineRule="auto"/>
              <w:jc w:val="center"/>
              <w:rPr>
                <w:rFonts w:eastAsia="Times New Roman" w:cs="Times New Roman"/>
                <w:b/>
                <w:bCs/>
                <w:sz w:val="18"/>
                <w:szCs w:val="18"/>
              </w:rPr>
            </w:pPr>
            <w:r w:rsidRPr="00D2239A">
              <w:rPr>
                <w:rFonts w:eastAsia="Times New Roman" w:cs="Times New Roman"/>
                <w:b/>
                <w:bCs/>
                <w:sz w:val="18"/>
                <w:szCs w:val="18"/>
              </w:rPr>
              <w:t>≥ 50</w:t>
            </w:r>
            <w:r w:rsidR="00A204E0" w:rsidRPr="00D2239A">
              <w:rPr>
                <w:rFonts w:eastAsia="Times New Roman" w:cs="Times New Roman"/>
                <w:b/>
                <w:bCs/>
                <w:sz w:val="18"/>
                <w:szCs w:val="18"/>
              </w:rPr>
              <w:t xml:space="preserve"> </w:t>
            </w:r>
            <w:r w:rsidRPr="00D2239A">
              <w:rPr>
                <w:rFonts w:eastAsia="Times New Roman" w:cs="Times New Roman"/>
                <w:b/>
                <w:bCs/>
                <w:sz w:val="18"/>
                <w:szCs w:val="18"/>
              </w:rPr>
              <w:t>y</w:t>
            </w:r>
            <w:r w:rsidR="00A204E0" w:rsidRPr="00D2239A">
              <w:rPr>
                <w:rFonts w:eastAsia="Times New Roman" w:cs="Times New Roman"/>
                <w:b/>
                <w:bCs/>
                <w:sz w:val="18"/>
                <w:szCs w:val="18"/>
              </w:rPr>
              <w:t>ear</w:t>
            </w:r>
            <w:r w:rsidR="00A264D8" w:rsidRPr="00D2239A">
              <w:rPr>
                <w:rFonts w:eastAsia="Times New Roman" w:cs="Times New Roman"/>
                <w:b/>
                <w:bCs/>
                <w:sz w:val="18"/>
                <w:szCs w:val="18"/>
              </w:rPr>
              <w:t>s</w:t>
            </w:r>
          </w:p>
        </w:tc>
      </w:tr>
      <w:tr w:rsidR="00FC04A9" w:rsidRPr="00D2239A" w14:paraId="54AC7228" w14:textId="77777777" w:rsidTr="00AD03B9">
        <w:trPr>
          <w:trHeight w:val="288"/>
        </w:trPr>
        <w:tc>
          <w:tcPr>
            <w:tcW w:w="1440" w:type="dxa"/>
            <w:tcBorders>
              <w:top w:val="single" w:sz="4" w:space="0" w:color="auto"/>
              <w:left w:val="nil"/>
              <w:bottom w:val="nil"/>
              <w:right w:val="nil"/>
            </w:tcBorders>
            <w:tcMar>
              <w:left w:w="29" w:type="dxa"/>
              <w:right w:w="29" w:type="dxa"/>
            </w:tcMar>
            <w:vAlign w:val="center"/>
          </w:tcPr>
          <w:p w14:paraId="2CEDD114" w14:textId="77777777" w:rsidR="00FC04A9" w:rsidRPr="00D2239A" w:rsidRDefault="00FC04A9" w:rsidP="003B63DD">
            <w:pPr>
              <w:keepNext/>
              <w:keepLines/>
              <w:spacing w:after="0" w:line="240" w:lineRule="auto"/>
              <w:rPr>
                <w:rFonts w:eastAsia="Times New Roman" w:cs="Times New Roman"/>
                <w:sz w:val="18"/>
                <w:szCs w:val="18"/>
              </w:rPr>
            </w:pPr>
            <w:r w:rsidRPr="00D2239A">
              <w:rPr>
                <w:rFonts w:eastAsia="Times New Roman" w:cs="Times New Roman"/>
                <w:sz w:val="18"/>
                <w:szCs w:val="18"/>
              </w:rPr>
              <w:t>Massachusetts</w:t>
            </w:r>
          </w:p>
        </w:tc>
        <w:tc>
          <w:tcPr>
            <w:tcW w:w="1845" w:type="dxa"/>
            <w:tcBorders>
              <w:top w:val="single" w:sz="4" w:space="0" w:color="auto"/>
              <w:left w:val="nil"/>
              <w:bottom w:val="nil"/>
              <w:right w:val="nil"/>
            </w:tcBorders>
            <w:noWrap/>
            <w:tcMar>
              <w:left w:w="14" w:type="dxa"/>
              <w:right w:w="14" w:type="dxa"/>
            </w:tcMar>
            <w:vAlign w:val="center"/>
            <w:hideMark/>
          </w:tcPr>
          <w:p w14:paraId="3A7AC9A0" w14:textId="77777777" w:rsidR="00FC04A9" w:rsidRPr="00D2239A" w:rsidRDefault="00FC04A9" w:rsidP="00354D57">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0.147</w:t>
            </w:r>
          </w:p>
        </w:tc>
        <w:tc>
          <w:tcPr>
            <w:tcW w:w="2025" w:type="dxa"/>
            <w:tcBorders>
              <w:top w:val="single" w:sz="4" w:space="0" w:color="auto"/>
              <w:left w:val="nil"/>
              <w:bottom w:val="nil"/>
              <w:right w:val="nil"/>
            </w:tcBorders>
            <w:tcMar>
              <w:left w:w="14" w:type="dxa"/>
              <w:right w:w="14" w:type="dxa"/>
            </w:tcMar>
            <w:vAlign w:val="center"/>
          </w:tcPr>
          <w:p w14:paraId="1395E568" w14:textId="77777777" w:rsidR="00FC04A9" w:rsidRPr="00D2239A" w:rsidRDefault="00FC04A9" w:rsidP="00354D57">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0.191</w:t>
            </w:r>
          </w:p>
        </w:tc>
        <w:tc>
          <w:tcPr>
            <w:tcW w:w="2025" w:type="dxa"/>
            <w:tcBorders>
              <w:top w:val="single" w:sz="4" w:space="0" w:color="auto"/>
              <w:left w:val="nil"/>
              <w:bottom w:val="nil"/>
              <w:right w:val="nil"/>
            </w:tcBorders>
            <w:tcMar>
              <w:left w:w="14" w:type="dxa"/>
              <w:right w:w="14" w:type="dxa"/>
            </w:tcMar>
            <w:vAlign w:val="center"/>
          </w:tcPr>
          <w:p w14:paraId="788E77EE" w14:textId="77777777" w:rsidR="00FC04A9" w:rsidRPr="00D2239A" w:rsidRDefault="00FC04A9" w:rsidP="00354D57">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0.449</w:t>
            </w:r>
          </w:p>
        </w:tc>
        <w:tc>
          <w:tcPr>
            <w:tcW w:w="2025" w:type="dxa"/>
            <w:gridSpan w:val="2"/>
            <w:tcBorders>
              <w:top w:val="single" w:sz="4" w:space="0" w:color="auto"/>
              <w:left w:val="nil"/>
              <w:bottom w:val="nil"/>
              <w:right w:val="nil"/>
            </w:tcBorders>
            <w:tcMar>
              <w:left w:w="14" w:type="dxa"/>
              <w:right w:w="14" w:type="dxa"/>
            </w:tcMar>
            <w:vAlign w:val="center"/>
          </w:tcPr>
          <w:p w14:paraId="0C9BEBA9" w14:textId="77777777" w:rsidR="00FC04A9" w:rsidRPr="00D2239A" w:rsidRDefault="00FC04A9" w:rsidP="00354D57">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0.212</w:t>
            </w:r>
          </w:p>
        </w:tc>
      </w:tr>
      <w:tr w:rsidR="00FC04A9" w:rsidRPr="00D2239A" w14:paraId="00E094A3" w14:textId="77777777" w:rsidTr="00AD03B9">
        <w:trPr>
          <w:trHeight w:val="288"/>
        </w:trPr>
        <w:tc>
          <w:tcPr>
            <w:tcW w:w="1440" w:type="dxa"/>
            <w:tcBorders>
              <w:left w:val="nil"/>
              <w:bottom w:val="nil"/>
              <w:right w:val="nil"/>
            </w:tcBorders>
            <w:tcMar>
              <w:left w:w="29" w:type="dxa"/>
              <w:right w:w="29" w:type="dxa"/>
            </w:tcMar>
            <w:vAlign w:val="center"/>
          </w:tcPr>
          <w:p w14:paraId="76A45879" w14:textId="77777777" w:rsidR="00FC04A9" w:rsidRPr="00D2239A" w:rsidRDefault="00FC04A9" w:rsidP="003B63DD">
            <w:pPr>
              <w:keepNext/>
              <w:keepLines/>
              <w:spacing w:after="0" w:line="240" w:lineRule="auto"/>
              <w:rPr>
                <w:rFonts w:eastAsia="Times New Roman" w:cs="Times New Roman"/>
                <w:sz w:val="18"/>
                <w:szCs w:val="18"/>
              </w:rPr>
            </w:pPr>
            <w:r w:rsidRPr="00D2239A">
              <w:rPr>
                <w:rFonts w:eastAsia="Times New Roman" w:cs="Times New Roman"/>
                <w:sz w:val="18"/>
                <w:szCs w:val="18"/>
              </w:rPr>
              <w:t>New York</w:t>
            </w:r>
          </w:p>
        </w:tc>
        <w:tc>
          <w:tcPr>
            <w:tcW w:w="1845" w:type="dxa"/>
            <w:tcBorders>
              <w:left w:val="nil"/>
              <w:bottom w:val="nil"/>
              <w:right w:val="nil"/>
            </w:tcBorders>
            <w:noWrap/>
            <w:tcMar>
              <w:left w:w="14" w:type="dxa"/>
              <w:right w:w="14" w:type="dxa"/>
            </w:tcMar>
            <w:vAlign w:val="center"/>
          </w:tcPr>
          <w:p w14:paraId="19E30209" w14:textId="77777777" w:rsidR="00FC04A9" w:rsidRPr="00D2239A" w:rsidRDefault="00FC04A9" w:rsidP="00354D57">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0.096</w:t>
            </w:r>
          </w:p>
        </w:tc>
        <w:tc>
          <w:tcPr>
            <w:tcW w:w="2025" w:type="dxa"/>
            <w:tcBorders>
              <w:left w:val="nil"/>
              <w:bottom w:val="nil"/>
              <w:right w:val="nil"/>
            </w:tcBorders>
            <w:tcMar>
              <w:left w:w="14" w:type="dxa"/>
              <w:right w:w="14" w:type="dxa"/>
            </w:tcMar>
            <w:vAlign w:val="center"/>
          </w:tcPr>
          <w:p w14:paraId="34D1D249" w14:textId="77777777" w:rsidR="00FC04A9" w:rsidRPr="00D2239A" w:rsidRDefault="00FC04A9" w:rsidP="00354D57">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0.308</w:t>
            </w:r>
          </w:p>
        </w:tc>
        <w:tc>
          <w:tcPr>
            <w:tcW w:w="2025" w:type="dxa"/>
            <w:tcBorders>
              <w:left w:val="nil"/>
              <w:bottom w:val="nil"/>
              <w:right w:val="nil"/>
            </w:tcBorders>
            <w:tcMar>
              <w:left w:w="14" w:type="dxa"/>
              <w:right w:w="14" w:type="dxa"/>
            </w:tcMar>
            <w:vAlign w:val="center"/>
          </w:tcPr>
          <w:p w14:paraId="707D0B24" w14:textId="77777777" w:rsidR="00FC04A9" w:rsidRPr="00D2239A" w:rsidRDefault="00FC04A9" w:rsidP="00354D57">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0.335</w:t>
            </w:r>
          </w:p>
        </w:tc>
        <w:tc>
          <w:tcPr>
            <w:tcW w:w="2025" w:type="dxa"/>
            <w:gridSpan w:val="2"/>
            <w:tcBorders>
              <w:left w:val="nil"/>
              <w:bottom w:val="nil"/>
              <w:right w:val="nil"/>
            </w:tcBorders>
            <w:tcMar>
              <w:left w:w="14" w:type="dxa"/>
              <w:right w:w="14" w:type="dxa"/>
            </w:tcMar>
            <w:vAlign w:val="center"/>
          </w:tcPr>
          <w:p w14:paraId="08214F01" w14:textId="77777777" w:rsidR="00FC04A9" w:rsidRPr="00D2239A" w:rsidRDefault="00FC04A9" w:rsidP="00354D57">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0.261</w:t>
            </w:r>
          </w:p>
        </w:tc>
      </w:tr>
      <w:tr w:rsidR="00FC04A9" w:rsidRPr="00D2239A" w14:paraId="2CEC7854" w14:textId="77777777" w:rsidTr="00AD03B9">
        <w:trPr>
          <w:trHeight w:val="288"/>
        </w:trPr>
        <w:tc>
          <w:tcPr>
            <w:tcW w:w="1440" w:type="dxa"/>
            <w:tcBorders>
              <w:top w:val="nil"/>
              <w:left w:val="nil"/>
              <w:bottom w:val="single" w:sz="4" w:space="0" w:color="auto"/>
              <w:right w:val="nil"/>
            </w:tcBorders>
            <w:tcMar>
              <w:left w:w="29" w:type="dxa"/>
              <w:right w:w="29" w:type="dxa"/>
            </w:tcMar>
            <w:vAlign w:val="center"/>
          </w:tcPr>
          <w:p w14:paraId="42B2D854" w14:textId="77777777" w:rsidR="00FC04A9" w:rsidRPr="00D2239A" w:rsidRDefault="00FC04A9" w:rsidP="003B63DD">
            <w:pPr>
              <w:keepNext/>
              <w:keepLines/>
              <w:spacing w:after="0" w:line="240" w:lineRule="auto"/>
              <w:rPr>
                <w:rFonts w:eastAsia="Times New Roman" w:cs="Times New Roman"/>
                <w:sz w:val="18"/>
                <w:szCs w:val="18"/>
              </w:rPr>
            </w:pPr>
            <w:r w:rsidRPr="00D2239A">
              <w:rPr>
                <w:rFonts w:eastAsia="Times New Roman" w:cs="Times New Roman"/>
                <w:sz w:val="18"/>
                <w:szCs w:val="18"/>
              </w:rPr>
              <w:t>Ohio</w:t>
            </w:r>
          </w:p>
        </w:tc>
        <w:tc>
          <w:tcPr>
            <w:tcW w:w="1845" w:type="dxa"/>
            <w:tcBorders>
              <w:top w:val="nil"/>
              <w:left w:val="nil"/>
              <w:bottom w:val="single" w:sz="4" w:space="0" w:color="auto"/>
              <w:right w:val="nil"/>
            </w:tcBorders>
            <w:noWrap/>
            <w:tcMar>
              <w:left w:w="14" w:type="dxa"/>
              <w:right w:w="14" w:type="dxa"/>
            </w:tcMar>
            <w:vAlign w:val="center"/>
            <w:hideMark/>
          </w:tcPr>
          <w:p w14:paraId="6221E150" w14:textId="77777777" w:rsidR="00FC04A9" w:rsidRPr="00D2239A" w:rsidRDefault="00FC04A9" w:rsidP="00354D57">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0.109</w:t>
            </w:r>
          </w:p>
        </w:tc>
        <w:tc>
          <w:tcPr>
            <w:tcW w:w="2025" w:type="dxa"/>
            <w:tcBorders>
              <w:top w:val="nil"/>
              <w:left w:val="nil"/>
              <w:bottom w:val="single" w:sz="4" w:space="0" w:color="auto"/>
              <w:right w:val="nil"/>
            </w:tcBorders>
            <w:tcMar>
              <w:left w:w="14" w:type="dxa"/>
              <w:right w:w="14" w:type="dxa"/>
            </w:tcMar>
            <w:vAlign w:val="center"/>
          </w:tcPr>
          <w:p w14:paraId="48CD945A" w14:textId="77777777" w:rsidR="00FC04A9" w:rsidRPr="00D2239A" w:rsidRDefault="00FC04A9" w:rsidP="00354D57">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0.241</w:t>
            </w:r>
          </w:p>
        </w:tc>
        <w:tc>
          <w:tcPr>
            <w:tcW w:w="2025" w:type="dxa"/>
            <w:tcBorders>
              <w:top w:val="nil"/>
              <w:left w:val="nil"/>
              <w:bottom w:val="single" w:sz="4" w:space="0" w:color="auto"/>
              <w:right w:val="nil"/>
            </w:tcBorders>
            <w:tcMar>
              <w:left w:w="14" w:type="dxa"/>
              <w:right w:w="14" w:type="dxa"/>
            </w:tcMar>
            <w:vAlign w:val="center"/>
          </w:tcPr>
          <w:p w14:paraId="11C115D1" w14:textId="77777777" w:rsidR="00FC04A9" w:rsidRPr="00D2239A" w:rsidRDefault="00FC04A9" w:rsidP="00354D57">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0.401</w:t>
            </w:r>
          </w:p>
        </w:tc>
        <w:tc>
          <w:tcPr>
            <w:tcW w:w="2025" w:type="dxa"/>
            <w:gridSpan w:val="2"/>
            <w:tcBorders>
              <w:top w:val="nil"/>
              <w:left w:val="nil"/>
              <w:bottom w:val="single" w:sz="4" w:space="0" w:color="auto"/>
              <w:right w:val="nil"/>
            </w:tcBorders>
            <w:tcMar>
              <w:left w:w="14" w:type="dxa"/>
              <w:right w:w="14" w:type="dxa"/>
            </w:tcMar>
            <w:vAlign w:val="center"/>
          </w:tcPr>
          <w:p w14:paraId="376EB397" w14:textId="77777777" w:rsidR="00FC04A9" w:rsidRPr="00D2239A" w:rsidRDefault="00FC04A9" w:rsidP="00354D57">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0.250</w:t>
            </w:r>
          </w:p>
        </w:tc>
      </w:tr>
    </w:tbl>
    <w:p w14:paraId="06D10B81" w14:textId="77777777" w:rsidR="00FC04A9" w:rsidRPr="00D2239A" w:rsidRDefault="00FC04A9" w:rsidP="00FC04A9">
      <w:pPr>
        <w:spacing w:after="120" w:line="276" w:lineRule="auto"/>
        <w:rPr>
          <w:rFonts w:cs="Times New Roman"/>
          <w:sz w:val="22"/>
          <w:szCs w:val="22"/>
        </w:rPr>
      </w:pPr>
    </w:p>
    <w:p w14:paraId="24E7F662" w14:textId="674DE6AE" w:rsidR="003F539A" w:rsidRPr="00EF4250" w:rsidRDefault="00FC04A9" w:rsidP="00FC04A9">
      <w:pPr>
        <w:spacing w:after="120" w:line="276" w:lineRule="auto"/>
        <w:rPr>
          <w:rFonts w:cs="Times New Roman"/>
          <w:szCs w:val="20"/>
        </w:rPr>
      </w:pPr>
      <w:r w:rsidRPr="00EF4250">
        <w:rPr>
          <w:rFonts w:cs="Times New Roman"/>
          <w:i/>
          <w:iCs/>
          <w:szCs w:val="20"/>
        </w:rPr>
        <w:t xml:space="preserve">Illicit </w:t>
      </w:r>
      <w:r w:rsidR="00DA6A13" w:rsidRPr="00EF4250">
        <w:rPr>
          <w:rFonts w:cs="Times New Roman"/>
          <w:i/>
          <w:iCs/>
          <w:szCs w:val="20"/>
        </w:rPr>
        <w:t>O</w:t>
      </w:r>
      <w:r w:rsidRPr="00EF4250">
        <w:rPr>
          <w:rFonts w:cs="Times New Roman"/>
          <w:i/>
          <w:iCs/>
          <w:szCs w:val="20"/>
        </w:rPr>
        <w:t xml:space="preserve">pioid </w:t>
      </w:r>
      <w:r w:rsidR="00DA6A13" w:rsidRPr="00EF4250">
        <w:rPr>
          <w:rFonts w:cs="Times New Roman"/>
          <w:i/>
          <w:iCs/>
          <w:szCs w:val="20"/>
        </w:rPr>
        <w:t>U</w:t>
      </w:r>
      <w:r w:rsidRPr="00EF4250">
        <w:rPr>
          <w:rFonts w:cs="Times New Roman"/>
          <w:i/>
          <w:iCs/>
          <w:szCs w:val="20"/>
        </w:rPr>
        <w:t>se without OUD state</w:t>
      </w:r>
      <w:r w:rsidRPr="00EF4250">
        <w:rPr>
          <w:rFonts w:cs="Times New Roman"/>
          <w:szCs w:val="20"/>
        </w:rPr>
        <w:t>: The distribution of the population that uses illicit opioids without OUD in 2017 was unavailable by age group from publicly</w:t>
      </w:r>
      <w:r w:rsidR="00A204E0" w:rsidRPr="00EF4250">
        <w:rPr>
          <w:rFonts w:cs="Times New Roman"/>
          <w:szCs w:val="20"/>
        </w:rPr>
        <w:t xml:space="preserve"> </w:t>
      </w:r>
      <w:r w:rsidRPr="00EF4250">
        <w:rPr>
          <w:rFonts w:cs="Times New Roman"/>
          <w:szCs w:val="20"/>
        </w:rPr>
        <w:t>available NSDUH state-level data. Due to small numbers, the estimates were also not available by special request from NID</w:t>
      </w:r>
      <w:r w:rsidR="000F0BF2" w:rsidRPr="00EF4250">
        <w:rPr>
          <w:rFonts w:cs="Times New Roman"/>
          <w:szCs w:val="20"/>
        </w:rPr>
        <w:t>A</w:t>
      </w:r>
      <w:r w:rsidRPr="00EF4250">
        <w:rPr>
          <w:rFonts w:cs="Times New Roman"/>
          <w:szCs w:val="20"/>
        </w:rPr>
        <w:t>. Accordingly, we assumed that the distribution by age group of those who use illicit opioids without OUD would be the same as the distribution for those who reported using heroin in the past year with or without OUD. The age distribution for the latter was estimated from 2016-2017 and 2017-2018 state-level NSDUH data</w:t>
      </w:r>
      <w:r w:rsidR="00964A3A" w:rsidRPr="00EF4250">
        <w:rPr>
          <w:rFonts w:cs="Times New Roman"/>
          <w:szCs w:val="20"/>
        </w:rPr>
        <w:fldChar w:fldCharType="begin"/>
      </w:r>
      <w:r w:rsidR="009959E5">
        <w:rPr>
          <w:rFonts w:cs="Times New Roman"/>
          <w:szCs w:val="20"/>
        </w:rPr>
        <w:instrText xml:space="preserve"> ADDIN EN.CITE &lt;EndNote&gt;&lt;Cite&gt;&lt;Author&gt;Substance Abuse and Mental Health Services Administration (SAMHSA)&lt;/Author&gt;&lt;RecNum&gt;441&lt;/RecNum&gt;&lt;DisplayText&gt;&lt;style face="superscript"&gt;12,13&lt;/style&gt;&lt;/DisplayText&gt;&lt;record&gt;&lt;rec-number&gt;441&lt;/rec-number&gt;&lt;foreign-keys&gt;&lt;key app="EN" db-id="avtevdx5n99twqeadeupredtzeaatxdp5xsr" timestamp="1727801651"&gt;441&lt;/key&gt;&lt;/foreign-keys&gt;&lt;ref-type name="Web Page"&gt;12&lt;/ref-type&gt;&lt;contributors&gt;&lt;authors&gt;&lt;author&gt;Substance Abuse and Mental Health Services Administration (SAMHSA),,&lt;/author&gt;&lt;/authors&gt;&lt;/contributors&gt;&lt;titles&gt;&lt;title&gt;National survey on drug use and health: 2-year RDAS (2016 to 2017) [Data set]&lt;/title&gt;&lt;/titles&gt;&lt;volume&gt;2023&lt;/volume&gt;&lt;number&gt;Jan 17&lt;/number&gt;&lt;dates&gt;&lt;/dates&gt;&lt;publisher&gt;Substance Abuse and Mental Health Data Archive&lt;/publisher&gt;&lt;urls&gt;&lt;related-urls&gt;&lt;url&gt;https://rdas.samhsa.gov/#/survey/NSDUH-2016-2017-RD02YR&lt;/url&gt;&lt;/related-urls&gt;&lt;/urls&gt;&lt;/record&gt;&lt;/Cite&gt;&lt;Cite&gt;&lt;Author&gt;Substance Abuse and Mental Health Services Administration (SAMHSA)&lt;/Author&gt;&lt;RecNum&gt;442&lt;/RecNum&gt;&lt;record&gt;&lt;rec-number&gt;442&lt;/rec-number&gt;&lt;foreign-keys&gt;&lt;key app="EN" db-id="avtevdx5n99twqeadeupredtzeaatxdp5xsr" timestamp="1727801651"&gt;442&lt;/key&gt;&lt;/foreign-keys&gt;&lt;ref-type name="Web Page"&gt;12&lt;/ref-type&gt;&lt;contributors&gt;&lt;authors&gt;&lt;author&gt;Substance Abuse and Mental Health Services Administration (SAMHSA),,&lt;/author&gt;&lt;/authors&gt;&lt;/contributors&gt;&lt;titles&gt;&lt;title&gt;National survey on drug use and health: 2-year RDAS (2017 to 2018) [Data set]&lt;/title&gt;&lt;/titles&gt;&lt;volume&gt;2023&lt;/volume&gt;&lt;number&gt;Jan 17&lt;/number&gt;&lt;dates&gt;&lt;/dates&gt;&lt;publisher&gt;Substance Abuse and Mental Health Data Archive&lt;/publisher&gt;&lt;urls&gt;&lt;related-urls&gt;&lt;url&gt;https://rdas.samhsa.gov/#/survey/NSDUH-2017-2018-RD02YR&lt;/url&gt;&lt;/related-urls&gt;&lt;/urls&gt;&lt;/record&gt;&lt;/Cite&gt;&lt;/EndNote&gt;</w:instrText>
      </w:r>
      <w:r w:rsidR="00964A3A" w:rsidRPr="00EF4250">
        <w:rPr>
          <w:rFonts w:cs="Times New Roman"/>
          <w:szCs w:val="20"/>
        </w:rPr>
        <w:fldChar w:fldCharType="separate"/>
      </w:r>
      <w:r w:rsidR="00964A3A" w:rsidRPr="00EF4250">
        <w:rPr>
          <w:rFonts w:cs="Times New Roman"/>
          <w:noProof/>
          <w:szCs w:val="20"/>
          <w:vertAlign w:val="superscript"/>
        </w:rPr>
        <w:t>12,13</w:t>
      </w:r>
      <w:r w:rsidR="00964A3A" w:rsidRPr="00EF4250">
        <w:rPr>
          <w:rFonts w:cs="Times New Roman"/>
          <w:szCs w:val="20"/>
        </w:rPr>
        <w:fldChar w:fldCharType="end"/>
      </w:r>
      <w:r w:rsidRPr="00EF4250">
        <w:rPr>
          <w:rFonts w:cs="Times New Roman"/>
          <w:szCs w:val="20"/>
        </w:rPr>
        <w:t xml:space="preserve"> (</w:t>
      </w:r>
      <w:r w:rsidR="00A87FBF" w:rsidRPr="00626C29">
        <w:rPr>
          <w:b/>
          <w:szCs w:val="20"/>
        </w:rPr>
        <w:t xml:space="preserve">Supplementary </w:t>
      </w:r>
      <w:r w:rsidRPr="00EF4250">
        <w:rPr>
          <w:rFonts w:cs="Times New Roman"/>
          <w:b/>
          <w:bCs/>
          <w:szCs w:val="20"/>
        </w:rPr>
        <w:t xml:space="preserve">Table </w:t>
      </w:r>
      <w:r w:rsidR="00A87FBF">
        <w:rPr>
          <w:rFonts w:cs="Times New Roman"/>
          <w:b/>
          <w:bCs/>
          <w:szCs w:val="20"/>
        </w:rPr>
        <w:t>1</w:t>
      </w:r>
      <w:r w:rsidR="003F539A" w:rsidRPr="00EF4250">
        <w:rPr>
          <w:rFonts w:cs="Times New Roman"/>
          <w:b/>
          <w:bCs/>
          <w:szCs w:val="20"/>
        </w:rPr>
        <w:t>0</w:t>
      </w:r>
      <w:r w:rsidRPr="00EF4250">
        <w:rPr>
          <w:rFonts w:cs="Times New Roman"/>
          <w:szCs w:val="20"/>
        </w:rPr>
        <w:t xml:space="preserve">). </w:t>
      </w:r>
    </w:p>
    <w:p w14:paraId="1D91AABC" w14:textId="788825C4" w:rsidR="00FC04A9" w:rsidRPr="00EF4250" w:rsidRDefault="00A87FBF" w:rsidP="00154468">
      <w:pPr>
        <w:pStyle w:val="table-title"/>
        <w:ind w:left="0" w:firstLine="0"/>
        <w:rPr>
          <w:rFonts w:ascii="Times New Roman" w:hAnsi="Times New Roman"/>
          <w:szCs w:val="20"/>
        </w:rPr>
      </w:pPr>
      <w:r w:rsidRPr="00626C29">
        <w:rPr>
          <w:rFonts w:ascii="Times New Roman" w:hAnsi="Times New Roman"/>
          <w:b/>
          <w:szCs w:val="20"/>
        </w:rPr>
        <w:t xml:space="preserve">Supplementary </w:t>
      </w:r>
      <w:r w:rsidR="00FC04A9" w:rsidRPr="00EF4250">
        <w:rPr>
          <w:rFonts w:ascii="Times New Roman" w:hAnsi="Times New Roman"/>
          <w:b/>
          <w:szCs w:val="20"/>
        </w:rPr>
        <w:t xml:space="preserve">Table </w:t>
      </w:r>
      <w:r w:rsidR="003F539A" w:rsidRPr="00EF4250">
        <w:rPr>
          <w:rFonts w:ascii="Times New Roman" w:hAnsi="Times New Roman"/>
          <w:b/>
          <w:szCs w:val="20"/>
        </w:rPr>
        <w:t>10</w:t>
      </w:r>
      <w:r w:rsidR="00FC04A9" w:rsidRPr="00EF4250">
        <w:rPr>
          <w:rFonts w:ascii="Times New Roman" w:hAnsi="Times New Roman"/>
          <w:szCs w:val="20"/>
        </w:rPr>
        <w:t xml:space="preserve">. Estimated distribution of populations in Massachusetts, New York, and Ohio in 2017 who use illicit opioids without OUD by age group. </w:t>
      </w:r>
    </w:p>
    <w:tbl>
      <w:tblPr>
        <w:tblW w:w="9360" w:type="dxa"/>
        <w:tblLayout w:type="fixed"/>
        <w:tblLook w:val="04A0" w:firstRow="1" w:lastRow="0" w:firstColumn="1" w:lastColumn="0" w:noHBand="0" w:noVBand="1"/>
      </w:tblPr>
      <w:tblGrid>
        <w:gridCol w:w="1260"/>
        <w:gridCol w:w="2025"/>
        <w:gridCol w:w="2025"/>
        <w:gridCol w:w="2025"/>
        <w:gridCol w:w="2019"/>
        <w:gridCol w:w="6"/>
      </w:tblGrid>
      <w:tr w:rsidR="00FC04A9" w:rsidRPr="00D2239A" w14:paraId="58A47F65" w14:textId="77777777" w:rsidTr="00342646">
        <w:trPr>
          <w:gridAfter w:val="1"/>
          <w:wAfter w:w="6" w:type="dxa"/>
          <w:trHeight w:val="288"/>
        </w:trPr>
        <w:tc>
          <w:tcPr>
            <w:tcW w:w="1260" w:type="dxa"/>
            <w:tcBorders>
              <w:top w:val="single" w:sz="4" w:space="0" w:color="auto"/>
              <w:left w:val="nil"/>
              <w:right w:val="nil"/>
            </w:tcBorders>
            <w:tcMar>
              <w:left w:w="29" w:type="dxa"/>
              <w:right w:w="29" w:type="dxa"/>
            </w:tcMar>
            <w:vAlign w:val="center"/>
          </w:tcPr>
          <w:p w14:paraId="784FA5E4" w14:textId="77777777" w:rsidR="00FC04A9" w:rsidRPr="00D2239A" w:rsidRDefault="00FC04A9" w:rsidP="00342646">
            <w:pPr>
              <w:keepNext/>
              <w:keepLines/>
              <w:spacing w:after="0" w:line="240" w:lineRule="auto"/>
              <w:ind w:right="-595"/>
              <w:rPr>
                <w:rFonts w:eastAsia="Times New Roman" w:cs="Times New Roman"/>
                <w:sz w:val="18"/>
                <w:szCs w:val="18"/>
              </w:rPr>
            </w:pPr>
          </w:p>
        </w:tc>
        <w:tc>
          <w:tcPr>
            <w:tcW w:w="8094" w:type="dxa"/>
            <w:gridSpan w:val="4"/>
            <w:tcBorders>
              <w:top w:val="single" w:sz="4" w:space="0" w:color="auto"/>
              <w:left w:val="nil"/>
              <w:right w:val="nil"/>
            </w:tcBorders>
            <w:vAlign w:val="center"/>
          </w:tcPr>
          <w:p w14:paraId="229C137E" w14:textId="77777777" w:rsidR="00FC04A9" w:rsidRPr="00D2239A" w:rsidRDefault="00FC04A9" w:rsidP="00354D57">
            <w:pPr>
              <w:keepNext/>
              <w:keepLines/>
              <w:spacing w:after="0" w:line="240" w:lineRule="auto"/>
              <w:jc w:val="center"/>
              <w:rPr>
                <w:rFonts w:eastAsia="Times New Roman" w:cs="Times New Roman"/>
                <w:b/>
                <w:bCs/>
                <w:sz w:val="18"/>
                <w:szCs w:val="18"/>
              </w:rPr>
            </w:pPr>
            <w:r w:rsidRPr="00D2239A">
              <w:rPr>
                <w:rFonts w:eastAsia="Times New Roman" w:cs="Times New Roman"/>
                <w:b/>
                <w:bCs/>
                <w:sz w:val="18"/>
                <w:szCs w:val="18"/>
              </w:rPr>
              <w:t>Proportion by age group</w:t>
            </w:r>
          </w:p>
        </w:tc>
      </w:tr>
      <w:tr w:rsidR="00FC04A9" w:rsidRPr="00D2239A" w14:paraId="377EB0FC" w14:textId="77777777" w:rsidTr="00342646">
        <w:trPr>
          <w:trHeight w:val="288"/>
        </w:trPr>
        <w:tc>
          <w:tcPr>
            <w:tcW w:w="1260" w:type="dxa"/>
            <w:tcBorders>
              <w:left w:val="nil"/>
              <w:right w:val="nil"/>
            </w:tcBorders>
            <w:tcMar>
              <w:left w:w="29" w:type="dxa"/>
              <w:right w:w="29" w:type="dxa"/>
            </w:tcMar>
            <w:vAlign w:val="center"/>
          </w:tcPr>
          <w:p w14:paraId="39B82F7E" w14:textId="77777777" w:rsidR="00FC04A9" w:rsidRPr="00D2239A" w:rsidRDefault="00FC04A9" w:rsidP="00354D57">
            <w:pPr>
              <w:keepNext/>
              <w:keepLines/>
              <w:spacing w:after="0" w:line="240" w:lineRule="auto"/>
              <w:ind w:right="-595"/>
              <w:rPr>
                <w:rFonts w:eastAsia="Times New Roman" w:cs="Times New Roman"/>
                <w:b/>
                <w:bCs/>
                <w:sz w:val="18"/>
                <w:szCs w:val="18"/>
              </w:rPr>
            </w:pPr>
            <w:r w:rsidRPr="00D2239A">
              <w:rPr>
                <w:rFonts w:eastAsia="Times New Roman" w:cs="Times New Roman"/>
                <w:b/>
                <w:bCs/>
                <w:sz w:val="18"/>
                <w:szCs w:val="18"/>
              </w:rPr>
              <w:t>State</w:t>
            </w:r>
          </w:p>
        </w:tc>
        <w:tc>
          <w:tcPr>
            <w:tcW w:w="2025" w:type="dxa"/>
            <w:tcBorders>
              <w:top w:val="single" w:sz="4" w:space="0" w:color="auto"/>
              <w:left w:val="nil"/>
              <w:bottom w:val="single" w:sz="4" w:space="0" w:color="auto"/>
              <w:right w:val="nil"/>
            </w:tcBorders>
            <w:noWrap/>
            <w:tcMar>
              <w:left w:w="14" w:type="dxa"/>
              <w:right w:w="14" w:type="dxa"/>
            </w:tcMar>
            <w:vAlign w:val="center"/>
          </w:tcPr>
          <w:p w14:paraId="6A02BA88" w14:textId="686DF5EE" w:rsidR="00FC04A9" w:rsidRPr="00D2239A" w:rsidRDefault="00FC04A9" w:rsidP="00354D57">
            <w:pPr>
              <w:keepNext/>
              <w:keepLines/>
              <w:spacing w:after="0" w:line="240" w:lineRule="auto"/>
              <w:jc w:val="center"/>
              <w:rPr>
                <w:rFonts w:eastAsia="Times New Roman" w:cs="Times New Roman"/>
                <w:b/>
                <w:bCs/>
                <w:sz w:val="18"/>
                <w:szCs w:val="18"/>
              </w:rPr>
            </w:pPr>
            <w:r w:rsidRPr="00D2239A">
              <w:rPr>
                <w:rFonts w:eastAsia="Times New Roman" w:cs="Times New Roman"/>
                <w:b/>
                <w:bCs/>
                <w:sz w:val="18"/>
                <w:szCs w:val="18"/>
              </w:rPr>
              <w:t>12-17</w:t>
            </w:r>
            <w:r w:rsidR="00594AB6" w:rsidRPr="00D2239A">
              <w:rPr>
                <w:rFonts w:eastAsia="Times New Roman" w:cs="Times New Roman"/>
                <w:b/>
                <w:bCs/>
                <w:sz w:val="18"/>
                <w:szCs w:val="18"/>
              </w:rPr>
              <w:t xml:space="preserve"> </w:t>
            </w:r>
            <w:r w:rsidRPr="00D2239A">
              <w:rPr>
                <w:rFonts w:eastAsia="Times New Roman" w:cs="Times New Roman"/>
                <w:b/>
                <w:bCs/>
                <w:sz w:val="18"/>
                <w:szCs w:val="18"/>
              </w:rPr>
              <w:t>y</w:t>
            </w:r>
            <w:r w:rsidR="00594AB6" w:rsidRPr="00D2239A">
              <w:rPr>
                <w:rFonts w:eastAsia="Times New Roman" w:cs="Times New Roman"/>
                <w:b/>
                <w:bCs/>
                <w:sz w:val="18"/>
                <w:szCs w:val="18"/>
              </w:rPr>
              <w:t>ear</w:t>
            </w:r>
            <w:r w:rsidR="00A264D8" w:rsidRPr="00D2239A">
              <w:rPr>
                <w:rFonts w:eastAsia="Times New Roman" w:cs="Times New Roman"/>
                <w:b/>
                <w:bCs/>
                <w:sz w:val="18"/>
                <w:szCs w:val="18"/>
              </w:rPr>
              <w:t>s</w:t>
            </w:r>
          </w:p>
        </w:tc>
        <w:tc>
          <w:tcPr>
            <w:tcW w:w="2025" w:type="dxa"/>
            <w:tcBorders>
              <w:top w:val="single" w:sz="4" w:space="0" w:color="auto"/>
              <w:left w:val="nil"/>
              <w:bottom w:val="single" w:sz="4" w:space="0" w:color="auto"/>
              <w:right w:val="nil"/>
            </w:tcBorders>
            <w:tcMar>
              <w:left w:w="14" w:type="dxa"/>
              <w:right w:w="14" w:type="dxa"/>
            </w:tcMar>
            <w:vAlign w:val="center"/>
          </w:tcPr>
          <w:p w14:paraId="05BAD15F" w14:textId="6C31401B" w:rsidR="00FC04A9" w:rsidRPr="00D2239A" w:rsidRDefault="00FC04A9" w:rsidP="00354D57">
            <w:pPr>
              <w:keepNext/>
              <w:keepLines/>
              <w:spacing w:after="0" w:line="240" w:lineRule="auto"/>
              <w:jc w:val="center"/>
              <w:rPr>
                <w:rFonts w:eastAsia="Times New Roman" w:cs="Times New Roman"/>
                <w:b/>
                <w:bCs/>
                <w:sz w:val="18"/>
                <w:szCs w:val="18"/>
              </w:rPr>
            </w:pPr>
            <w:r w:rsidRPr="00D2239A">
              <w:rPr>
                <w:rFonts w:eastAsia="Times New Roman" w:cs="Times New Roman"/>
                <w:b/>
                <w:bCs/>
                <w:sz w:val="18"/>
                <w:szCs w:val="18"/>
              </w:rPr>
              <w:t>18-25</w:t>
            </w:r>
            <w:r w:rsidR="00594AB6" w:rsidRPr="00D2239A">
              <w:rPr>
                <w:rFonts w:eastAsia="Times New Roman" w:cs="Times New Roman"/>
                <w:b/>
                <w:bCs/>
                <w:sz w:val="18"/>
                <w:szCs w:val="18"/>
              </w:rPr>
              <w:t xml:space="preserve"> </w:t>
            </w:r>
            <w:r w:rsidRPr="00D2239A">
              <w:rPr>
                <w:rFonts w:eastAsia="Times New Roman" w:cs="Times New Roman"/>
                <w:b/>
                <w:bCs/>
                <w:sz w:val="18"/>
                <w:szCs w:val="18"/>
              </w:rPr>
              <w:t>y</w:t>
            </w:r>
            <w:r w:rsidR="00594AB6" w:rsidRPr="00D2239A">
              <w:rPr>
                <w:rFonts w:eastAsia="Times New Roman" w:cs="Times New Roman"/>
                <w:b/>
                <w:bCs/>
                <w:sz w:val="18"/>
                <w:szCs w:val="18"/>
              </w:rPr>
              <w:t>ear</w:t>
            </w:r>
            <w:r w:rsidR="00A264D8" w:rsidRPr="00D2239A">
              <w:rPr>
                <w:rFonts w:eastAsia="Times New Roman" w:cs="Times New Roman"/>
                <w:b/>
                <w:bCs/>
                <w:sz w:val="18"/>
                <w:szCs w:val="18"/>
              </w:rPr>
              <w:t>s</w:t>
            </w:r>
          </w:p>
        </w:tc>
        <w:tc>
          <w:tcPr>
            <w:tcW w:w="2025" w:type="dxa"/>
            <w:tcBorders>
              <w:top w:val="single" w:sz="4" w:space="0" w:color="auto"/>
              <w:left w:val="nil"/>
              <w:bottom w:val="single" w:sz="4" w:space="0" w:color="auto"/>
              <w:right w:val="nil"/>
            </w:tcBorders>
            <w:tcMar>
              <w:left w:w="14" w:type="dxa"/>
              <w:right w:w="14" w:type="dxa"/>
            </w:tcMar>
            <w:vAlign w:val="center"/>
          </w:tcPr>
          <w:p w14:paraId="6AFED471" w14:textId="3EBA6616" w:rsidR="00FC04A9" w:rsidRPr="00D2239A" w:rsidRDefault="00FC04A9" w:rsidP="00354D57">
            <w:pPr>
              <w:keepNext/>
              <w:keepLines/>
              <w:spacing w:after="0" w:line="240" w:lineRule="auto"/>
              <w:jc w:val="center"/>
              <w:rPr>
                <w:rFonts w:eastAsia="Times New Roman" w:cs="Times New Roman"/>
                <w:b/>
                <w:bCs/>
                <w:sz w:val="18"/>
                <w:szCs w:val="18"/>
              </w:rPr>
            </w:pPr>
            <w:r w:rsidRPr="00D2239A">
              <w:rPr>
                <w:rFonts w:eastAsia="Times New Roman" w:cs="Times New Roman"/>
                <w:b/>
                <w:bCs/>
                <w:sz w:val="18"/>
                <w:szCs w:val="18"/>
              </w:rPr>
              <w:t>26-34</w:t>
            </w:r>
            <w:r w:rsidR="00594AB6" w:rsidRPr="00D2239A">
              <w:rPr>
                <w:rFonts w:eastAsia="Times New Roman" w:cs="Times New Roman"/>
                <w:b/>
                <w:bCs/>
                <w:sz w:val="18"/>
                <w:szCs w:val="18"/>
              </w:rPr>
              <w:t xml:space="preserve"> </w:t>
            </w:r>
            <w:r w:rsidRPr="00D2239A">
              <w:rPr>
                <w:rFonts w:eastAsia="Times New Roman" w:cs="Times New Roman"/>
                <w:b/>
                <w:bCs/>
                <w:sz w:val="18"/>
                <w:szCs w:val="18"/>
              </w:rPr>
              <w:t>y</w:t>
            </w:r>
            <w:r w:rsidR="00594AB6" w:rsidRPr="00D2239A">
              <w:rPr>
                <w:rFonts w:eastAsia="Times New Roman" w:cs="Times New Roman"/>
                <w:b/>
                <w:bCs/>
                <w:sz w:val="18"/>
                <w:szCs w:val="18"/>
              </w:rPr>
              <w:t>ear</w:t>
            </w:r>
            <w:r w:rsidR="00A264D8" w:rsidRPr="00D2239A">
              <w:rPr>
                <w:rFonts w:eastAsia="Times New Roman" w:cs="Times New Roman"/>
                <w:b/>
                <w:bCs/>
                <w:sz w:val="18"/>
                <w:szCs w:val="18"/>
              </w:rPr>
              <w:t>s</w:t>
            </w:r>
          </w:p>
        </w:tc>
        <w:tc>
          <w:tcPr>
            <w:tcW w:w="2025" w:type="dxa"/>
            <w:gridSpan w:val="2"/>
            <w:tcBorders>
              <w:top w:val="single" w:sz="4" w:space="0" w:color="auto"/>
              <w:left w:val="nil"/>
              <w:bottom w:val="single" w:sz="4" w:space="0" w:color="auto"/>
              <w:right w:val="nil"/>
            </w:tcBorders>
            <w:tcMar>
              <w:left w:w="14" w:type="dxa"/>
              <w:right w:w="14" w:type="dxa"/>
            </w:tcMar>
            <w:vAlign w:val="center"/>
          </w:tcPr>
          <w:p w14:paraId="4D28F653" w14:textId="67400190" w:rsidR="00FC04A9" w:rsidRPr="00D2239A" w:rsidRDefault="00FC04A9" w:rsidP="00354D57">
            <w:pPr>
              <w:keepNext/>
              <w:keepLines/>
              <w:spacing w:after="0" w:line="240" w:lineRule="auto"/>
              <w:jc w:val="center"/>
              <w:rPr>
                <w:rFonts w:eastAsia="Times New Roman" w:cs="Times New Roman"/>
                <w:b/>
                <w:bCs/>
                <w:sz w:val="18"/>
                <w:szCs w:val="18"/>
              </w:rPr>
            </w:pPr>
            <w:r w:rsidRPr="00D2239A">
              <w:rPr>
                <w:rFonts w:eastAsia="Times New Roman" w:cs="Times New Roman"/>
                <w:b/>
                <w:bCs/>
                <w:sz w:val="18"/>
                <w:szCs w:val="18"/>
              </w:rPr>
              <w:t>≥ 35</w:t>
            </w:r>
            <w:r w:rsidR="00594AB6" w:rsidRPr="00D2239A">
              <w:rPr>
                <w:rFonts w:eastAsia="Times New Roman" w:cs="Times New Roman"/>
                <w:b/>
                <w:bCs/>
                <w:sz w:val="18"/>
                <w:szCs w:val="18"/>
              </w:rPr>
              <w:t xml:space="preserve"> </w:t>
            </w:r>
            <w:r w:rsidRPr="00D2239A">
              <w:rPr>
                <w:rFonts w:eastAsia="Times New Roman" w:cs="Times New Roman"/>
                <w:b/>
                <w:bCs/>
                <w:sz w:val="18"/>
                <w:szCs w:val="18"/>
              </w:rPr>
              <w:t>y</w:t>
            </w:r>
            <w:r w:rsidR="00594AB6" w:rsidRPr="00D2239A">
              <w:rPr>
                <w:rFonts w:eastAsia="Times New Roman" w:cs="Times New Roman"/>
                <w:b/>
                <w:bCs/>
                <w:sz w:val="18"/>
                <w:szCs w:val="18"/>
              </w:rPr>
              <w:t>ear</w:t>
            </w:r>
            <w:r w:rsidR="00A264D8" w:rsidRPr="00D2239A">
              <w:rPr>
                <w:rFonts w:eastAsia="Times New Roman" w:cs="Times New Roman"/>
                <w:b/>
                <w:bCs/>
                <w:sz w:val="18"/>
                <w:szCs w:val="18"/>
              </w:rPr>
              <w:t>s</w:t>
            </w:r>
          </w:p>
        </w:tc>
      </w:tr>
      <w:tr w:rsidR="00FC04A9" w:rsidRPr="00D2239A" w14:paraId="605FE295" w14:textId="77777777" w:rsidTr="00342646">
        <w:trPr>
          <w:trHeight w:val="288"/>
        </w:trPr>
        <w:tc>
          <w:tcPr>
            <w:tcW w:w="1260" w:type="dxa"/>
            <w:tcBorders>
              <w:top w:val="single" w:sz="4" w:space="0" w:color="auto"/>
              <w:left w:val="nil"/>
              <w:bottom w:val="nil"/>
              <w:right w:val="nil"/>
            </w:tcBorders>
            <w:tcMar>
              <w:left w:w="29" w:type="dxa"/>
              <w:right w:w="29" w:type="dxa"/>
            </w:tcMar>
            <w:vAlign w:val="center"/>
          </w:tcPr>
          <w:p w14:paraId="12587D6E" w14:textId="77777777" w:rsidR="00FC04A9" w:rsidRPr="00D2239A" w:rsidRDefault="00FC04A9" w:rsidP="00354D57">
            <w:pPr>
              <w:keepNext/>
              <w:keepLines/>
              <w:spacing w:after="0" w:line="240" w:lineRule="auto"/>
              <w:rPr>
                <w:rFonts w:eastAsia="Times New Roman" w:cs="Times New Roman"/>
                <w:sz w:val="18"/>
                <w:szCs w:val="18"/>
              </w:rPr>
            </w:pPr>
            <w:r w:rsidRPr="00D2239A">
              <w:rPr>
                <w:rFonts w:eastAsia="Times New Roman" w:cs="Times New Roman"/>
                <w:sz w:val="18"/>
                <w:szCs w:val="18"/>
              </w:rPr>
              <w:t>Massachusetts</w:t>
            </w:r>
          </w:p>
        </w:tc>
        <w:tc>
          <w:tcPr>
            <w:tcW w:w="2025" w:type="dxa"/>
            <w:tcBorders>
              <w:top w:val="single" w:sz="4" w:space="0" w:color="auto"/>
              <w:left w:val="nil"/>
              <w:bottom w:val="nil"/>
              <w:right w:val="nil"/>
            </w:tcBorders>
            <w:noWrap/>
            <w:tcMar>
              <w:left w:w="14" w:type="dxa"/>
              <w:right w:w="14" w:type="dxa"/>
            </w:tcMar>
            <w:vAlign w:val="center"/>
            <w:hideMark/>
          </w:tcPr>
          <w:p w14:paraId="67D09C2E" w14:textId="77777777" w:rsidR="00FC04A9" w:rsidRPr="00D2239A" w:rsidRDefault="00FC04A9" w:rsidP="00354D57">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0.014</w:t>
            </w:r>
          </w:p>
        </w:tc>
        <w:tc>
          <w:tcPr>
            <w:tcW w:w="2025" w:type="dxa"/>
            <w:tcBorders>
              <w:top w:val="single" w:sz="4" w:space="0" w:color="auto"/>
              <w:left w:val="nil"/>
              <w:bottom w:val="nil"/>
              <w:right w:val="nil"/>
            </w:tcBorders>
            <w:tcMar>
              <w:left w:w="14" w:type="dxa"/>
              <w:right w:w="14" w:type="dxa"/>
            </w:tcMar>
            <w:vAlign w:val="center"/>
          </w:tcPr>
          <w:p w14:paraId="49048BE5" w14:textId="77777777" w:rsidR="00FC04A9" w:rsidRPr="00D2239A" w:rsidRDefault="00FC04A9" w:rsidP="00354D57">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0.068</w:t>
            </w:r>
          </w:p>
        </w:tc>
        <w:tc>
          <w:tcPr>
            <w:tcW w:w="2025" w:type="dxa"/>
            <w:tcBorders>
              <w:top w:val="single" w:sz="4" w:space="0" w:color="auto"/>
              <w:left w:val="nil"/>
              <w:bottom w:val="nil"/>
              <w:right w:val="nil"/>
            </w:tcBorders>
            <w:tcMar>
              <w:left w:w="14" w:type="dxa"/>
              <w:right w:w="14" w:type="dxa"/>
            </w:tcMar>
            <w:vAlign w:val="center"/>
          </w:tcPr>
          <w:p w14:paraId="4E779B58" w14:textId="77777777" w:rsidR="00FC04A9" w:rsidRPr="00D2239A" w:rsidRDefault="00FC04A9" w:rsidP="00354D57">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0.110</w:t>
            </w:r>
          </w:p>
        </w:tc>
        <w:tc>
          <w:tcPr>
            <w:tcW w:w="2025" w:type="dxa"/>
            <w:gridSpan w:val="2"/>
            <w:tcBorders>
              <w:top w:val="single" w:sz="4" w:space="0" w:color="auto"/>
              <w:left w:val="nil"/>
              <w:bottom w:val="nil"/>
              <w:right w:val="nil"/>
            </w:tcBorders>
            <w:tcMar>
              <w:left w:w="14" w:type="dxa"/>
              <w:right w:w="14" w:type="dxa"/>
            </w:tcMar>
            <w:vAlign w:val="center"/>
          </w:tcPr>
          <w:p w14:paraId="5D8F5FED" w14:textId="77777777" w:rsidR="00FC04A9" w:rsidRPr="00D2239A" w:rsidRDefault="00FC04A9" w:rsidP="00354D57">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0.808</w:t>
            </w:r>
          </w:p>
        </w:tc>
      </w:tr>
      <w:tr w:rsidR="00FC04A9" w:rsidRPr="00D2239A" w14:paraId="2C6B8315" w14:textId="77777777" w:rsidTr="00342646">
        <w:trPr>
          <w:trHeight w:val="288"/>
        </w:trPr>
        <w:tc>
          <w:tcPr>
            <w:tcW w:w="1260" w:type="dxa"/>
            <w:tcBorders>
              <w:left w:val="nil"/>
              <w:bottom w:val="nil"/>
              <w:right w:val="nil"/>
            </w:tcBorders>
            <w:tcMar>
              <w:left w:w="29" w:type="dxa"/>
              <w:right w:w="29" w:type="dxa"/>
            </w:tcMar>
            <w:vAlign w:val="center"/>
          </w:tcPr>
          <w:p w14:paraId="59846603" w14:textId="77777777" w:rsidR="00FC04A9" w:rsidRPr="00D2239A" w:rsidRDefault="00FC04A9" w:rsidP="00354D57">
            <w:pPr>
              <w:keepNext/>
              <w:keepLines/>
              <w:spacing w:after="0" w:line="240" w:lineRule="auto"/>
              <w:rPr>
                <w:rFonts w:eastAsia="Times New Roman" w:cs="Times New Roman"/>
                <w:sz w:val="18"/>
                <w:szCs w:val="18"/>
              </w:rPr>
            </w:pPr>
            <w:r w:rsidRPr="00D2239A">
              <w:rPr>
                <w:rFonts w:eastAsia="Times New Roman" w:cs="Times New Roman"/>
                <w:sz w:val="18"/>
                <w:szCs w:val="18"/>
              </w:rPr>
              <w:t>New York</w:t>
            </w:r>
          </w:p>
        </w:tc>
        <w:tc>
          <w:tcPr>
            <w:tcW w:w="2025" w:type="dxa"/>
            <w:tcBorders>
              <w:left w:val="nil"/>
              <w:bottom w:val="nil"/>
              <w:right w:val="nil"/>
            </w:tcBorders>
            <w:noWrap/>
            <w:tcMar>
              <w:left w:w="14" w:type="dxa"/>
              <w:right w:w="14" w:type="dxa"/>
            </w:tcMar>
            <w:vAlign w:val="center"/>
          </w:tcPr>
          <w:p w14:paraId="474A72E8" w14:textId="77777777" w:rsidR="00FC04A9" w:rsidRPr="00D2239A" w:rsidRDefault="00FC04A9" w:rsidP="00354D57">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0.013</w:t>
            </w:r>
          </w:p>
        </w:tc>
        <w:tc>
          <w:tcPr>
            <w:tcW w:w="2025" w:type="dxa"/>
            <w:tcBorders>
              <w:left w:val="nil"/>
              <w:bottom w:val="nil"/>
              <w:right w:val="nil"/>
            </w:tcBorders>
            <w:tcMar>
              <w:left w:w="14" w:type="dxa"/>
              <w:right w:w="14" w:type="dxa"/>
            </w:tcMar>
            <w:vAlign w:val="center"/>
          </w:tcPr>
          <w:p w14:paraId="0E2704C0" w14:textId="77777777" w:rsidR="00FC04A9" w:rsidRPr="00D2239A" w:rsidRDefault="00FC04A9" w:rsidP="00354D57">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0.234</w:t>
            </w:r>
          </w:p>
        </w:tc>
        <w:tc>
          <w:tcPr>
            <w:tcW w:w="2025" w:type="dxa"/>
            <w:tcBorders>
              <w:left w:val="nil"/>
              <w:bottom w:val="nil"/>
              <w:right w:val="nil"/>
            </w:tcBorders>
            <w:tcMar>
              <w:left w:w="14" w:type="dxa"/>
              <w:right w:w="14" w:type="dxa"/>
            </w:tcMar>
            <w:vAlign w:val="center"/>
          </w:tcPr>
          <w:p w14:paraId="09EE04C2" w14:textId="77777777" w:rsidR="00FC04A9" w:rsidRPr="00D2239A" w:rsidRDefault="00FC04A9" w:rsidP="00354D57">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0.247</w:t>
            </w:r>
          </w:p>
        </w:tc>
        <w:tc>
          <w:tcPr>
            <w:tcW w:w="2025" w:type="dxa"/>
            <w:gridSpan w:val="2"/>
            <w:tcBorders>
              <w:left w:val="nil"/>
              <w:bottom w:val="nil"/>
              <w:right w:val="nil"/>
            </w:tcBorders>
            <w:tcMar>
              <w:left w:w="14" w:type="dxa"/>
              <w:right w:w="14" w:type="dxa"/>
            </w:tcMar>
            <w:vAlign w:val="center"/>
          </w:tcPr>
          <w:p w14:paraId="0B393323" w14:textId="77777777" w:rsidR="00FC04A9" w:rsidRPr="00D2239A" w:rsidRDefault="00FC04A9" w:rsidP="00354D57">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0.506</w:t>
            </w:r>
          </w:p>
        </w:tc>
      </w:tr>
      <w:tr w:rsidR="00FC04A9" w:rsidRPr="00D2239A" w14:paraId="4DF1C26B" w14:textId="77777777" w:rsidTr="00342646">
        <w:trPr>
          <w:trHeight w:val="288"/>
        </w:trPr>
        <w:tc>
          <w:tcPr>
            <w:tcW w:w="1260" w:type="dxa"/>
            <w:tcBorders>
              <w:top w:val="nil"/>
              <w:left w:val="nil"/>
              <w:bottom w:val="single" w:sz="4" w:space="0" w:color="auto"/>
              <w:right w:val="nil"/>
            </w:tcBorders>
            <w:tcMar>
              <w:left w:w="29" w:type="dxa"/>
              <w:right w:w="29" w:type="dxa"/>
            </w:tcMar>
            <w:vAlign w:val="center"/>
          </w:tcPr>
          <w:p w14:paraId="33908D67" w14:textId="77777777" w:rsidR="00FC04A9" w:rsidRPr="00D2239A" w:rsidRDefault="00FC04A9" w:rsidP="00354D57">
            <w:pPr>
              <w:keepNext/>
              <w:keepLines/>
              <w:spacing w:after="0" w:line="240" w:lineRule="auto"/>
              <w:rPr>
                <w:rFonts w:eastAsia="Times New Roman" w:cs="Times New Roman"/>
                <w:sz w:val="18"/>
                <w:szCs w:val="18"/>
              </w:rPr>
            </w:pPr>
            <w:r w:rsidRPr="00D2239A">
              <w:rPr>
                <w:rFonts w:eastAsia="Times New Roman" w:cs="Times New Roman"/>
                <w:sz w:val="18"/>
                <w:szCs w:val="18"/>
              </w:rPr>
              <w:t>Ohio</w:t>
            </w:r>
          </w:p>
        </w:tc>
        <w:tc>
          <w:tcPr>
            <w:tcW w:w="2025" w:type="dxa"/>
            <w:tcBorders>
              <w:top w:val="nil"/>
              <w:left w:val="nil"/>
              <w:bottom w:val="single" w:sz="4" w:space="0" w:color="auto"/>
              <w:right w:val="nil"/>
            </w:tcBorders>
            <w:noWrap/>
            <w:tcMar>
              <w:left w:w="14" w:type="dxa"/>
              <w:right w:w="14" w:type="dxa"/>
            </w:tcMar>
            <w:vAlign w:val="center"/>
            <w:hideMark/>
          </w:tcPr>
          <w:p w14:paraId="4B8D7AEA" w14:textId="77777777" w:rsidR="00FC04A9" w:rsidRPr="00D2239A" w:rsidRDefault="00FC04A9" w:rsidP="00354D57">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0.019</w:t>
            </w:r>
          </w:p>
        </w:tc>
        <w:tc>
          <w:tcPr>
            <w:tcW w:w="2025" w:type="dxa"/>
            <w:tcBorders>
              <w:top w:val="nil"/>
              <w:left w:val="nil"/>
              <w:bottom w:val="single" w:sz="4" w:space="0" w:color="auto"/>
              <w:right w:val="nil"/>
            </w:tcBorders>
            <w:tcMar>
              <w:left w:w="14" w:type="dxa"/>
              <w:right w:w="14" w:type="dxa"/>
            </w:tcMar>
            <w:vAlign w:val="center"/>
          </w:tcPr>
          <w:p w14:paraId="0DB13C53" w14:textId="77777777" w:rsidR="00FC04A9" w:rsidRPr="00D2239A" w:rsidRDefault="00FC04A9" w:rsidP="00354D57">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0.204</w:t>
            </w:r>
          </w:p>
        </w:tc>
        <w:tc>
          <w:tcPr>
            <w:tcW w:w="2025" w:type="dxa"/>
            <w:tcBorders>
              <w:top w:val="nil"/>
              <w:left w:val="nil"/>
              <w:bottom w:val="single" w:sz="4" w:space="0" w:color="auto"/>
              <w:right w:val="nil"/>
            </w:tcBorders>
            <w:tcMar>
              <w:left w:w="14" w:type="dxa"/>
              <w:right w:w="14" w:type="dxa"/>
            </w:tcMar>
            <w:vAlign w:val="center"/>
          </w:tcPr>
          <w:p w14:paraId="63640368" w14:textId="77777777" w:rsidR="00FC04A9" w:rsidRPr="00D2239A" w:rsidRDefault="00FC04A9" w:rsidP="00354D57">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0.213</w:t>
            </w:r>
          </w:p>
        </w:tc>
        <w:tc>
          <w:tcPr>
            <w:tcW w:w="2025" w:type="dxa"/>
            <w:gridSpan w:val="2"/>
            <w:tcBorders>
              <w:top w:val="nil"/>
              <w:left w:val="nil"/>
              <w:bottom w:val="single" w:sz="4" w:space="0" w:color="auto"/>
              <w:right w:val="nil"/>
            </w:tcBorders>
            <w:tcMar>
              <w:left w:w="14" w:type="dxa"/>
              <w:right w:w="14" w:type="dxa"/>
            </w:tcMar>
            <w:vAlign w:val="center"/>
          </w:tcPr>
          <w:p w14:paraId="0EE3A305" w14:textId="77777777" w:rsidR="00FC04A9" w:rsidRPr="00D2239A" w:rsidRDefault="00FC04A9" w:rsidP="00354D57">
            <w:pPr>
              <w:keepNext/>
              <w:keepLines/>
              <w:spacing w:after="0" w:line="240" w:lineRule="auto"/>
              <w:jc w:val="center"/>
              <w:rPr>
                <w:rFonts w:eastAsia="Times New Roman" w:cs="Times New Roman"/>
                <w:sz w:val="18"/>
                <w:szCs w:val="18"/>
              </w:rPr>
            </w:pPr>
            <w:r w:rsidRPr="00D2239A">
              <w:rPr>
                <w:rFonts w:eastAsia="Times New Roman" w:cs="Times New Roman"/>
                <w:sz w:val="18"/>
                <w:szCs w:val="18"/>
              </w:rPr>
              <w:t>0.565</w:t>
            </w:r>
          </w:p>
        </w:tc>
      </w:tr>
    </w:tbl>
    <w:p w14:paraId="4EBC6746" w14:textId="77777777" w:rsidR="00FC04A9" w:rsidRPr="00D2239A" w:rsidRDefault="00FC04A9" w:rsidP="00FC04A9">
      <w:pPr>
        <w:spacing w:after="120" w:line="276" w:lineRule="auto"/>
        <w:rPr>
          <w:rFonts w:cs="Times New Roman"/>
          <w:sz w:val="22"/>
          <w:szCs w:val="22"/>
        </w:rPr>
      </w:pPr>
    </w:p>
    <w:p w14:paraId="2CD2D18E" w14:textId="77777777" w:rsidR="00FC04A9" w:rsidRPr="00EF4250" w:rsidRDefault="00FC04A9" w:rsidP="003B5E15">
      <w:pPr>
        <w:spacing w:after="120" w:line="276" w:lineRule="auto"/>
        <w:rPr>
          <w:rFonts w:cs="Times New Roman"/>
          <w:i/>
          <w:iCs/>
          <w:szCs w:val="20"/>
          <w:u w:val="single"/>
        </w:rPr>
      </w:pPr>
      <w:r w:rsidRPr="00EF4250">
        <w:rPr>
          <w:rFonts w:cs="Times New Roman"/>
          <w:i/>
          <w:iCs/>
          <w:szCs w:val="20"/>
          <w:u w:val="single"/>
        </w:rPr>
        <w:t>Assignment of exact age with an age group</w:t>
      </w:r>
    </w:p>
    <w:p w14:paraId="05B7467A" w14:textId="3B745BE1" w:rsidR="00FC04A9" w:rsidRPr="00EF4250" w:rsidRDefault="00FC04A9" w:rsidP="00FC04A9">
      <w:pPr>
        <w:spacing w:after="0" w:line="276" w:lineRule="auto"/>
        <w:rPr>
          <w:rFonts w:cs="Times New Roman"/>
          <w:szCs w:val="20"/>
        </w:rPr>
      </w:pPr>
      <w:r w:rsidRPr="00EF4250">
        <w:rPr>
          <w:rFonts w:cs="Times New Roman"/>
          <w:szCs w:val="20"/>
        </w:rPr>
        <w:t xml:space="preserve">For all health states, simulated individuals were assigned an exact age within an age group by drawing from the distribution by single year of age within each age group. Absent other data to inform these distributions, we used data </w:t>
      </w:r>
      <w:r w:rsidR="00A264D8" w:rsidRPr="00EF4250">
        <w:rPr>
          <w:rFonts w:cs="Times New Roman"/>
          <w:szCs w:val="20"/>
        </w:rPr>
        <w:t xml:space="preserve">on </w:t>
      </w:r>
      <w:r w:rsidRPr="00EF4250">
        <w:rPr>
          <w:rFonts w:cs="Times New Roman"/>
          <w:szCs w:val="20"/>
        </w:rPr>
        <w:t xml:space="preserve">opioid overdose deaths in 2017 by single year of age, </w:t>
      </w:r>
      <w:r w:rsidR="00A264D8" w:rsidRPr="00EF4250">
        <w:rPr>
          <w:rFonts w:cs="Times New Roman"/>
          <w:szCs w:val="20"/>
        </w:rPr>
        <w:t>obtained</w:t>
      </w:r>
      <w:r w:rsidRPr="00EF4250">
        <w:rPr>
          <w:rFonts w:cs="Times New Roman"/>
          <w:szCs w:val="20"/>
        </w:rPr>
        <w:t xml:space="preserve"> from CDC WONDER.</w:t>
      </w:r>
      <w:r w:rsidR="0083232F" w:rsidRPr="00EF4250">
        <w:rPr>
          <w:rFonts w:cs="Times New Roman"/>
          <w:szCs w:val="20"/>
        </w:rPr>
        <w:fldChar w:fldCharType="begin"/>
      </w:r>
      <w:r w:rsidR="002F7FE7" w:rsidRPr="00EF4250">
        <w:rPr>
          <w:rFonts w:cs="Times New Roman"/>
          <w:szCs w:val="20"/>
        </w:rPr>
        <w:instrText xml:space="preserve"> ADDIN EN.CITE &lt;EndNote&gt;&lt;Cite&gt;&lt;Author&gt;CDC WONDER&lt;/Author&gt;&lt;Year&gt;2023&lt;/Year&gt;&lt;RecNum&gt;131&lt;/RecNum&gt;&lt;DisplayText&gt;&lt;style face="superscript"&gt;18&lt;/style&gt;&lt;/DisplayText&gt;&lt;record&gt;&lt;rec-number&gt;131&lt;/rec-number&gt;&lt;foreign-keys&gt;&lt;key app="EN" db-id="ffv9f0td1taf24ev0z1paazh2dx55xvtwsv9" timestamp="1713388380"&gt;131&lt;/key&gt;&lt;/foreign-keys&gt;&lt;ref-type name="Online Database"&gt;45&lt;/ref-type&gt;&lt;contributors&gt;&lt;authors&gt;&lt;author&gt;CDC WONDER,&lt;/author&gt;&lt;/authors&gt;&lt;/contributors&gt;&lt;titles&gt;&lt;title&gt;Multiple cause of death 1999-2020&lt;/title&gt;&lt;/titles&gt;&lt;dates&gt;&lt;year&gt;2023&lt;/year&gt;&lt;pub-dates&gt;&lt;date&gt;Jan 1, 2024&lt;/date&gt;&lt;/pub-dates&gt;&lt;/dates&gt;&lt;pub-location&gt;http://wonder.cdc.gov/mcd-icd10.html&lt;/pub-location&gt;&lt;urls&gt;&lt;related-urls&gt;&lt;url&gt;http://wonder.cdc.gov/mcd-icd10.html&lt;/url&gt;&lt;/related-urls&gt;&lt;/urls&gt;&lt;/record&gt;&lt;/Cite&gt;&lt;/EndNote&gt;</w:instrText>
      </w:r>
      <w:r w:rsidR="0083232F" w:rsidRPr="00EF4250">
        <w:rPr>
          <w:rFonts w:cs="Times New Roman"/>
          <w:szCs w:val="20"/>
        </w:rPr>
        <w:fldChar w:fldCharType="separate"/>
      </w:r>
      <w:r w:rsidR="002F7FE7" w:rsidRPr="00EF4250">
        <w:rPr>
          <w:rFonts w:cs="Times New Roman"/>
          <w:noProof/>
          <w:szCs w:val="20"/>
          <w:vertAlign w:val="superscript"/>
        </w:rPr>
        <w:t>18</w:t>
      </w:r>
      <w:r w:rsidR="0083232F" w:rsidRPr="00EF4250">
        <w:rPr>
          <w:rFonts w:cs="Times New Roman"/>
          <w:szCs w:val="20"/>
        </w:rPr>
        <w:fldChar w:fldCharType="end"/>
      </w:r>
    </w:p>
    <w:p w14:paraId="7D3F2479" w14:textId="09D6A283" w:rsidR="0083049B" w:rsidRPr="00D2239A" w:rsidRDefault="006F7B84" w:rsidP="00363E8B">
      <w:pPr>
        <w:pStyle w:val="Heading1"/>
      </w:pPr>
      <w:bookmarkStart w:id="22" w:name="_Toc206680990"/>
      <w:bookmarkStart w:id="23" w:name="_Toc226020680"/>
      <w:r w:rsidRPr="00D2239A">
        <w:lastRenderedPageBreak/>
        <w:t>S1.3</w:t>
      </w:r>
      <w:r w:rsidR="00A43F62" w:rsidRPr="00D2239A">
        <w:t>.</w:t>
      </w:r>
      <w:r w:rsidRPr="00D2239A">
        <w:t xml:space="preserve"> </w:t>
      </w:r>
      <w:r w:rsidR="008B791A" w:rsidRPr="00D2239A">
        <w:t xml:space="preserve">Modeling of </w:t>
      </w:r>
      <w:r w:rsidR="00030DF1" w:rsidRPr="00D2239A">
        <w:t>MOUD treatment</w:t>
      </w:r>
      <w:r w:rsidR="00D379C8" w:rsidRPr="00D2239A">
        <w:t xml:space="preserve"> and recovery</w:t>
      </w:r>
      <w:bookmarkEnd w:id="22"/>
      <w:bookmarkEnd w:id="23"/>
    </w:p>
    <w:p w14:paraId="23EA8063" w14:textId="49BD6604" w:rsidR="00E869B7" w:rsidRPr="00D2239A" w:rsidRDefault="00E869B7" w:rsidP="00D94C5E">
      <w:pPr>
        <w:pStyle w:val="Heading2"/>
        <w:rPr>
          <w:rFonts w:cs="Times New Roman"/>
        </w:rPr>
      </w:pPr>
      <w:bookmarkStart w:id="24" w:name="_Toc206680991"/>
      <w:bookmarkStart w:id="25" w:name="_Toc226020681"/>
      <w:r w:rsidRPr="00D2239A">
        <w:rPr>
          <w:rFonts w:cs="Times New Roman"/>
        </w:rPr>
        <w:t>S1.3.1</w:t>
      </w:r>
      <w:r w:rsidR="008B791A" w:rsidRPr="00D2239A">
        <w:rPr>
          <w:rFonts w:cs="Times New Roman"/>
        </w:rPr>
        <w:t>.</w:t>
      </w:r>
      <w:r w:rsidRPr="00D2239A">
        <w:rPr>
          <w:rFonts w:cs="Times New Roman"/>
        </w:rPr>
        <w:t xml:space="preserve"> </w:t>
      </w:r>
      <w:r w:rsidR="008B791A" w:rsidRPr="00D2239A">
        <w:rPr>
          <w:rFonts w:cs="Times New Roman"/>
        </w:rPr>
        <w:t>T</w:t>
      </w:r>
      <w:r w:rsidR="00030DF1" w:rsidRPr="00D2239A">
        <w:rPr>
          <w:rFonts w:cs="Times New Roman"/>
        </w:rPr>
        <w:t>reatment retention</w:t>
      </w:r>
      <w:bookmarkEnd w:id="24"/>
      <w:bookmarkEnd w:id="25"/>
      <w:r w:rsidR="00030DF1" w:rsidRPr="00D2239A">
        <w:rPr>
          <w:rFonts w:cs="Times New Roman"/>
        </w:rPr>
        <w:t xml:space="preserve"> </w:t>
      </w:r>
    </w:p>
    <w:p w14:paraId="603AECE4" w14:textId="76501ADF" w:rsidR="00E869B7" w:rsidRPr="00EF4250" w:rsidRDefault="00E869B7" w:rsidP="00754108">
      <w:pPr>
        <w:spacing w:line="276" w:lineRule="auto"/>
        <w:rPr>
          <w:rFonts w:cs="Times New Roman"/>
          <w:szCs w:val="20"/>
        </w:rPr>
      </w:pPr>
      <w:r w:rsidRPr="00EF4250">
        <w:rPr>
          <w:rFonts w:cs="Times New Roman"/>
          <w:szCs w:val="20"/>
        </w:rPr>
        <w:t xml:space="preserve">We first digitized the Kaplan-Meier curve for treatment retention published in Morgan </w:t>
      </w:r>
      <w:r w:rsidRPr="00EF4250">
        <w:rPr>
          <w:rFonts w:cs="Times New Roman"/>
          <w:i/>
          <w:iCs/>
          <w:szCs w:val="20"/>
        </w:rPr>
        <w:t>et al</w:t>
      </w:r>
      <w:r w:rsidR="00CF7A69" w:rsidRPr="00EF4250">
        <w:rPr>
          <w:rFonts w:cs="Times New Roman"/>
          <w:i/>
          <w:iCs/>
          <w:szCs w:val="20"/>
        </w:rPr>
        <w:t>.</w:t>
      </w:r>
      <w:r w:rsidRPr="00EF4250">
        <w:rPr>
          <w:rFonts w:cs="Times New Roman"/>
          <w:szCs w:val="20"/>
        </w:rPr>
        <w:t xml:space="preserve"> (2018)</w:t>
      </w:r>
      <w:r w:rsidR="00CF7A69" w:rsidRPr="00EF4250">
        <w:rPr>
          <w:rFonts w:cs="Times New Roman"/>
          <w:szCs w:val="20"/>
        </w:rPr>
        <w:fldChar w:fldCharType="begin"/>
      </w:r>
      <w:r w:rsidR="002F7FE7" w:rsidRPr="00EF4250">
        <w:rPr>
          <w:rFonts w:cs="Times New Roman"/>
          <w:szCs w:val="20"/>
        </w:rPr>
        <w:instrText xml:space="preserve"> ADDIN EN.CITE &lt;EndNote&gt;&lt;Cite&gt;&lt;Author&gt;Morgan&lt;/Author&gt;&lt;Year&gt;2018&lt;/Year&gt;&lt;RecNum&gt;13&lt;/RecNum&gt;&lt;DisplayText&gt;&lt;style face="superscript"&gt;19&lt;/style&gt;&lt;/DisplayText&gt;&lt;record&gt;&lt;rec-number&gt;13&lt;/rec-number&gt;&lt;foreign-keys&gt;&lt;key app="EN" db-id="xxft2ztdi9wf0qee0zovvtvrpefvetvvad02" timestamp="1691429444" guid="e7b5e5e1-1caf-4ae1-8a18-796c2f142202"&gt;13&lt;/key&gt;&lt;/foreign-keys&gt;&lt;ref-type name="Journal Article"&gt;17&lt;/ref-type&gt;&lt;contributors&gt;&lt;authors&gt;&lt;author&gt;Morgan, Jake R&lt;/author&gt;&lt;author&gt;Schackman, Bruce R&lt;/author&gt;&lt;author&gt;Leff, Jared A&lt;/author&gt;&lt;author&gt;Linas, Benjamin P&lt;/author&gt;&lt;author&gt;Walley, Alexander Y&lt;/author&gt;&lt;/authors&gt;&lt;/contributors&gt;&lt;titles&gt;&lt;title&gt;Injectable naltrexone, oral naltrexone, and buprenorphine utilization and discontinuation among individuals treated for opioid use disorder in a United States commercially insured population&lt;/title&gt;&lt;secondary-title&gt;Journal of substance abuse treatment&lt;/secondary-title&gt;&lt;/titles&gt;&lt;periodical&gt;&lt;full-title&gt;Journal of substance abuse treatment&lt;/full-title&gt;&lt;/periodical&gt;&lt;pages&gt;90-96&lt;/pages&gt;&lt;volume&gt;85&lt;/volume&gt;&lt;dates&gt;&lt;year&gt;2018&lt;/year&gt;&lt;/dates&gt;&lt;isbn&gt;0740-5472&lt;/isbn&gt;&lt;urls&gt;&lt;/urls&gt;&lt;/record&gt;&lt;/Cite&gt;&lt;/EndNote&gt;</w:instrText>
      </w:r>
      <w:r w:rsidR="00CF7A69" w:rsidRPr="00EF4250">
        <w:rPr>
          <w:rFonts w:cs="Times New Roman"/>
          <w:szCs w:val="20"/>
        </w:rPr>
        <w:fldChar w:fldCharType="separate"/>
      </w:r>
      <w:r w:rsidR="002F7FE7" w:rsidRPr="00EF4250">
        <w:rPr>
          <w:rFonts w:cs="Times New Roman"/>
          <w:noProof/>
          <w:szCs w:val="20"/>
          <w:vertAlign w:val="superscript"/>
        </w:rPr>
        <w:t>19</w:t>
      </w:r>
      <w:r w:rsidR="00CF7A69" w:rsidRPr="00EF4250">
        <w:rPr>
          <w:rFonts w:cs="Times New Roman"/>
          <w:szCs w:val="20"/>
        </w:rPr>
        <w:fldChar w:fldCharType="end"/>
      </w:r>
      <w:r w:rsidRPr="00EF4250">
        <w:rPr>
          <w:rFonts w:cs="Times New Roman"/>
          <w:szCs w:val="20"/>
        </w:rPr>
        <w:t xml:space="preserve"> and fitted the extracted data points to four parametric survival models commonly used in survival analysis. The survival function and parameters for each distribution are as follows: </w:t>
      </w:r>
    </w:p>
    <w:p w14:paraId="4F9ECEC1" w14:textId="77777777" w:rsidR="00E869B7" w:rsidRPr="00EF4250" w:rsidRDefault="00E869B7" w:rsidP="00754108">
      <w:pPr>
        <w:pStyle w:val="ListParagraph"/>
        <w:numPr>
          <w:ilvl w:val="0"/>
          <w:numId w:val="10"/>
        </w:numPr>
        <w:spacing w:after="0" w:line="276" w:lineRule="auto"/>
        <w:rPr>
          <w:rFonts w:cs="Times New Roman"/>
          <w:szCs w:val="20"/>
        </w:rPr>
      </w:pPr>
      <w:r w:rsidRPr="00EF4250">
        <w:rPr>
          <w:rFonts w:eastAsia="Times New Roman" w:cs="Times New Roman"/>
          <w:szCs w:val="20"/>
        </w:rPr>
        <w:t xml:space="preserve">Exponential distribution: </w:t>
      </w:r>
      <m:oMath>
        <m:r>
          <w:rPr>
            <w:rFonts w:ascii="Cambria Math" w:eastAsia="Times New Roman" w:hAnsi="Cambria Math" w:cs="Times New Roman"/>
            <w:szCs w:val="20"/>
          </w:rPr>
          <m:t>S</m:t>
        </m:r>
        <m:d>
          <m:dPr>
            <m:ctrlPr>
              <w:rPr>
                <w:rFonts w:ascii="Cambria Math" w:eastAsia="Times New Roman" w:hAnsi="Cambria Math" w:cs="Times New Roman"/>
                <w:i/>
                <w:szCs w:val="20"/>
              </w:rPr>
            </m:ctrlPr>
          </m:dPr>
          <m:e>
            <m:r>
              <w:rPr>
                <w:rFonts w:ascii="Cambria Math" w:eastAsia="Times New Roman" w:hAnsi="Cambria Math" w:cs="Times New Roman"/>
                <w:szCs w:val="20"/>
              </w:rPr>
              <m:t>t</m:t>
            </m:r>
          </m:e>
        </m:d>
        <m:r>
          <w:rPr>
            <w:rFonts w:ascii="Cambria Math" w:eastAsia="Times New Roman" w:hAnsi="Cambria Math" w:cs="Times New Roman"/>
            <w:szCs w:val="20"/>
          </w:rPr>
          <m:t>=</m:t>
        </m:r>
        <m:func>
          <m:funcPr>
            <m:ctrlPr>
              <w:rPr>
                <w:rFonts w:ascii="Cambria Math" w:eastAsia="Times New Roman" w:hAnsi="Cambria Math" w:cs="Times New Roman"/>
                <w:szCs w:val="20"/>
              </w:rPr>
            </m:ctrlPr>
          </m:funcPr>
          <m:fName>
            <m:r>
              <m:rPr>
                <m:sty m:val="p"/>
              </m:rPr>
              <w:rPr>
                <w:rFonts w:ascii="Cambria Math" w:eastAsia="Times New Roman" w:hAnsi="Cambria Math" w:cs="Times New Roman"/>
                <w:szCs w:val="20"/>
              </w:rPr>
              <m:t>exp</m:t>
            </m:r>
          </m:fName>
          <m:e>
            <m:d>
              <m:dPr>
                <m:ctrlPr>
                  <w:rPr>
                    <w:rFonts w:ascii="Cambria Math" w:eastAsia="Times New Roman" w:hAnsi="Cambria Math" w:cs="Times New Roman"/>
                    <w:i/>
                    <w:szCs w:val="20"/>
                  </w:rPr>
                </m:ctrlPr>
              </m:dPr>
              <m:e>
                <m:r>
                  <w:rPr>
                    <w:rFonts w:ascii="Cambria Math" w:eastAsia="Times New Roman" w:hAnsi="Cambria Math" w:cs="Times New Roman"/>
                    <w:szCs w:val="20"/>
                  </w:rPr>
                  <m:t>-λt</m:t>
                </m:r>
              </m:e>
            </m:d>
          </m:e>
        </m:func>
      </m:oMath>
      <w:r w:rsidRPr="00EF4250">
        <w:rPr>
          <w:rFonts w:eastAsia="Times New Roman" w:cs="Times New Roman"/>
          <w:szCs w:val="20"/>
        </w:rPr>
        <w:t>: Shape parameter=</w:t>
      </w:r>
      <m:oMath>
        <m:r>
          <w:rPr>
            <w:rFonts w:ascii="Cambria Math" w:eastAsia="Times New Roman" w:hAnsi="Cambria Math" w:cs="Times New Roman"/>
            <w:szCs w:val="20"/>
          </w:rPr>
          <m:t>λ</m:t>
        </m:r>
      </m:oMath>
      <w:r w:rsidRPr="00EF4250">
        <w:rPr>
          <w:rFonts w:eastAsia="Times New Roman" w:cs="Times New Roman"/>
          <w:szCs w:val="20"/>
        </w:rPr>
        <w:t>;</w:t>
      </w:r>
    </w:p>
    <w:p w14:paraId="1A6E997B" w14:textId="77777777" w:rsidR="00E869B7" w:rsidRPr="00EF4250" w:rsidRDefault="00E869B7" w:rsidP="00754108">
      <w:pPr>
        <w:pStyle w:val="ListParagraph"/>
        <w:numPr>
          <w:ilvl w:val="0"/>
          <w:numId w:val="10"/>
        </w:numPr>
        <w:spacing w:after="0" w:line="276" w:lineRule="auto"/>
        <w:rPr>
          <w:rFonts w:cs="Times New Roman"/>
          <w:szCs w:val="20"/>
        </w:rPr>
      </w:pPr>
      <w:r w:rsidRPr="00EF4250">
        <w:rPr>
          <w:rFonts w:eastAsia="Times New Roman" w:cs="Times New Roman"/>
          <w:szCs w:val="20"/>
        </w:rPr>
        <w:t xml:space="preserve">Weibull distribution: </w:t>
      </w:r>
      <m:oMath>
        <m:r>
          <w:rPr>
            <w:rFonts w:ascii="Cambria Math" w:eastAsia="Times New Roman" w:hAnsi="Cambria Math" w:cs="Times New Roman"/>
            <w:szCs w:val="20"/>
          </w:rPr>
          <m:t>S</m:t>
        </m:r>
        <m:d>
          <m:dPr>
            <m:ctrlPr>
              <w:rPr>
                <w:rFonts w:ascii="Cambria Math" w:eastAsia="Times New Roman" w:hAnsi="Cambria Math" w:cs="Times New Roman"/>
                <w:i/>
                <w:szCs w:val="20"/>
              </w:rPr>
            </m:ctrlPr>
          </m:dPr>
          <m:e>
            <m:r>
              <w:rPr>
                <w:rFonts w:ascii="Cambria Math" w:eastAsia="Times New Roman" w:hAnsi="Cambria Math" w:cs="Times New Roman"/>
                <w:szCs w:val="20"/>
              </w:rPr>
              <m:t>t</m:t>
            </m:r>
          </m:e>
        </m:d>
        <m:r>
          <w:rPr>
            <w:rFonts w:ascii="Cambria Math" w:eastAsia="Times New Roman" w:hAnsi="Cambria Math" w:cs="Times New Roman"/>
            <w:szCs w:val="20"/>
          </w:rPr>
          <m:t>=</m:t>
        </m:r>
        <m:r>
          <m:rPr>
            <m:sty m:val="p"/>
          </m:rPr>
          <w:rPr>
            <w:rFonts w:ascii="Cambria Math" w:eastAsia="Times New Roman" w:hAnsi="Cambria Math" w:cs="Times New Roman"/>
            <w:szCs w:val="20"/>
          </w:rPr>
          <m:t xml:space="preserve"> </m:t>
        </m:r>
        <m:sSup>
          <m:sSupPr>
            <m:ctrlPr>
              <w:rPr>
                <w:rFonts w:ascii="Cambria Math" w:eastAsia="Times New Roman" w:hAnsi="Cambria Math" w:cs="Times New Roman"/>
                <w:szCs w:val="20"/>
              </w:rPr>
            </m:ctrlPr>
          </m:sSupPr>
          <m:e>
            <m:func>
              <m:funcPr>
                <m:ctrlPr>
                  <w:rPr>
                    <w:rFonts w:ascii="Cambria Math" w:eastAsia="Times New Roman" w:hAnsi="Cambria Math" w:cs="Times New Roman"/>
                    <w:szCs w:val="20"/>
                  </w:rPr>
                </m:ctrlPr>
              </m:funcPr>
              <m:fName>
                <m:r>
                  <m:rPr>
                    <m:sty m:val="p"/>
                  </m:rPr>
                  <w:rPr>
                    <w:rFonts w:ascii="Cambria Math" w:eastAsia="Times New Roman" w:hAnsi="Cambria Math" w:cs="Times New Roman"/>
                    <w:szCs w:val="20"/>
                  </w:rPr>
                  <m:t>exp</m:t>
                </m:r>
              </m:fName>
              <m:e>
                <m:r>
                  <w:rPr>
                    <w:rFonts w:ascii="Cambria Math" w:eastAsia="Times New Roman" w:hAnsi="Cambria Math" w:cs="Times New Roman"/>
                    <w:szCs w:val="20"/>
                  </w:rPr>
                  <m:t>(</m:t>
                </m:r>
                <m:d>
                  <m:dPr>
                    <m:ctrlPr>
                      <w:rPr>
                        <w:rFonts w:ascii="Cambria Math" w:eastAsia="Times New Roman" w:hAnsi="Cambria Math" w:cs="Times New Roman"/>
                        <w:i/>
                        <w:szCs w:val="20"/>
                      </w:rPr>
                    </m:ctrlPr>
                  </m:dPr>
                  <m:e>
                    <m:r>
                      <w:rPr>
                        <w:rFonts w:ascii="Cambria Math" w:eastAsia="Times New Roman" w:hAnsi="Cambria Math" w:cs="Times New Roman"/>
                        <w:szCs w:val="20"/>
                      </w:rPr>
                      <m:t>-λt</m:t>
                    </m:r>
                  </m:e>
                </m:d>
              </m:e>
            </m:func>
          </m:e>
          <m:sup>
            <m:r>
              <w:rPr>
                <w:rFonts w:ascii="Cambria Math" w:eastAsia="Times New Roman" w:hAnsi="Cambria Math" w:cs="Times New Roman"/>
                <w:szCs w:val="20"/>
              </w:rPr>
              <m:t>p</m:t>
            </m:r>
          </m:sup>
        </m:sSup>
        <m:r>
          <w:rPr>
            <w:rFonts w:ascii="Cambria Math" w:eastAsia="Times New Roman" w:hAnsi="Cambria Math" w:cs="Times New Roman"/>
            <w:szCs w:val="20"/>
          </w:rPr>
          <m:t>)</m:t>
        </m:r>
      </m:oMath>
      <w:r w:rsidRPr="00EF4250">
        <w:rPr>
          <w:rFonts w:eastAsia="Times New Roman" w:cs="Times New Roman"/>
          <w:szCs w:val="20"/>
        </w:rPr>
        <w:t>: Shape parameter=</w:t>
      </w:r>
      <m:oMath>
        <m:r>
          <w:rPr>
            <w:rFonts w:ascii="Cambria Math" w:eastAsia="Times New Roman" w:hAnsi="Cambria Math" w:cs="Times New Roman"/>
            <w:szCs w:val="20"/>
          </w:rPr>
          <m:t xml:space="preserve">λ, </m:t>
        </m:r>
      </m:oMath>
      <w:r w:rsidRPr="00EF4250">
        <w:rPr>
          <w:rFonts w:eastAsia="Times New Roman" w:cs="Times New Roman"/>
          <w:iCs/>
          <w:szCs w:val="20"/>
        </w:rPr>
        <w:t>scale parameter=</w:t>
      </w:r>
      <w:r w:rsidRPr="00EF4250">
        <w:rPr>
          <w:rFonts w:eastAsia="Times New Roman" w:cs="Times New Roman"/>
          <w:i/>
          <w:szCs w:val="20"/>
        </w:rPr>
        <w:t>p;</w:t>
      </w:r>
    </w:p>
    <w:p w14:paraId="2002D595" w14:textId="77777777" w:rsidR="00E869B7" w:rsidRPr="00EF4250" w:rsidRDefault="00E869B7" w:rsidP="00754108">
      <w:pPr>
        <w:pStyle w:val="ListParagraph"/>
        <w:numPr>
          <w:ilvl w:val="0"/>
          <w:numId w:val="10"/>
        </w:numPr>
        <w:spacing w:after="0" w:line="276" w:lineRule="auto"/>
        <w:rPr>
          <w:rFonts w:cs="Times New Roman"/>
          <w:szCs w:val="20"/>
        </w:rPr>
      </w:pPr>
      <w:r w:rsidRPr="00EF4250">
        <w:rPr>
          <w:rFonts w:eastAsia="Times New Roman" w:cs="Times New Roman"/>
          <w:szCs w:val="20"/>
        </w:rPr>
        <w:t xml:space="preserve">Log-logistic distribution: </w:t>
      </w:r>
      <m:oMath>
        <m:r>
          <w:rPr>
            <w:rFonts w:ascii="Cambria Math" w:eastAsia="Times New Roman" w:hAnsi="Cambria Math" w:cs="Times New Roman"/>
            <w:szCs w:val="20"/>
          </w:rPr>
          <m:t>S</m:t>
        </m:r>
        <m:d>
          <m:dPr>
            <m:ctrlPr>
              <w:rPr>
                <w:rFonts w:ascii="Cambria Math" w:eastAsia="Times New Roman" w:hAnsi="Cambria Math" w:cs="Times New Roman"/>
                <w:i/>
                <w:szCs w:val="20"/>
              </w:rPr>
            </m:ctrlPr>
          </m:dPr>
          <m:e>
            <m:r>
              <w:rPr>
                <w:rFonts w:ascii="Cambria Math" w:eastAsia="Times New Roman" w:hAnsi="Cambria Math" w:cs="Times New Roman"/>
                <w:szCs w:val="20"/>
              </w:rPr>
              <m:t>t</m:t>
            </m:r>
          </m:e>
        </m:d>
        <m:r>
          <w:rPr>
            <w:rFonts w:ascii="Cambria Math" w:eastAsia="Times New Roman" w:hAnsi="Cambria Math" w:cs="Times New Roman"/>
            <w:szCs w:val="20"/>
          </w:rPr>
          <m:t xml:space="preserve">= </m:t>
        </m:r>
        <m:f>
          <m:fPr>
            <m:ctrlPr>
              <w:rPr>
                <w:rFonts w:ascii="Cambria Math" w:eastAsia="Times New Roman" w:hAnsi="Cambria Math" w:cs="Times New Roman"/>
                <w:i/>
                <w:szCs w:val="20"/>
              </w:rPr>
            </m:ctrlPr>
          </m:fPr>
          <m:num>
            <m:r>
              <w:rPr>
                <w:rFonts w:ascii="Cambria Math" w:eastAsia="Times New Roman" w:hAnsi="Cambria Math" w:cs="Times New Roman"/>
                <w:szCs w:val="20"/>
              </w:rPr>
              <m:t>1</m:t>
            </m:r>
          </m:num>
          <m:den>
            <m:sSup>
              <m:sSupPr>
                <m:ctrlPr>
                  <w:rPr>
                    <w:rFonts w:ascii="Cambria Math" w:eastAsia="Times New Roman" w:hAnsi="Cambria Math" w:cs="Times New Roman"/>
                    <w:i/>
                    <w:szCs w:val="20"/>
                  </w:rPr>
                </m:ctrlPr>
              </m:sSupPr>
              <m:e>
                <m:r>
                  <w:rPr>
                    <w:rFonts w:ascii="Cambria Math" w:eastAsia="Times New Roman" w:hAnsi="Cambria Math" w:cs="Times New Roman"/>
                    <w:szCs w:val="20"/>
                  </w:rPr>
                  <m:t>1+(λt)</m:t>
                </m:r>
              </m:e>
              <m:sup>
                <m:f>
                  <m:fPr>
                    <m:ctrlPr>
                      <w:rPr>
                        <w:rFonts w:ascii="Cambria Math" w:eastAsia="Times New Roman" w:hAnsi="Cambria Math" w:cs="Times New Roman"/>
                        <w:i/>
                        <w:szCs w:val="20"/>
                      </w:rPr>
                    </m:ctrlPr>
                  </m:fPr>
                  <m:num>
                    <m:r>
                      <w:rPr>
                        <w:rFonts w:ascii="Cambria Math" w:eastAsia="Times New Roman" w:hAnsi="Cambria Math" w:cs="Times New Roman"/>
                        <w:szCs w:val="20"/>
                      </w:rPr>
                      <m:t>1</m:t>
                    </m:r>
                  </m:num>
                  <m:den>
                    <m:r>
                      <w:rPr>
                        <w:rFonts w:ascii="Cambria Math" w:eastAsia="Times New Roman" w:hAnsi="Cambria Math" w:cs="Times New Roman"/>
                        <w:szCs w:val="20"/>
                      </w:rPr>
                      <m:t>γ</m:t>
                    </m:r>
                  </m:den>
                </m:f>
              </m:sup>
            </m:sSup>
          </m:den>
        </m:f>
      </m:oMath>
      <w:r w:rsidRPr="00EF4250">
        <w:rPr>
          <w:rFonts w:eastAsia="Times New Roman" w:cs="Times New Roman"/>
          <w:szCs w:val="20"/>
        </w:rPr>
        <w:t>: Shape parameter=</w:t>
      </w:r>
      <w:r w:rsidRPr="00EF4250">
        <w:rPr>
          <w:rFonts w:eastAsia="Times New Roman" w:cs="Times New Roman"/>
          <w:i/>
          <w:szCs w:val="20"/>
        </w:rPr>
        <w:t xml:space="preserve"> </w:t>
      </w:r>
      <m:oMath>
        <m:r>
          <w:rPr>
            <w:rFonts w:ascii="Cambria Math" w:eastAsia="Times New Roman" w:hAnsi="Cambria Math" w:cs="Times New Roman"/>
            <w:szCs w:val="20"/>
          </w:rPr>
          <m:t xml:space="preserve">λ, </m:t>
        </m:r>
      </m:oMath>
      <w:r w:rsidRPr="00EF4250">
        <w:rPr>
          <w:rFonts w:eastAsia="Times New Roman" w:cs="Times New Roman"/>
          <w:iCs/>
          <w:szCs w:val="20"/>
        </w:rPr>
        <w:t>scale parameter=</w:t>
      </w:r>
      <w:r w:rsidRPr="00EF4250">
        <w:rPr>
          <w:rFonts w:ascii="Symbol" w:eastAsia="Symbol" w:hAnsi="Symbol" w:cs="Symbol"/>
          <w:iCs/>
          <w:szCs w:val="20"/>
        </w:rPr>
        <w:t>g</w:t>
      </w:r>
      <w:r w:rsidRPr="00EF4250">
        <w:rPr>
          <w:rFonts w:eastAsia="Times New Roman" w:cs="Times New Roman"/>
          <w:iCs/>
          <w:szCs w:val="20"/>
        </w:rPr>
        <w:t xml:space="preserve">; </w:t>
      </w:r>
    </w:p>
    <w:p w14:paraId="27C87D10" w14:textId="77777777" w:rsidR="00E869B7" w:rsidRPr="00EF4250" w:rsidRDefault="00E869B7" w:rsidP="00754108">
      <w:pPr>
        <w:pStyle w:val="ListParagraph"/>
        <w:numPr>
          <w:ilvl w:val="0"/>
          <w:numId w:val="10"/>
        </w:numPr>
        <w:spacing w:after="0" w:line="276" w:lineRule="auto"/>
        <w:rPr>
          <w:rFonts w:cs="Times New Roman"/>
          <w:szCs w:val="20"/>
        </w:rPr>
      </w:pPr>
      <w:r w:rsidRPr="00EF4250">
        <w:rPr>
          <w:rFonts w:eastAsia="Times New Roman" w:cs="Times New Roman"/>
          <w:szCs w:val="20"/>
        </w:rPr>
        <w:t xml:space="preserve">Gompertz distribution: </w:t>
      </w:r>
      <m:oMath>
        <m:r>
          <w:rPr>
            <w:rFonts w:ascii="Cambria Math" w:eastAsia="Times New Roman" w:hAnsi="Cambria Math" w:cs="Times New Roman"/>
            <w:szCs w:val="20"/>
          </w:rPr>
          <m:t>S</m:t>
        </m:r>
        <m:d>
          <m:dPr>
            <m:ctrlPr>
              <w:rPr>
                <w:rFonts w:ascii="Cambria Math" w:eastAsia="Times New Roman" w:hAnsi="Cambria Math" w:cs="Times New Roman"/>
                <w:i/>
                <w:szCs w:val="20"/>
              </w:rPr>
            </m:ctrlPr>
          </m:dPr>
          <m:e>
            <m:r>
              <w:rPr>
                <w:rFonts w:ascii="Cambria Math" w:eastAsia="Times New Roman" w:hAnsi="Cambria Math" w:cs="Times New Roman"/>
                <w:szCs w:val="20"/>
              </w:rPr>
              <m:t>t</m:t>
            </m:r>
          </m:e>
        </m:d>
        <m:r>
          <w:rPr>
            <w:rFonts w:ascii="Cambria Math" w:eastAsia="Times New Roman" w:hAnsi="Cambria Math" w:cs="Times New Roman"/>
            <w:szCs w:val="20"/>
          </w:rPr>
          <m:t>=</m:t>
        </m:r>
        <m:func>
          <m:funcPr>
            <m:ctrlPr>
              <w:rPr>
                <w:rFonts w:ascii="Cambria Math" w:eastAsia="Times New Roman" w:hAnsi="Cambria Math" w:cs="Times New Roman"/>
                <w:szCs w:val="20"/>
              </w:rPr>
            </m:ctrlPr>
          </m:funcPr>
          <m:fName>
            <m:r>
              <m:rPr>
                <m:sty m:val="p"/>
              </m:rPr>
              <w:rPr>
                <w:rFonts w:ascii="Cambria Math" w:eastAsia="Times New Roman" w:hAnsi="Cambria Math" w:cs="Times New Roman"/>
                <w:szCs w:val="20"/>
              </w:rPr>
              <m:t>exp</m:t>
            </m:r>
          </m:fName>
          <m:e>
            <m:d>
              <m:dPr>
                <m:begChr m:val="["/>
                <m:endChr m:val="]"/>
                <m:ctrlPr>
                  <w:rPr>
                    <w:rFonts w:ascii="Cambria Math" w:eastAsia="Times New Roman" w:hAnsi="Cambria Math" w:cs="Times New Roman"/>
                    <w:i/>
                    <w:szCs w:val="20"/>
                  </w:rPr>
                </m:ctrlPr>
              </m:dPr>
              <m:e>
                <m:sSup>
                  <m:sSupPr>
                    <m:ctrlPr>
                      <w:rPr>
                        <w:rFonts w:ascii="Cambria Math" w:eastAsia="Times New Roman" w:hAnsi="Cambria Math" w:cs="Times New Roman"/>
                        <w:i/>
                        <w:szCs w:val="20"/>
                      </w:rPr>
                    </m:ctrlPr>
                  </m:sSupPr>
                  <m:e>
                    <m:r>
                      <w:rPr>
                        <w:rFonts w:ascii="Cambria Math" w:eastAsia="Times New Roman" w:hAnsi="Cambria Math" w:cs="Times New Roman"/>
                        <w:szCs w:val="20"/>
                      </w:rPr>
                      <m:t>-λ</m:t>
                    </m:r>
                    <m:r>
                      <m:rPr>
                        <m:sty m:val="p"/>
                      </m:rPr>
                      <w:rPr>
                        <w:rFonts w:ascii="Cambria Math" w:eastAsia="Times New Roman" w:hAnsi="Cambria Math" w:cs="Times New Roman"/>
                        <w:szCs w:val="20"/>
                      </w:rPr>
                      <m:t>g</m:t>
                    </m:r>
                  </m:e>
                  <m:sup>
                    <m:r>
                      <w:rPr>
                        <w:rFonts w:ascii="Cambria Math" w:eastAsia="Times New Roman" w:hAnsi="Cambria Math" w:cs="Times New Roman"/>
                        <w:szCs w:val="20"/>
                      </w:rPr>
                      <m:t>-1</m:t>
                    </m:r>
                  </m:sup>
                </m:sSup>
                <m:d>
                  <m:dPr>
                    <m:ctrlPr>
                      <w:rPr>
                        <w:rFonts w:ascii="Cambria Math" w:eastAsia="Times New Roman" w:hAnsi="Cambria Math" w:cs="Times New Roman"/>
                        <w:i/>
                        <w:szCs w:val="20"/>
                      </w:rPr>
                    </m:ctrlPr>
                  </m:dPr>
                  <m:e>
                    <m:func>
                      <m:funcPr>
                        <m:ctrlPr>
                          <w:rPr>
                            <w:rFonts w:ascii="Cambria Math" w:eastAsia="Times New Roman" w:hAnsi="Cambria Math" w:cs="Times New Roman"/>
                            <w:szCs w:val="20"/>
                          </w:rPr>
                        </m:ctrlPr>
                      </m:funcPr>
                      <m:fName>
                        <m:r>
                          <m:rPr>
                            <m:sty m:val="p"/>
                          </m:rPr>
                          <w:rPr>
                            <w:rFonts w:ascii="Cambria Math" w:eastAsia="Times New Roman" w:hAnsi="Cambria Math" w:cs="Times New Roman"/>
                            <w:szCs w:val="20"/>
                          </w:rPr>
                          <m:t>exp</m:t>
                        </m:r>
                        <m:ctrlPr>
                          <w:rPr>
                            <w:rFonts w:ascii="Cambria Math" w:eastAsia="Times New Roman" w:hAnsi="Cambria Math" w:cs="Times New Roman"/>
                            <w:i/>
                            <w:szCs w:val="20"/>
                          </w:rPr>
                        </m:ctrlPr>
                      </m:fName>
                      <m:e>
                        <m:d>
                          <m:dPr>
                            <m:ctrlPr>
                              <w:rPr>
                                <w:rFonts w:ascii="Cambria Math" w:eastAsia="Times New Roman" w:hAnsi="Cambria Math" w:cs="Times New Roman"/>
                                <w:i/>
                                <w:szCs w:val="20"/>
                              </w:rPr>
                            </m:ctrlPr>
                          </m:dPr>
                          <m:e>
                            <m:r>
                              <m:rPr>
                                <m:sty m:val="p"/>
                              </m:rPr>
                              <w:rPr>
                                <w:rFonts w:ascii="Cambria Math" w:eastAsia="Times New Roman" w:hAnsi="Cambria Math" w:cs="Times New Roman"/>
                                <w:szCs w:val="20"/>
                              </w:rPr>
                              <m:t>gt</m:t>
                            </m:r>
                            <m:ctrlPr>
                              <w:rPr>
                                <w:rFonts w:ascii="Cambria Math" w:eastAsia="Times New Roman" w:hAnsi="Cambria Math" w:cs="Times New Roman"/>
                                <w:iCs/>
                                <w:szCs w:val="20"/>
                              </w:rPr>
                            </m:ctrlPr>
                          </m:e>
                        </m:d>
                      </m:e>
                    </m:func>
                    <m:r>
                      <m:rPr>
                        <m:sty m:val="p"/>
                      </m:rPr>
                      <w:rPr>
                        <w:rFonts w:ascii="Cambria Math" w:eastAsia="Times New Roman" w:hAnsi="Cambria Math" w:cs="Times New Roman"/>
                        <w:szCs w:val="20"/>
                      </w:rPr>
                      <m:t>-1</m:t>
                    </m:r>
                    <m:ctrlPr>
                      <w:rPr>
                        <w:rFonts w:ascii="Cambria Math" w:eastAsia="Times New Roman" w:hAnsi="Cambria Math" w:cs="Times New Roman"/>
                        <w:iCs/>
                        <w:szCs w:val="20"/>
                      </w:rPr>
                    </m:ctrlPr>
                  </m:e>
                </m:d>
                <m:ctrlPr>
                  <w:rPr>
                    <w:rFonts w:ascii="Cambria Math" w:eastAsia="Times New Roman" w:hAnsi="Cambria Math" w:cs="Times New Roman"/>
                    <w:iCs/>
                    <w:szCs w:val="20"/>
                  </w:rPr>
                </m:ctrlPr>
              </m:e>
            </m:d>
          </m:e>
        </m:func>
      </m:oMath>
      <w:r w:rsidRPr="00EF4250">
        <w:rPr>
          <w:rFonts w:eastAsia="Times New Roman" w:cs="Times New Roman"/>
          <w:szCs w:val="20"/>
        </w:rPr>
        <w:t>: Shape parameter=</w:t>
      </w:r>
      <w:r w:rsidRPr="00EF4250">
        <w:rPr>
          <w:rFonts w:eastAsia="Times New Roman" w:cs="Times New Roman"/>
          <w:i/>
          <w:szCs w:val="20"/>
        </w:rPr>
        <w:t xml:space="preserve"> </w:t>
      </w:r>
      <m:oMath>
        <m:r>
          <w:rPr>
            <w:rFonts w:ascii="Cambria Math" w:eastAsia="Times New Roman" w:hAnsi="Cambria Math" w:cs="Times New Roman"/>
            <w:szCs w:val="20"/>
          </w:rPr>
          <m:t xml:space="preserve">λ, </m:t>
        </m:r>
      </m:oMath>
      <w:r w:rsidRPr="00EF4250">
        <w:rPr>
          <w:rFonts w:eastAsia="Times New Roman" w:cs="Times New Roman"/>
          <w:iCs/>
          <w:szCs w:val="20"/>
        </w:rPr>
        <w:t>scale parameter=</w:t>
      </w:r>
      <w:r w:rsidRPr="00EF4250">
        <w:rPr>
          <w:rFonts w:ascii="Symbol" w:eastAsia="Symbol" w:hAnsi="Symbol" w:cs="Symbol"/>
          <w:iCs/>
          <w:szCs w:val="20"/>
        </w:rPr>
        <w:t>g</w:t>
      </w:r>
      <w:r w:rsidRPr="00EF4250">
        <w:rPr>
          <w:rFonts w:eastAsia="Times New Roman" w:cs="Times New Roman"/>
          <w:iCs/>
          <w:szCs w:val="20"/>
        </w:rPr>
        <w:t>.</w:t>
      </w:r>
    </w:p>
    <w:p w14:paraId="332509BA" w14:textId="59A849BC" w:rsidR="00E869B7" w:rsidRPr="00EF4250" w:rsidRDefault="00E869B7" w:rsidP="00754108">
      <w:pPr>
        <w:spacing w:line="276" w:lineRule="auto"/>
        <w:rPr>
          <w:rFonts w:cs="Times New Roman"/>
          <w:szCs w:val="20"/>
          <w:shd w:val="clear" w:color="auto" w:fill="FFFFFF"/>
        </w:rPr>
      </w:pPr>
      <w:r w:rsidRPr="00EF4250">
        <w:rPr>
          <w:rFonts w:cs="Times New Roman"/>
          <w:szCs w:val="20"/>
        </w:rPr>
        <w:t>We used the published Kaplan-Meier curve for sublingual or oral</w:t>
      </w:r>
      <w:r w:rsidR="00331BD7" w:rsidRPr="00EF4250">
        <w:rPr>
          <w:rFonts w:cs="Times New Roman"/>
          <w:szCs w:val="20"/>
        </w:rPr>
        <w:t xml:space="preserve"> </w:t>
      </w:r>
      <w:r w:rsidRPr="00EF4250">
        <w:rPr>
          <w:rFonts w:cs="Times New Roman"/>
          <w:szCs w:val="20"/>
        </w:rPr>
        <w:t xml:space="preserve">mucosal </w:t>
      </w:r>
      <w:r w:rsidR="000E2D09" w:rsidRPr="00EF4250">
        <w:rPr>
          <w:rFonts w:cs="Times New Roman"/>
          <w:szCs w:val="20"/>
        </w:rPr>
        <w:t>buprenorphine</w:t>
      </w:r>
      <w:r w:rsidRPr="00EF4250">
        <w:rPr>
          <w:rFonts w:cs="Times New Roman"/>
          <w:szCs w:val="20"/>
        </w:rPr>
        <w:t>/naloxone treatment</w:t>
      </w:r>
      <w:r w:rsidR="00D2313B" w:rsidRPr="00EF4250">
        <w:rPr>
          <w:rFonts w:cs="Times New Roman"/>
          <w:szCs w:val="20"/>
        </w:rPr>
        <w:t>,</w:t>
      </w:r>
      <w:r w:rsidRPr="00EF4250">
        <w:rPr>
          <w:rFonts w:cs="Times New Roman"/>
          <w:szCs w:val="20"/>
        </w:rPr>
        <w:t xml:space="preserve"> which had the largest sample size in Morgan </w:t>
      </w:r>
      <w:r w:rsidRPr="00EF4250">
        <w:rPr>
          <w:rFonts w:cs="Times New Roman"/>
          <w:i/>
          <w:iCs/>
          <w:szCs w:val="20"/>
        </w:rPr>
        <w:t>et al.</w:t>
      </w:r>
      <w:r w:rsidRPr="00EF4250">
        <w:rPr>
          <w:rFonts w:cs="Times New Roman"/>
          <w:szCs w:val="20"/>
        </w:rPr>
        <w:t xml:space="preserve"> (2018)</w:t>
      </w:r>
      <w:r w:rsidR="007A0F3C" w:rsidRPr="00EF4250">
        <w:rPr>
          <w:rFonts w:cs="Times New Roman"/>
          <w:szCs w:val="20"/>
        </w:rPr>
        <w:t>.</w:t>
      </w:r>
      <w:r w:rsidR="00CF7A69" w:rsidRPr="00EF4250">
        <w:rPr>
          <w:rFonts w:cs="Times New Roman"/>
          <w:szCs w:val="20"/>
        </w:rPr>
        <w:fldChar w:fldCharType="begin"/>
      </w:r>
      <w:r w:rsidR="002F7FE7" w:rsidRPr="00EF4250">
        <w:rPr>
          <w:rFonts w:cs="Times New Roman"/>
          <w:szCs w:val="20"/>
        </w:rPr>
        <w:instrText xml:space="preserve"> ADDIN EN.CITE &lt;EndNote&gt;&lt;Cite&gt;&lt;Author&gt;Morgan&lt;/Author&gt;&lt;Year&gt;2018&lt;/Year&gt;&lt;RecNum&gt;13&lt;/RecNum&gt;&lt;DisplayText&gt;&lt;style face="superscript"&gt;19&lt;/style&gt;&lt;/DisplayText&gt;&lt;record&gt;&lt;rec-number&gt;13&lt;/rec-number&gt;&lt;foreign-keys&gt;&lt;key app="EN" db-id="xxft2ztdi9wf0qee0zovvtvrpefvetvvad02" timestamp="1691429444" guid="e7b5e5e1-1caf-4ae1-8a18-796c2f142202"&gt;13&lt;/key&gt;&lt;/foreign-keys&gt;&lt;ref-type name="Journal Article"&gt;17&lt;/ref-type&gt;&lt;contributors&gt;&lt;authors&gt;&lt;author&gt;Morgan, Jake R&lt;/author&gt;&lt;author&gt;Schackman, Bruce R&lt;/author&gt;&lt;author&gt;Leff, Jared A&lt;/author&gt;&lt;author&gt;Linas, Benjamin P&lt;/author&gt;&lt;author&gt;Walley, Alexander Y&lt;/author&gt;&lt;/authors&gt;&lt;/contributors&gt;&lt;titles&gt;&lt;title&gt;Injectable naltrexone, oral naltrexone, and buprenorphine utilization and discontinuation among individuals treated for opioid use disorder in a United States commercially insured population&lt;/title&gt;&lt;secondary-title&gt;Journal of substance abuse treatment&lt;/secondary-title&gt;&lt;/titles&gt;&lt;periodical&gt;&lt;full-title&gt;Journal of substance abuse treatment&lt;/full-title&gt;&lt;/periodical&gt;&lt;pages&gt;90-96&lt;/pages&gt;&lt;volume&gt;85&lt;/volume&gt;&lt;dates&gt;&lt;year&gt;2018&lt;/year&gt;&lt;/dates&gt;&lt;isbn&gt;0740-5472&lt;/isbn&gt;&lt;urls&gt;&lt;/urls&gt;&lt;/record&gt;&lt;/Cite&gt;&lt;/EndNote&gt;</w:instrText>
      </w:r>
      <w:r w:rsidR="00CF7A69" w:rsidRPr="00EF4250">
        <w:rPr>
          <w:rFonts w:cs="Times New Roman"/>
          <w:szCs w:val="20"/>
        </w:rPr>
        <w:fldChar w:fldCharType="separate"/>
      </w:r>
      <w:r w:rsidR="002F7FE7" w:rsidRPr="00EF4250">
        <w:rPr>
          <w:rFonts w:cs="Times New Roman"/>
          <w:noProof/>
          <w:szCs w:val="20"/>
          <w:vertAlign w:val="superscript"/>
        </w:rPr>
        <w:t>19</w:t>
      </w:r>
      <w:r w:rsidR="00CF7A69" w:rsidRPr="00EF4250">
        <w:rPr>
          <w:rFonts w:cs="Times New Roman"/>
          <w:szCs w:val="20"/>
        </w:rPr>
        <w:fldChar w:fldCharType="end"/>
      </w:r>
      <w:r w:rsidRPr="00EF4250">
        <w:rPr>
          <w:rFonts w:cs="Times New Roman"/>
          <w:szCs w:val="20"/>
        </w:rPr>
        <w:t xml:space="preserve"> The best fitting parametric survival distributions were selected based on goodness-of-fit metrics (</w:t>
      </w:r>
      <w:r w:rsidRPr="00EF4250">
        <w:rPr>
          <w:rFonts w:cs="Times New Roman"/>
          <w:szCs w:val="20"/>
          <w:shd w:val="clear" w:color="auto" w:fill="FFFFFF"/>
        </w:rPr>
        <w:t>Akaike information criterion</w:t>
      </w:r>
      <w:r w:rsidR="006A44C2" w:rsidRPr="00EF4250">
        <w:rPr>
          <w:rFonts w:cs="Times New Roman"/>
          <w:szCs w:val="20"/>
          <w:shd w:val="clear" w:color="auto" w:fill="FFFFFF"/>
        </w:rPr>
        <w:t xml:space="preserve"> [AIC]</w:t>
      </w:r>
      <w:r w:rsidRPr="00EF4250">
        <w:rPr>
          <w:rFonts w:cs="Times New Roman"/>
          <w:szCs w:val="20"/>
          <w:shd w:val="clear" w:color="auto" w:fill="FFFFFF"/>
        </w:rPr>
        <w:t>, Bayesian Information Criterion</w:t>
      </w:r>
      <w:r w:rsidR="006A44C2" w:rsidRPr="00EF4250">
        <w:rPr>
          <w:rFonts w:cs="Times New Roman"/>
          <w:szCs w:val="20"/>
          <w:shd w:val="clear" w:color="auto" w:fill="FFFFFF"/>
        </w:rPr>
        <w:t xml:space="preserve"> [BIC]</w:t>
      </w:r>
      <w:r w:rsidRPr="00EF4250">
        <w:rPr>
          <w:rFonts w:cs="Times New Roman"/>
          <w:szCs w:val="20"/>
          <w:shd w:val="clear" w:color="auto" w:fill="FFFFFF"/>
        </w:rPr>
        <w:t xml:space="preserve">), as well as visual inspections </w:t>
      </w:r>
      <w:r w:rsidR="00D2313B" w:rsidRPr="00EF4250">
        <w:rPr>
          <w:rFonts w:cs="Times New Roman"/>
          <w:szCs w:val="20"/>
          <w:shd w:val="clear" w:color="auto" w:fill="FFFFFF"/>
        </w:rPr>
        <w:t xml:space="preserve">to ensure </w:t>
      </w:r>
      <w:r w:rsidRPr="00EF4250">
        <w:rPr>
          <w:rFonts w:cs="Times New Roman"/>
          <w:szCs w:val="20"/>
          <w:shd w:val="clear" w:color="auto" w:fill="FFFFFF"/>
        </w:rPr>
        <w:t xml:space="preserve">reasonable extrapolation beyond the limited follow-up periods. </w:t>
      </w:r>
      <w:r w:rsidR="001758EB" w:rsidRPr="00EF4250">
        <w:rPr>
          <w:rFonts w:cs="Times New Roman"/>
          <w:szCs w:val="20"/>
          <w:shd w:val="clear" w:color="auto" w:fill="FFFFFF"/>
        </w:rPr>
        <w:t>A</w:t>
      </w:r>
      <w:r w:rsidRPr="00EF4250">
        <w:rPr>
          <w:rFonts w:cs="Times New Roman"/>
          <w:szCs w:val="20"/>
          <w:shd w:val="clear" w:color="auto" w:fill="FFFFFF"/>
        </w:rPr>
        <w:t xml:space="preserve"> comparison of goodness-of-fit </w:t>
      </w:r>
      <w:r w:rsidR="001758EB" w:rsidRPr="00EF4250">
        <w:rPr>
          <w:rFonts w:cs="Times New Roman"/>
          <w:szCs w:val="20"/>
          <w:shd w:val="clear" w:color="auto" w:fill="FFFFFF"/>
        </w:rPr>
        <w:t xml:space="preserve">among </w:t>
      </w:r>
      <w:r w:rsidRPr="00EF4250">
        <w:rPr>
          <w:rFonts w:cs="Times New Roman"/>
          <w:szCs w:val="20"/>
          <w:shd w:val="clear" w:color="auto" w:fill="FFFFFF"/>
        </w:rPr>
        <w:t xml:space="preserve">survival distributions </w:t>
      </w:r>
      <w:r w:rsidR="001758EB" w:rsidRPr="00EF4250">
        <w:rPr>
          <w:rFonts w:cs="Times New Roman"/>
          <w:szCs w:val="20"/>
          <w:shd w:val="clear" w:color="auto" w:fill="FFFFFF"/>
        </w:rPr>
        <w:t>is</w:t>
      </w:r>
      <w:r w:rsidRPr="00EF4250">
        <w:rPr>
          <w:rFonts w:cs="Times New Roman"/>
          <w:szCs w:val="20"/>
          <w:shd w:val="clear" w:color="auto" w:fill="FFFFFF"/>
        </w:rPr>
        <w:t xml:space="preserve"> listed in </w:t>
      </w:r>
      <w:r w:rsidR="00A87FBF" w:rsidRPr="00626C29">
        <w:rPr>
          <w:b/>
          <w:szCs w:val="20"/>
        </w:rPr>
        <w:t xml:space="preserve">Supplementary </w:t>
      </w:r>
      <w:r w:rsidRPr="00EF4250">
        <w:rPr>
          <w:rFonts w:cs="Times New Roman"/>
          <w:b/>
          <w:bCs/>
          <w:szCs w:val="20"/>
          <w:shd w:val="clear" w:color="auto" w:fill="FFFFFF"/>
        </w:rPr>
        <w:t xml:space="preserve">Table </w:t>
      </w:r>
      <w:r w:rsidR="00A87FBF">
        <w:rPr>
          <w:rFonts w:cs="Times New Roman"/>
          <w:b/>
          <w:bCs/>
          <w:szCs w:val="20"/>
          <w:shd w:val="clear" w:color="auto" w:fill="FFFFFF"/>
        </w:rPr>
        <w:t>1</w:t>
      </w:r>
      <w:r w:rsidR="00F92FB6">
        <w:rPr>
          <w:rFonts w:cs="Times New Roman"/>
          <w:b/>
          <w:bCs/>
          <w:szCs w:val="20"/>
          <w:shd w:val="clear" w:color="auto" w:fill="FFFFFF"/>
        </w:rPr>
        <w:t>1</w:t>
      </w:r>
      <w:r w:rsidR="001758EB" w:rsidRPr="00EF4250">
        <w:rPr>
          <w:rFonts w:cs="Times New Roman"/>
          <w:szCs w:val="20"/>
          <w:shd w:val="clear" w:color="auto" w:fill="FFFFFF"/>
        </w:rPr>
        <w:t>, demonstrating</w:t>
      </w:r>
      <w:r w:rsidR="006B5C89" w:rsidRPr="00EF4250">
        <w:rPr>
          <w:rFonts w:cs="Times New Roman"/>
          <w:szCs w:val="20"/>
          <w:shd w:val="clear" w:color="auto" w:fill="FFFFFF"/>
        </w:rPr>
        <w:t xml:space="preserve"> that the log-logistic model outperformed other parametric survival models</w:t>
      </w:r>
      <w:r w:rsidR="001758EB" w:rsidRPr="00EF4250">
        <w:rPr>
          <w:rFonts w:cs="Times New Roman"/>
          <w:szCs w:val="20"/>
          <w:shd w:val="clear" w:color="auto" w:fill="FFFFFF"/>
        </w:rPr>
        <w:t>.</w:t>
      </w:r>
      <w:r w:rsidR="006B5C89" w:rsidRPr="00EF4250">
        <w:rPr>
          <w:rFonts w:cs="Times New Roman"/>
          <w:szCs w:val="20"/>
          <w:shd w:val="clear" w:color="auto" w:fill="FFFFFF"/>
        </w:rPr>
        <w:t xml:space="preserve"> </w:t>
      </w:r>
      <w:r w:rsidR="001758EB" w:rsidRPr="00EF4250">
        <w:rPr>
          <w:rFonts w:cs="Times New Roman"/>
          <w:szCs w:val="20"/>
          <w:shd w:val="clear" w:color="auto" w:fill="FFFFFF"/>
        </w:rPr>
        <w:t xml:space="preserve">The best-fitted parameters for the log-logistic model were found to be </w:t>
      </w:r>
      <w:r w:rsidR="006B5C89" w:rsidRPr="00EF4250">
        <w:rPr>
          <w:rFonts w:cs="Times New Roman"/>
          <w:szCs w:val="20"/>
          <w:shd w:val="clear" w:color="auto" w:fill="FFFFFF"/>
        </w:rPr>
        <w:t xml:space="preserve">shape parameter = 0.013, </w:t>
      </w:r>
      <w:r w:rsidR="001758EB" w:rsidRPr="00EF4250">
        <w:rPr>
          <w:rFonts w:cs="Times New Roman"/>
          <w:szCs w:val="20"/>
          <w:shd w:val="clear" w:color="auto" w:fill="FFFFFF"/>
        </w:rPr>
        <w:t xml:space="preserve">and </w:t>
      </w:r>
      <w:r w:rsidR="006B5C89" w:rsidRPr="00EF4250">
        <w:rPr>
          <w:rFonts w:cs="Times New Roman"/>
          <w:szCs w:val="20"/>
          <w:shd w:val="clear" w:color="auto" w:fill="FFFFFF"/>
        </w:rPr>
        <w:t>scale parameter = 0.986.</w:t>
      </w:r>
    </w:p>
    <w:p w14:paraId="2EF2E5FC" w14:textId="5639C66B" w:rsidR="00E869B7" w:rsidRPr="00154468" w:rsidRDefault="00A87FBF" w:rsidP="006622EC">
      <w:pPr>
        <w:pStyle w:val="table-title"/>
        <w:rPr>
          <w:rFonts w:ascii="Times New Roman" w:hAnsi="Times New Roman"/>
          <w:szCs w:val="20"/>
        </w:rPr>
      </w:pPr>
      <w:r w:rsidRPr="00626C29">
        <w:rPr>
          <w:rFonts w:ascii="Times New Roman" w:hAnsi="Times New Roman"/>
          <w:b/>
          <w:szCs w:val="20"/>
        </w:rPr>
        <w:t xml:space="preserve">Supplementary </w:t>
      </w:r>
      <w:r w:rsidR="00E869B7" w:rsidRPr="00154468">
        <w:rPr>
          <w:rFonts w:ascii="Times New Roman" w:hAnsi="Times New Roman"/>
          <w:b/>
          <w:szCs w:val="20"/>
        </w:rPr>
        <w:t xml:space="preserve">Table </w:t>
      </w:r>
      <w:r w:rsidR="00F92FB6" w:rsidRPr="00154468">
        <w:rPr>
          <w:rFonts w:ascii="Times New Roman" w:hAnsi="Times New Roman"/>
          <w:b/>
          <w:szCs w:val="20"/>
        </w:rPr>
        <w:t>11</w:t>
      </w:r>
      <w:r w:rsidR="00E869B7" w:rsidRPr="00154468">
        <w:rPr>
          <w:rFonts w:ascii="Times New Roman" w:hAnsi="Times New Roman"/>
          <w:b/>
          <w:szCs w:val="20"/>
        </w:rPr>
        <w:t xml:space="preserve">. </w:t>
      </w:r>
      <w:r w:rsidR="00E869B7" w:rsidRPr="00154468">
        <w:rPr>
          <w:rFonts w:ascii="Times New Roman" w:hAnsi="Times New Roman"/>
          <w:szCs w:val="20"/>
        </w:rPr>
        <w:t xml:space="preserve">Goodness-of-fit of parametric survival models </w:t>
      </w:r>
      <w:r w:rsidR="007C3758" w:rsidRPr="00154468">
        <w:rPr>
          <w:rFonts w:ascii="Times New Roman" w:hAnsi="Times New Roman"/>
          <w:szCs w:val="20"/>
        </w:rPr>
        <w:t xml:space="preserve">for </w:t>
      </w:r>
      <w:r w:rsidR="00E869B7" w:rsidRPr="00154468">
        <w:rPr>
          <w:rFonts w:ascii="Times New Roman" w:hAnsi="Times New Roman"/>
          <w:szCs w:val="20"/>
        </w:rPr>
        <w:t xml:space="preserve">treatment retention. </w:t>
      </w:r>
    </w:p>
    <w:tbl>
      <w:tblPr>
        <w:tblStyle w:val="TableGrid"/>
        <w:tblW w:w="0" w:type="auto"/>
        <w:tblLayout w:type="fixed"/>
        <w:tblLook w:val="04A0" w:firstRow="1" w:lastRow="0" w:firstColumn="1" w:lastColumn="0" w:noHBand="0" w:noVBand="1"/>
      </w:tblPr>
      <w:tblGrid>
        <w:gridCol w:w="1628"/>
        <w:gridCol w:w="1463"/>
        <w:gridCol w:w="961"/>
        <w:gridCol w:w="1475"/>
        <w:gridCol w:w="1270"/>
      </w:tblGrid>
      <w:tr w:rsidR="00CE4F75" w:rsidRPr="00D2239A" w14:paraId="010B198E" w14:textId="77777777" w:rsidTr="00AE64C2">
        <w:trPr>
          <w:trHeight w:val="20"/>
        </w:trPr>
        <w:tc>
          <w:tcPr>
            <w:tcW w:w="1628" w:type="dxa"/>
          </w:tcPr>
          <w:p w14:paraId="376DBDFA" w14:textId="77777777" w:rsidR="00E869B7" w:rsidRPr="00D2239A" w:rsidRDefault="00E869B7" w:rsidP="00F61D17">
            <w:pPr>
              <w:spacing w:line="276" w:lineRule="auto"/>
              <w:rPr>
                <w:rFonts w:cs="Times New Roman"/>
                <w:b/>
                <w:bCs/>
                <w:sz w:val="18"/>
                <w:szCs w:val="18"/>
              </w:rPr>
            </w:pPr>
          </w:p>
        </w:tc>
        <w:tc>
          <w:tcPr>
            <w:tcW w:w="5169" w:type="dxa"/>
            <w:gridSpan w:val="4"/>
          </w:tcPr>
          <w:p w14:paraId="081DF9F6" w14:textId="77777777" w:rsidR="00E869B7" w:rsidRPr="00D2239A" w:rsidRDefault="00E869B7" w:rsidP="00F61D17">
            <w:pPr>
              <w:spacing w:line="276" w:lineRule="auto"/>
              <w:jc w:val="center"/>
              <w:rPr>
                <w:rFonts w:cs="Times New Roman"/>
                <w:b/>
                <w:bCs/>
                <w:sz w:val="18"/>
                <w:szCs w:val="18"/>
              </w:rPr>
            </w:pPr>
            <w:r w:rsidRPr="00D2239A">
              <w:rPr>
                <w:rFonts w:cs="Times New Roman"/>
                <w:b/>
                <w:bCs/>
                <w:sz w:val="18"/>
                <w:szCs w:val="18"/>
              </w:rPr>
              <w:t>Survival models</w:t>
            </w:r>
          </w:p>
        </w:tc>
      </w:tr>
      <w:tr w:rsidR="00CE4F75" w:rsidRPr="00D2239A" w14:paraId="10702A27" w14:textId="77777777" w:rsidTr="00AE64C2">
        <w:trPr>
          <w:trHeight w:val="20"/>
        </w:trPr>
        <w:tc>
          <w:tcPr>
            <w:tcW w:w="1628" w:type="dxa"/>
          </w:tcPr>
          <w:p w14:paraId="21DFFF21" w14:textId="19476C6E" w:rsidR="00E869B7" w:rsidRPr="00D2239A" w:rsidRDefault="00B16575" w:rsidP="00F61D17">
            <w:pPr>
              <w:spacing w:line="276" w:lineRule="auto"/>
              <w:rPr>
                <w:rFonts w:cs="Times New Roman"/>
                <w:b/>
                <w:bCs/>
                <w:sz w:val="18"/>
                <w:szCs w:val="18"/>
              </w:rPr>
            </w:pPr>
            <w:r w:rsidRPr="00D2239A">
              <w:rPr>
                <w:rFonts w:cs="Times New Roman"/>
                <w:b/>
                <w:bCs/>
                <w:sz w:val="18"/>
                <w:szCs w:val="18"/>
              </w:rPr>
              <w:t>Goodness-of-fit</w:t>
            </w:r>
          </w:p>
        </w:tc>
        <w:tc>
          <w:tcPr>
            <w:tcW w:w="1463" w:type="dxa"/>
          </w:tcPr>
          <w:p w14:paraId="294B64B7" w14:textId="77777777" w:rsidR="00E869B7" w:rsidRPr="00D2239A" w:rsidRDefault="00E869B7" w:rsidP="00CE4F75">
            <w:pPr>
              <w:spacing w:line="276" w:lineRule="auto"/>
              <w:jc w:val="center"/>
              <w:rPr>
                <w:rFonts w:cs="Times New Roman"/>
                <w:b/>
                <w:bCs/>
                <w:sz w:val="18"/>
                <w:szCs w:val="18"/>
              </w:rPr>
            </w:pPr>
            <w:r w:rsidRPr="00D2239A">
              <w:rPr>
                <w:rFonts w:cs="Times New Roman"/>
                <w:b/>
                <w:bCs/>
                <w:sz w:val="18"/>
                <w:szCs w:val="18"/>
              </w:rPr>
              <w:t>Exponential</w:t>
            </w:r>
          </w:p>
        </w:tc>
        <w:tc>
          <w:tcPr>
            <w:tcW w:w="961" w:type="dxa"/>
          </w:tcPr>
          <w:p w14:paraId="4C6389A6" w14:textId="77777777" w:rsidR="00E869B7" w:rsidRPr="00D2239A" w:rsidRDefault="00E869B7" w:rsidP="00CE4F75">
            <w:pPr>
              <w:spacing w:line="276" w:lineRule="auto"/>
              <w:jc w:val="center"/>
              <w:rPr>
                <w:rFonts w:cs="Times New Roman"/>
                <w:b/>
                <w:bCs/>
                <w:sz w:val="18"/>
                <w:szCs w:val="18"/>
              </w:rPr>
            </w:pPr>
            <w:r w:rsidRPr="00D2239A">
              <w:rPr>
                <w:rFonts w:cs="Times New Roman"/>
                <w:b/>
                <w:bCs/>
                <w:sz w:val="18"/>
                <w:szCs w:val="18"/>
              </w:rPr>
              <w:t>Weibull</w:t>
            </w:r>
          </w:p>
        </w:tc>
        <w:tc>
          <w:tcPr>
            <w:tcW w:w="1475" w:type="dxa"/>
          </w:tcPr>
          <w:p w14:paraId="21A47A3D" w14:textId="77777777" w:rsidR="00E869B7" w:rsidRPr="00D2239A" w:rsidRDefault="00E869B7" w:rsidP="00CE4F75">
            <w:pPr>
              <w:spacing w:line="276" w:lineRule="auto"/>
              <w:jc w:val="center"/>
              <w:rPr>
                <w:rFonts w:cs="Times New Roman"/>
                <w:b/>
                <w:bCs/>
                <w:sz w:val="18"/>
                <w:szCs w:val="18"/>
              </w:rPr>
            </w:pPr>
            <w:r w:rsidRPr="00D2239A">
              <w:rPr>
                <w:rFonts w:cs="Times New Roman"/>
                <w:b/>
                <w:bCs/>
                <w:sz w:val="18"/>
                <w:szCs w:val="18"/>
              </w:rPr>
              <w:t>Log-Logistic</w:t>
            </w:r>
          </w:p>
        </w:tc>
        <w:tc>
          <w:tcPr>
            <w:tcW w:w="1270" w:type="dxa"/>
          </w:tcPr>
          <w:p w14:paraId="3DF2388C" w14:textId="77777777" w:rsidR="00E869B7" w:rsidRPr="00D2239A" w:rsidRDefault="00E869B7" w:rsidP="00CE4F75">
            <w:pPr>
              <w:spacing w:line="276" w:lineRule="auto"/>
              <w:jc w:val="center"/>
              <w:rPr>
                <w:rFonts w:cs="Times New Roman"/>
                <w:b/>
                <w:bCs/>
                <w:sz w:val="18"/>
                <w:szCs w:val="18"/>
              </w:rPr>
            </w:pPr>
            <w:r w:rsidRPr="00D2239A">
              <w:rPr>
                <w:rFonts w:cs="Times New Roman"/>
                <w:b/>
                <w:bCs/>
                <w:sz w:val="18"/>
                <w:szCs w:val="18"/>
              </w:rPr>
              <w:t>Gompertz</w:t>
            </w:r>
          </w:p>
        </w:tc>
      </w:tr>
      <w:tr w:rsidR="00CE4F75" w:rsidRPr="00D2239A" w14:paraId="65326405" w14:textId="77777777" w:rsidTr="00AE64C2">
        <w:trPr>
          <w:trHeight w:val="20"/>
        </w:trPr>
        <w:tc>
          <w:tcPr>
            <w:tcW w:w="1628" w:type="dxa"/>
          </w:tcPr>
          <w:p w14:paraId="3A0DE519" w14:textId="77777777" w:rsidR="00E869B7" w:rsidRPr="00D2239A" w:rsidRDefault="00E869B7" w:rsidP="00F61D17">
            <w:pPr>
              <w:spacing w:line="276" w:lineRule="auto"/>
              <w:rPr>
                <w:rFonts w:cs="Times New Roman"/>
                <w:sz w:val="18"/>
                <w:szCs w:val="18"/>
              </w:rPr>
            </w:pPr>
            <w:r w:rsidRPr="00D2239A">
              <w:rPr>
                <w:rFonts w:cs="Times New Roman"/>
                <w:sz w:val="18"/>
                <w:szCs w:val="18"/>
              </w:rPr>
              <w:t>AIC</w:t>
            </w:r>
          </w:p>
        </w:tc>
        <w:tc>
          <w:tcPr>
            <w:tcW w:w="1463" w:type="dxa"/>
          </w:tcPr>
          <w:p w14:paraId="421ABC22" w14:textId="77777777" w:rsidR="00E869B7" w:rsidRPr="00D2239A" w:rsidRDefault="00E869B7" w:rsidP="00CE4F75">
            <w:pPr>
              <w:spacing w:line="276" w:lineRule="auto"/>
              <w:jc w:val="right"/>
              <w:rPr>
                <w:rFonts w:cs="Times New Roman"/>
                <w:sz w:val="18"/>
                <w:szCs w:val="18"/>
              </w:rPr>
            </w:pPr>
            <w:r w:rsidRPr="00D2239A">
              <w:rPr>
                <w:rFonts w:cs="Times New Roman"/>
                <w:sz w:val="18"/>
                <w:szCs w:val="18"/>
              </w:rPr>
              <w:t>-364.15</w:t>
            </w:r>
          </w:p>
        </w:tc>
        <w:tc>
          <w:tcPr>
            <w:tcW w:w="961" w:type="dxa"/>
          </w:tcPr>
          <w:p w14:paraId="16B04C34" w14:textId="77777777" w:rsidR="00E869B7" w:rsidRPr="00D2239A" w:rsidRDefault="00E869B7" w:rsidP="00CE4F75">
            <w:pPr>
              <w:spacing w:line="276" w:lineRule="auto"/>
              <w:jc w:val="right"/>
              <w:rPr>
                <w:rFonts w:cs="Times New Roman"/>
                <w:sz w:val="18"/>
                <w:szCs w:val="18"/>
              </w:rPr>
            </w:pPr>
            <w:r w:rsidRPr="00D2239A">
              <w:rPr>
                <w:rFonts w:cs="Times New Roman"/>
                <w:sz w:val="18"/>
                <w:szCs w:val="18"/>
              </w:rPr>
              <w:t>-763.20</w:t>
            </w:r>
          </w:p>
          <w:p w14:paraId="0468374B" w14:textId="77777777" w:rsidR="00E869B7" w:rsidRPr="00D2239A" w:rsidRDefault="00E869B7" w:rsidP="00CE4F75">
            <w:pPr>
              <w:spacing w:line="276" w:lineRule="auto"/>
              <w:jc w:val="right"/>
              <w:rPr>
                <w:rFonts w:cs="Times New Roman"/>
                <w:sz w:val="18"/>
                <w:szCs w:val="18"/>
              </w:rPr>
            </w:pPr>
          </w:p>
        </w:tc>
        <w:tc>
          <w:tcPr>
            <w:tcW w:w="1475" w:type="dxa"/>
          </w:tcPr>
          <w:p w14:paraId="2D1DE7E7" w14:textId="77777777" w:rsidR="00E869B7" w:rsidRPr="00D2239A" w:rsidRDefault="00E869B7" w:rsidP="00CE4F75">
            <w:pPr>
              <w:spacing w:line="276" w:lineRule="auto"/>
              <w:jc w:val="right"/>
              <w:rPr>
                <w:rFonts w:cs="Times New Roman"/>
                <w:b/>
                <w:bCs/>
                <w:sz w:val="18"/>
                <w:szCs w:val="18"/>
              </w:rPr>
            </w:pPr>
            <w:r w:rsidRPr="00D2239A">
              <w:rPr>
                <w:rFonts w:cs="Times New Roman"/>
                <w:b/>
                <w:bCs/>
                <w:sz w:val="18"/>
                <w:szCs w:val="18"/>
              </w:rPr>
              <w:t>-1035.83</w:t>
            </w:r>
          </w:p>
          <w:p w14:paraId="6F565079" w14:textId="77777777" w:rsidR="00E869B7" w:rsidRPr="00D2239A" w:rsidRDefault="00E869B7" w:rsidP="00CE4F75">
            <w:pPr>
              <w:spacing w:line="276" w:lineRule="auto"/>
              <w:jc w:val="right"/>
              <w:rPr>
                <w:rFonts w:cs="Times New Roman"/>
                <w:b/>
                <w:bCs/>
                <w:sz w:val="18"/>
                <w:szCs w:val="18"/>
              </w:rPr>
            </w:pPr>
          </w:p>
        </w:tc>
        <w:tc>
          <w:tcPr>
            <w:tcW w:w="1270" w:type="dxa"/>
          </w:tcPr>
          <w:p w14:paraId="5D5A1DB4" w14:textId="77777777" w:rsidR="00E869B7" w:rsidRPr="00D2239A" w:rsidRDefault="00E869B7" w:rsidP="00CE4F75">
            <w:pPr>
              <w:spacing w:line="276" w:lineRule="auto"/>
              <w:jc w:val="right"/>
              <w:rPr>
                <w:rFonts w:cs="Times New Roman"/>
                <w:sz w:val="18"/>
                <w:szCs w:val="18"/>
              </w:rPr>
            </w:pPr>
            <w:r w:rsidRPr="00D2239A">
              <w:rPr>
                <w:rFonts w:cs="Times New Roman"/>
                <w:sz w:val="18"/>
                <w:szCs w:val="18"/>
              </w:rPr>
              <w:t>-782.65</w:t>
            </w:r>
          </w:p>
        </w:tc>
      </w:tr>
      <w:tr w:rsidR="00CE4F75" w:rsidRPr="00D2239A" w14:paraId="08BB48AE" w14:textId="77777777" w:rsidTr="00AE64C2">
        <w:trPr>
          <w:trHeight w:val="20"/>
        </w:trPr>
        <w:tc>
          <w:tcPr>
            <w:tcW w:w="1628" w:type="dxa"/>
          </w:tcPr>
          <w:p w14:paraId="593407A8" w14:textId="77777777" w:rsidR="00E869B7" w:rsidRPr="00D2239A" w:rsidRDefault="00E869B7" w:rsidP="00F61D17">
            <w:pPr>
              <w:spacing w:line="276" w:lineRule="auto"/>
              <w:rPr>
                <w:rFonts w:cs="Times New Roman"/>
                <w:sz w:val="18"/>
                <w:szCs w:val="18"/>
              </w:rPr>
            </w:pPr>
            <w:r w:rsidRPr="00D2239A">
              <w:rPr>
                <w:rFonts w:cs="Times New Roman"/>
                <w:sz w:val="18"/>
                <w:szCs w:val="18"/>
              </w:rPr>
              <w:t>BIC</w:t>
            </w:r>
          </w:p>
        </w:tc>
        <w:tc>
          <w:tcPr>
            <w:tcW w:w="1463" w:type="dxa"/>
          </w:tcPr>
          <w:p w14:paraId="47D8B5D7" w14:textId="6B6D8EFB" w:rsidR="00E869B7" w:rsidRPr="00D2239A" w:rsidRDefault="00E869B7" w:rsidP="00AE64C2">
            <w:pPr>
              <w:spacing w:line="276" w:lineRule="auto"/>
              <w:jc w:val="right"/>
              <w:rPr>
                <w:rFonts w:cs="Times New Roman"/>
                <w:sz w:val="18"/>
                <w:szCs w:val="18"/>
              </w:rPr>
            </w:pPr>
            <w:r w:rsidRPr="00D2239A">
              <w:rPr>
                <w:rFonts w:cs="Times New Roman"/>
                <w:sz w:val="18"/>
                <w:szCs w:val="18"/>
              </w:rPr>
              <w:t>-358.04</w:t>
            </w:r>
          </w:p>
        </w:tc>
        <w:tc>
          <w:tcPr>
            <w:tcW w:w="961" w:type="dxa"/>
          </w:tcPr>
          <w:p w14:paraId="1D5BD9E6" w14:textId="65132C0A" w:rsidR="00E869B7" w:rsidRPr="00D2239A" w:rsidRDefault="00E869B7" w:rsidP="00AE64C2">
            <w:pPr>
              <w:spacing w:line="276" w:lineRule="auto"/>
              <w:jc w:val="right"/>
              <w:rPr>
                <w:rFonts w:cs="Times New Roman"/>
                <w:sz w:val="18"/>
                <w:szCs w:val="18"/>
              </w:rPr>
            </w:pPr>
            <w:r w:rsidRPr="00D2239A">
              <w:rPr>
                <w:rFonts w:cs="Times New Roman"/>
                <w:sz w:val="18"/>
                <w:szCs w:val="18"/>
              </w:rPr>
              <w:t>-754.03</w:t>
            </w:r>
          </w:p>
        </w:tc>
        <w:tc>
          <w:tcPr>
            <w:tcW w:w="1475" w:type="dxa"/>
          </w:tcPr>
          <w:p w14:paraId="67C30A12" w14:textId="77777777" w:rsidR="00E869B7" w:rsidRPr="00D2239A" w:rsidRDefault="00E869B7" w:rsidP="00CE4F75">
            <w:pPr>
              <w:spacing w:line="276" w:lineRule="auto"/>
              <w:jc w:val="right"/>
              <w:rPr>
                <w:rFonts w:cs="Times New Roman"/>
                <w:b/>
                <w:bCs/>
                <w:sz w:val="18"/>
                <w:szCs w:val="18"/>
              </w:rPr>
            </w:pPr>
            <w:r w:rsidRPr="00D2239A">
              <w:rPr>
                <w:rFonts w:cs="Times New Roman"/>
                <w:b/>
                <w:bCs/>
                <w:sz w:val="18"/>
                <w:szCs w:val="18"/>
              </w:rPr>
              <w:t>-1026.67</w:t>
            </w:r>
          </w:p>
          <w:p w14:paraId="40663340" w14:textId="77777777" w:rsidR="00E869B7" w:rsidRPr="00D2239A" w:rsidRDefault="00E869B7" w:rsidP="00CE4F75">
            <w:pPr>
              <w:spacing w:line="276" w:lineRule="auto"/>
              <w:jc w:val="right"/>
              <w:rPr>
                <w:rFonts w:cs="Times New Roman"/>
                <w:b/>
                <w:bCs/>
                <w:sz w:val="18"/>
                <w:szCs w:val="18"/>
              </w:rPr>
            </w:pPr>
          </w:p>
        </w:tc>
        <w:tc>
          <w:tcPr>
            <w:tcW w:w="1270" w:type="dxa"/>
          </w:tcPr>
          <w:p w14:paraId="2BC8E881" w14:textId="77777777" w:rsidR="00E869B7" w:rsidRPr="00D2239A" w:rsidRDefault="00E869B7" w:rsidP="00CE4F75">
            <w:pPr>
              <w:spacing w:line="276" w:lineRule="auto"/>
              <w:jc w:val="right"/>
              <w:rPr>
                <w:rFonts w:cs="Times New Roman"/>
                <w:sz w:val="18"/>
                <w:szCs w:val="18"/>
              </w:rPr>
            </w:pPr>
            <w:r w:rsidRPr="00D2239A">
              <w:rPr>
                <w:rFonts w:cs="Times New Roman"/>
                <w:sz w:val="18"/>
                <w:szCs w:val="18"/>
              </w:rPr>
              <w:t>-773.48</w:t>
            </w:r>
          </w:p>
          <w:p w14:paraId="558C76ED" w14:textId="77777777" w:rsidR="00E869B7" w:rsidRPr="00D2239A" w:rsidRDefault="00E869B7" w:rsidP="00CE4F75">
            <w:pPr>
              <w:spacing w:line="276" w:lineRule="auto"/>
              <w:jc w:val="right"/>
              <w:rPr>
                <w:rFonts w:cs="Times New Roman"/>
                <w:sz w:val="18"/>
                <w:szCs w:val="18"/>
              </w:rPr>
            </w:pPr>
          </w:p>
        </w:tc>
      </w:tr>
    </w:tbl>
    <w:p w14:paraId="13DFE1E1" w14:textId="77777777" w:rsidR="00E869B7" w:rsidRPr="00EF4250" w:rsidRDefault="00E869B7" w:rsidP="00F61D17">
      <w:pPr>
        <w:tabs>
          <w:tab w:val="left" w:pos="4506"/>
        </w:tabs>
        <w:spacing w:line="276" w:lineRule="auto"/>
        <w:rPr>
          <w:rFonts w:cs="Times New Roman"/>
          <w:szCs w:val="20"/>
        </w:rPr>
      </w:pPr>
    </w:p>
    <w:p w14:paraId="0EE91DBA" w14:textId="21A83997" w:rsidR="00E869B7" w:rsidRPr="00EF4250" w:rsidRDefault="006B5C89" w:rsidP="00754108">
      <w:pPr>
        <w:spacing w:line="276" w:lineRule="auto"/>
        <w:rPr>
          <w:rFonts w:cs="Times New Roman"/>
          <w:szCs w:val="20"/>
          <w:shd w:val="clear" w:color="auto" w:fill="FFFFFF"/>
        </w:rPr>
      </w:pPr>
      <w:r w:rsidRPr="00EF4250">
        <w:rPr>
          <w:rFonts w:cs="Times New Roman"/>
          <w:szCs w:val="20"/>
          <w:shd w:val="clear" w:color="auto" w:fill="FFFFFF"/>
        </w:rPr>
        <w:t>We used t</w:t>
      </w:r>
      <w:r w:rsidR="00E869B7" w:rsidRPr="00EF4250">
        <w:rPr>
          <w:rFonts w:cs="Times New Roman"/>
          <w:szCs w:val="20"/>
          <w:shd w:val="clear" w:color="auto" w:fill="FFFFFF"/>
        </w:rPr>
        <w:t xml:space="preserve">he </w:t>
      </w:r>
      <w:r w:rsidRPr="00EF4250">
        <w:rPr>
          <w:rFonts w:cs="Times New Roman"/>
          <w:szCs w:val="20"/>
          <w:shd w:val="clear" w:color="auto" w:fill="FFFFFF"/>
        </w:rPr>
        <w:t xml:space="preserve">best </w:t>
      </w:r>
      <w:r w:rsidR="00E869B7" w:rsidRPr="00EF4250">
        <w:rPr>
          <w:rFonts w:cs="Times New Roman"/>
          <w:szCs w:val="20"/>
          <w:shd w:val="clear" w:color="auto" w:fill="FFFFFF"/>
        </w:rPr>
        <w:t xml:space="preserve">fitted </w:t>
      </w:r>
      <w:r w:rsidR="00507AC7" w:rsidRPr="00EF4250">
        <w:rPr>
          <w:rFonts w:cs="Times New Roman"/>
          <w:szCs w:val="20"/>
          <w:shd w:val="clear" w:color="auto" w:fill="FFFFFF"/>
        </w:rPr>
        <w:t xml:space="preserve">log-logistic </w:t>
      </w:r>
      <w:r w:rsidR="00E869B7" w:rsidRPr="00EF4250">
        <w:rPr>
          <w:rFonts w:cs="Times New Roman"/>
          <w:szCs w:val="20"/>
          <w:shd w:val="clear" w:color="auto" w:fill="FFFFFF"/>
        </w:rPr>
        <w:t>model</w:t>
      </w:r>
      <w:r w:rsidR="007C3758" w:rsidRPr="00EF4250">
        <w:rPr>
          <w:rFonts w:cs="Times New Roman"/>
          <w:szCs w:val="20"/>
          <w:shd w:val="clear" w:color="auto" w:fill="FFFFFF"/>
        </w:rPr>
        <w:t>,</w:t>
      </w:r>
      <w:r w:rsidR="00E869B7" w:rsidRPr="00EF4250">
        <w:rPr>
          <w:rFonts w:cs="Times New Roman"/>
          <w:szCs w:val="20"/>
          <w:shd w:val="clear" w:color="auto" w:fill="FFFFFF"/>
        </w:rPr>
        <w:t xml:space="preserve"> </w:t>
      </w:r>
      <m:oMath>
        <m:r>
          <w:rPr>
            <w:rFonts w:ascii="Cambria Math" w:hAnsi="Cambria Math" w:cs="Times New Roman"/>
            <w:szCs w:val="20"/>
            <w:shd w:val="clear" w:color="auto" w:fill="FFFFFF"/>
          </w:rPr>
          <m:t>S(t)</m:t>
        </m:r>
      </m:oMath>
      <w:r w:rsidR="007C3758" w:rsidRPr="00EF4250">
        <w:rPr>
          <w:rFonts w:cs="Times New Roman"/>
          <w:szCs w:val="20"/>
          <w:shd w:val="clear" w:color="auto" w:fill="FFFFFF"/>
        </w:rPr>
        <w:t>,</w:t>
      </w:r>
      <w:r w:rsidR="00E869B7" w:rsidRPr="00EF4250">
        <w:rPr>
          <w:rFonts w:cs="Times New Roman"/>
          <w:szCs w:val="20"/>
          <w:shd w:val="clear" w:color="auto" w:fill="FFFFFF"/>
        </w:rPr>
        <w:t xml:space="preserve"> </w:t>
      </w:r>
      <w:r w:rsidRPr="00EF4250">
        <w:rPr>
          <w:rFonts w:cs="Times New Roman"/>
          <w:szCs w:val="20"/>
          <w:shd w:val="clear" w:color="auto" w:fill="FFFFFF"/>
        </w:rPr>
        <w:t>as</w:t>
      </w:r>
      <w:r w:rsidR="00E869B7" w:rsidRPr="00EF4250">
        <w:rPr>
          <w:rFonts w:cs="Times New Roman"/>
          <w:szCs w:val="20"/>
          <w:shd w:val="clear" w:color="auto" w:fill="FFFFFF"/>
        </w:rPr>
        <w:t xml:space="preserve"> a </w:t>
      </w:r>
      <w:r w:rsidR="001E102E" w:rsidRPr="00EF4250">
        <w:rPr>
          <w:rFonts w:cs="Times New Roman"/>
          <w:szCs w:val="20"/>
          <w:shd w:val="clear" w:color="auto" w:fill="FFFFFF"/>
        </w:rPr>
        <w:t xml:space="preserve">common </w:t>
      </w:r>
      <w:r w:rsidR="006318B0" w:rsidRPr="00EF4250">
        <w:rPr>
          <w:rFonts w:cs="Times New Roman"/>
          <w:szCs w:val="20"/>
          <w:shd w:val="clear" w:color="auto" w:fill="FFFFFF"/>
        </w:rPr>
        <w:t>baseline parametric survival model</w:t>
      </w:r>
      <w:r w:rsidR="00E869B7" w:rsidRPr="00EF4250">
        <w:rPr>
          <w:rFonts w:cs="Times New Roman"/>
          <w:szCs w:val="20"/>
          <w:shd w:val="clear" w:color="auto" w:fill="FFFFFF"/>
        </w:rPr>
        <w:t xml:space="preserve"> </w:t>
      </w:r>
      <w:r w:rsidR="00BB00E0" w:rsidRPr="00EF4250">
        <w:rPr>
          <w:rFonts w:cs="Times New Roman"/>
          <w:szCs w:val="20"/>
          <w:shd w:val="clear" w:color="auto" w:fill="FFFFFF"/>
        </w:rPr>
        <w:t xml:space="preserve">to determine the treatment discontinuation risk. </w:t>
      </w:r>
      <w:r w:rsidRPr="00EF4250">
        <w:rPr>
          <w:rFonts w:cs="Times New Roman"/>
          <w:szCs w:val="20"/>
          <w:shd w:val="clear" w:color="auto" w:fill="FFFFFF"/>
        </w:rPr>
        <w:t xml:space="preserve">For a </w:t>
      </w:r>
      <w:r w:rsidR="006318B0" w:rsidRPr="00EF4250">
        <w:rPr>
          <w:rFonts w:cs="Times New Roman"/>
          <w:szCs w:val="20"/>
          <w:shd w:val="clear" w:color="auto" w:fill="FFFFFF"/>
        </w:rPr>
        <w:t xml:space="preserve">given </w:t>
      </w:r>
      <w:r w:rsidRPr="00EF4250">
        <w:rPr>
          <w:rFonts w:cs="Times New Roman"/>
          <w:szCs w:val="20"/>
          <w:shd w:val="clear" w:color="auto" w:fill="FFFFFF"/>
        </w:rPr>
        <w:t xml:space="preserve">individual in the MOUD state, the time to treatment discontinuation was further adjusted by the number of completed treatment episodes, as </w:t>
      </w:r>
      <w:r w:rsidR="00A264D8" w:rsidRPr="00EF4250">
        <w:rPr>
          <w:rFonts w:cs="Times New Roman"/>
          <w:szCs w:val="20"/>
          <w:shd w:val="clear" w:color="auto" w:fill="FFFFFF"/>
        </w:rPr>
        <w:t xml:space="preserve">a </w:t>
      </w:r>
      <w:r w:rsidRPr="00EF4250">
        <w:rPr>
          <w:rFonts w:cs="Times New Roman"/>
          <w:szCs w:val="20"/>
          <w:shd w:val="clear" w:color="auto" w:fill="FFFFFF"/>
        </w:rPr>
        <w:t xml:space="preserve">previous study has shown that patients with more </w:t>
      </w:r>
      <w:r w:rsidR="007C3758" w:rsidRPr="00EF4250">
        <w:rPr>
          <w:rFonts w:cs="Times New Roman"/>
          <w:szCs w:val="20"/>
          <w:shd w:val="clear" w:color="auto" w:fill="FFFFFF"/>
        </w:rPr>
        <w:t xml:space="preserve">treatment </w:t>
      </w:r>
      <w:r w:rsidRPr="00EF4250">
        <w:rPr>
          <w:rFonts w:cs="Times New Roman"/>
          <w:szCs w:val="20"/>
          <w:shd w:val="clear" w:color="auto" w:fill="FFFFFF"/>
        </w:rPr>
        <w:t xml:space="preserve">episodes were more likely to </w:t>
      </w:r>
      <w:r w:rsidR="006108D1" w:rsidRPr="00EF4250">
        <w:rPr>
          <w:rFonts w:cs="Times New Roman"/>
          <w:szCs w:val="20"/>
          <w:shd w:val="clear" w:color="auto" w:fill="FFFFFF"/>
        </w:rPr>
        <w:t xml:space="preserve">be </w:t>
      </w:r>
      <w:r w:rsidRPr="00EF4250">
        <w:rPr>
          <w:rFonts w:cs="Times New Roman"/>
          <w:szCs w:val="20"/>
          <w:shd w:val="clear" w:color="auto" w:fill="FFFFFF"/>
        </w:rPr>
        <w:t>retain</w:t>
      </w:r>
      <w:r w:rsidR="006108D1" w:rsidRPr="00EF4250">
        <w:rPr>
          <w:rFonts w:cs="Times New Roman"/>
          <w:szCs w:val="20"/>
          <w:shd w:val="clear" w:color="auto" w:fill="FFFFFF"/>
        </w:rPr>
        <w:t>ed</w:t>
      </w:r>
      <w:r w:rsidRPr="00EF4250">
        <w:rPr>
          <w:rFonts w:cs="Times New Roman"/>
          <w:szCs w:val="20"/>
          <w:shd w:val="clear" w:color="auto" w:fill="FFFFFF"/>
        </w:rPr>
        <w:t xml:space="preserve"> </w:t>
      </w:r>
      <w:r w:rsidR="006108D1" w:rsidRPr="00EF4250">
        <w:rPr>
          <w:rFonts w:cs="Times New Roman"/>
          <w:szCs w:val="20"/>
          <w:shd w:val="clear" w:color="auto" w:fill="FFFFFF"/>
        </w:rPr>
        <w:t>i</w:t>
      </w:r>
      <w:r w:rsidRPr="00EF4250">
        <w:rPr>
          <w:rFonts w:cs="Times New Roman"/>
          <w:szCs w:val="20"/>
          <w:shd w:val="clear" w:color="auto" w:fill="FFFFFF"/>
        </w:rPr>
        <w:t>n treatment</w:t>
      </w:r>
      <w:r w:rsidR="007122B9" w:rsidRPr="00EF4250">
        <w:rPr>
          <w:rFonts w:cs="Times New Roman"/>
          <w:szCs w:val="20"/>
          <w:shd w:val="clear" w:color="auto" w:fill="FFFFFF"/>
        </w:rPr>
        <w:t>.</w:t>
      </w:r>
      <w:r w:rsidR="00CF7A69" w:rsidRPr="00EF4250">
        <w:rPr>
          <w:rFonts w:cs="Times New Roman"/>
          <w:szCs w:val="20"/>
          <w:shd w:val="clear" w:color="auto" w:fill="FFFFFF"/>
        </w:rPr>
        <w:fldChar w:fldCharType="begin"/>
      </w:r>
      <w:r w:rsidR="002F7FE7" w:rsidRPr="00EF4250">
        <w:rPr>
          <w:rFonts w:cs="Times New Roman"/>
          <w:szCs w:val="20"/>
          <w:shd w:val="clear" w:color="auto" w:fill="FFFFFF"/>
        </w:rPr>
        <w:instrText xml:space="preserve"> ADDIN EN.CITE &lt;EndNote&gt;&lt;Cite&gt;&lt;Author&gt;Nosyk&lt;/Author&gt;&lt;Year&gt;2014&lt;/Year&gt;&lt;RecNum&gt;132&lt;/RecNum&gt;&lt;DisplayText&gt;&lt;style face="superscript"&gt;20&lt;/style&gt;&lt;/DisplayText&gt;&lt;record&gt;&lt;rec-number&gt;132&lt;/rec-number&gt;&lt;foreign-keys&gt;&lt;key app="EN" db-id="ffv9f0td1taf24ev0z1paazh2dx55xvtwsv9" timestamp="1713388380"&gt;132&lt;/key&gt;&lt;/foreign-keys&gt;&lt;ref-type name="Journal Article"&gt;17&lt;/ref-type&gt;&lt;contributors&gt;&lt;authors&gt;&lt;author&gt;Nosyk, Bohdan&lt;/author&gt;&lt;author&gt;Li, Libo&lt;/author&gt;&lt;author&gt;Evans, Elizabeth&lt;/author&gt;&lt;author&gt;Urada, Darren&lt;/author&gt;&lt;author&gt;Huang, David&lt;/author&gt;&lt;author&gt;Wood, Evan&lt;/author&gt;&lt;author&gt;Rawson, Richard&lt;/author&gt;&lt;author&gt;Hser, Yih-Ing&lt;/author&gt;&lt;/authors&gt;&lt;/contributors&gt;&lt;titles&gt;&lt;title&gt;Utilization and outcomes of detoxification and maintenance treatment for opioid dependence in publicly-funded facilities in California, USA: 1991–2012&lt;/title&gt;&lt;secondary-title&gt;Drug and alcohol dependence&lt;/secondary-title&gt;&lt;/titles&gt;&lt;periodical&gt;&lt;full-title&gt;Drug Alcohol Depend&lt;/full-title&gt;&lt;abbr-1&gt;Drug and alcohol dependence&lt;/abbr-1&gt;&lt;/periodical&gt;&lt;pages&gt;149-157&lt;/pages&gt;&lt;volume&gt;143&lt;/volume&gt;&lt;dates&gt;&lt;year&gt;2014&lt;/year&gt;&lt;/dates&gt;&lt;isbn&gt;0376-8716&lt;/isbn&gt;&lt;urls&gt;&lt;/urls&gt;&lt;/record&gt;&lt;/Cite&gt;&lt;/EndNote&gt;</w:instrText>
      </w:r>
      <w:r w:rsidR="00CF7A69" w:rsidRPr="00EF4250">
        <w:rPr>
          <w:rFonts w:cs="Times New Roman"/>
          <w:szCs w:val="20"/>
          <w:shd w:val="clear" w:color="auto" w:fill="FFFFFF"/>
        </w:rPr>
        <w:fldChar w:fldCharType="separate"/>
      </w:r>
      <w:r w:rsidR="002F7FE7" w:rsidRPr="00EF4250">
        <w:rPr>
          <w:rFonts w:cs="Times New Roman"/>
          <w:noProof/>
          <w:szCs w:val="20"/>
          <w:shd w:val="clear" w:color="auto" w:fill="FFFFFF"/>
          <w:vertAlign w:val="superscript"/>
        </w:rPr>
        <w:t>20</w:t>
      </w:r>
      <w:r w:rsidR="00CF7A69" w:rsidRPr="00EF4250">
        <w:rPr>
          <w:rFonts w:cs="Times New Roman"/>
          <w:szCs w:val="20"/>
          <w:shd w:val="clear" w:color="auto" w:fill="FFFFFF"/>
        </w:rPr>
        <w:fldChar w:fldCharType="end"/>
      </w:r>
      <w:r w:rsidRPr="00EF4250">
        <w:rPr>
          <w:rFonts w:cs="Times New Roman"/>
          <w:szCs w:val="20"/>
          <w:shd w:val="clear" w:color="auto" w:fill="FFFFFF"/>
        </w:rPr>
        <w:t xml:space="preserve"> The hazard ratios o</w:t>
      </w:r>
      <w:r w:rsidR="00337B71" w:rsidRPr="00EF4250">
        <w:rPr>
          <w:rFonts w:cs="Times New Roman"/>
          <w:szCs w:val="20"/>
          <w:shd w:val="clear" w:color="auto" w:fill="FFFFFF"/>
        </w:rPr>
        <w:t>f</w:t>
      </w:r>
      <w:r w:rsidRPr="00EF4250">
        <w:rPr>
          <w:rFonts w:cs="Times New Roman"/>
          <w:szCs w:val="20"/>
          <w:shd w:val="clear" w:color="auto" w:fill="FFFFFF"/>
        </w:rPr>
        <w:t xml:space="preserve"> time to treatment discontinuation by the number of previous treatment episodes </w:t>
      </w:r>
      <m:oMath>
        <m:r>
          <w:rPr>
            <w:rFonts w:ascii="Cambria Math" w:hAnsi="Cambria Math" w:cs="Times New Roman"/>
            <w:szCs w:val="20"/>
            <w:shd w:val="clear" w:color="auto" w:fill="FFFFFF"/>
          </w:rPr>
          <m:t>H</m:t>
        </m:r>
        <m:sSubSup>
          <m:sSubSupPr>
            <m:ctrlPr>
              <w:rPr>
                <w:rFonts w:ascii="Cambria Math" w:hAnsi="Cambria Math" w:cs="Times New Roman"/>
                <w:i/>
                <w:szCs w:val="20"/>
                <w:shd w:val="clear" w:color="auto" w:fill="FFFFFF"/>
              </w:rPr>
            </m:ctrlPr>
          </m:sSubSupPr>
          <m:e>
            <m:r>
              <w:rPr>
                <w:rFonts w:ascii="Cambria Math" w:hAnsi="Cambria Math" w:cs="Times New Roman"/>
                <w:szCs w:val="20"/>
                <w:shd w:val="clear" w:color="auto" w:fill="FFFFFF"/>
              </w:rPr>
              <m:t>R</m:t>
            </m:r>
          </m:e>
          <m:sub>
            <m:r>
              <w:rPr>
                <w:rFonts w:ascii="Cambria Math" w:hAnsi="Cambria Math" w:cs="Times New Roman"/>
                <w:szCs w:val="20"/>
                <w:shd w:val="clear" w:color="auto" w:fill="FFFFFF"/>
              </w:rPr>
              <m:t>n</m:t>
            </m:r>
          </m:sub>
          <m:sup>
            <m:r>
              <w:rPr>
                <w:rFonts w:ascii="Cambria Math" w:hAnsi="Cambria Math" w:cs="Times New Roman"/>
                <w:szCs w:val="20"/>
                <w:shd w:val="clear" w:color="auto" w:fill="FFFFFF"/>
              </w:rPr>
              <m:t>d</m:t>
            </m:r>
          </m:sup>
        </m:sSubSup>
      </m:oMath>
      <w:r w:rsidRPr="00EF4250">
        <w:rPr>
          <w:rFonts w:cs="Times New Roman"/>
          <w:szCs w:val="20"/>
          <w:shd w:val="clear" w:color="auto" w:fill="FFFFFF"/>
        </w:rPr>
        <w:t xml:space="preserve"> </w:t>
      </w:r>
      <w:r w:rsidR="00337B71" w:rsidRPr="00EF4250">
        <w:rPr>
          <w:rFonts w:cs="Times New Roman"/>
          <w:szCs w:val="20"/>
          <w:shd w:val="clear" w:color="auto" w:fill="FFFFFF"/>
        </w:rPr>
        <w:t>a</w:t>
      </w:r>
      <w:r w:rsidRPr="00EF4250">
        <w:rPr>
          <w:rFonts w:cs="Times New Roman"/>
          <w:szCs w:val="20"/>
          <w:shd w:val="clear" w:color="auto" w:fill="FFFFFF"/>
        </w:rPr>
        <w:t xml:space="preserve">re in </w:t>
      </w:r>
      <w:r w:rsidRPr="00EF4250">
        <w:rPr>
          <w:rFonts w:cs="Times New Roman"/>
          <w:b/>
          <w:bCs/>
          <w:szCs w:val="20"/>
          <w:shd w:val="clear" w:color="auto" w:fill="FFFFFF"/>
        </w:rPr>
        <w:t>Supplement S</w:t>
      </w:r>
      <w:r w:rsidR="0058100D">
        <w:rPr>
          <w:rFonts w:cs="Times New Roman"/>
          <w:b/>
          <w:bCs/>
          <w:szCs w:val="20"/>
          <w:shd w:val="clear" w:color="auto" w:fill="FFFFFF"/>
        </w:rPr>
        <w:t>1.6 (</w:t>
      </w:r>
      <w:r w:rsidR="00A87FBF" w:rsidRPr="00626C29">
        <w:rPr>
          <w:b/>
          <w:szCs w:val="20"/>
        </w:rPr>
        <w:t xml:space="preserve">Supplementary </w:t>
      </w:r>
      <w:r w:rsidR="0058100D" w:rsidRPr="00EF4250">
        <w:rPr>
          <w:rFonts w:cs="Times New Roman"/>
          <w:b/>
          <w:bCs/>
          <w:szCs w:val="20"/>
          <w:lang w:eastAsia="zh-CN"/>
        </w:rPr>
        <w:t xml:space="preserve">Table </w:t>
      </w:r>
      <w:r w:rsidR="0058100D">
        <w:rPr>
          <w:rFonts w:cs="Times New Roman"/>
          <w:b/>
          <w:bCs/>
          <w:szCs w:val="20"/>
          <w:lang w:eastAsia="zh-CN"/>
        </w:rPr>
        <w:t>16)</w:t>
      </w:r>
      <w:r w:rsidRPr="00EF4250">
        <w:rPr>
          <w:rFonts w:cs="Times New Roman"/>
          <w:szCs w:val="20"/>
          <w:shd w:val="clear" w:color="auto" w:fill="FFFFFF"/>
        </w:rPr>
        <w:t xml:space="preserve">. </w:t>
      </w:r>
      <w:r w:rsidRPr="00EF4250">
        <w:rPr>
          <w:rFonts w:cs="Times New Roman"/>
          <w:szCs w:val="20"/>
          <w:shd w:val="clear" w:color="auto" w:fill="FFFFFF" w:themeFill="background1"/>
        </w:rPr>
        <w:t>T</w:t>
      </w:r>
      <w:r w:rsidR="00E869B7" w:rsidRPr="00EF4250">
        <w:rPr>
          <w:rFonts w:cs="Times New Roman"/>
          <w:szCs w:val="20"/>
          <w:shd w:val="clear" w:color="auto" w:fill="FFFFFF" w:themeFill="background1"/>
        </w:rPr>
        <w:t>o compute</w:t>
      </w:r>
      <w:r w:rsidR="007C3758" w:rsidRPr="00EF4250">
        <w:rPr>
          <w:rFonts w:cs="Times New Roman"/>
          <w:szCs w:val="20"/>
          <w:shd w:val="clear" w:color="auto" w:fill="FFFFFF" w:themeFill="background1"/>
        </w:rPr>
        <w:t xml:space="preserve"> an</w:t>
      </w:r>
      <w:r w:rsidR="00E869B7" w:rsidRPr="00EF4250">
        <w:rPr>
          <w:rFonts w:cs="Times New Roman"/>
          <w:szCs w:val="20"/>
          <w:shd w:val="clear" w:color="auto" w:fill="FFFFFF" w:themeFill="background1"/>
        </w:rPr>
        <w:t xml:space="preserve"> </w:t>
      </w:r>
      <w:r w:rsidRPr="00EF4250">
        <w:rPr>
          <w:rFonts w:cs="Times New Roman"/>
          <w:szCs w:val="20"/>
          <w:shd w:val="clear" w:color="auto" w:fill="FFFFFF" w:themeFill="background1"/>
        </w:rPr>
        <w:t xml:space="preserve">individual’s </w:t>
      </w:r>
      <w:r w:rsidR="00E869B7" w:rsidRPr="00EF4250">
        <w:rPr>
          <w:rFonts w:cs="Times New Roman"/>
          <w:szCs w:val="20"/>
          <w:shd w:val="clear" w:color="auto" w:fill="FFFFFF" w:themeFill="background1"/>
        </w:rPr>
        <w:t xml:space="preserve">monthly probability of treatment discontinuation, we </w:t>
      </w:r>
      <w:r w:rsidRPr="00EF4250">
        <w:rPr>
          <w:rFonts w:cs="Times New Roman"/>
          <w:szCs w:val="20"/>
          <w:shd w:val="clear" w:color="auto" w:fill="FFFFFF" w:themeFill="background1"/>
        </w:rPr>
        <w:t xml:space="preserve">further </w:t>
      </w:r>
      <w:r w:rsidR="00E869B7" w:rsidRPr="00EF4250">
        <w:rPr>
          <w:rFonts w:cs="Times New Roman"/>
          <w:szCs w:val="20"/>
          <w:shd w:val="clear" w:color="auto" w:fill="FFFFFF" w:themeFill="background1"/>
        </w:rPr>
        <w:t xml:space="preserve">adjusted for the type of treatment </w:t>
      </w:r>
      <w:r w:rsidRPr="00EF4250">
        <w:rPr>
          <w:rFonts w:cs="Times New Roman"/>
          <w:szCs w:val="20"/>
          <w:shd w:val="clear" w:color="auto" w:fill="FFFFFF" w:themeFill="background1"/>
        </w:rPr>
        <w:t xml:space="preserve">with a coefficient </w:t>
      </w:r>
      <m:oMath>
        <m:sSub>
          <m:sSubPr>
            <m:ctrlPr>
              <w:rPr>
                <w:rFonts w:ascii="Cambria Math" w:hAnsi="Cambria Math" w:cs="Times New Roman"/>
                <w:i/>
                <w:szCs w:val="20"/>
                <w:shd w:val="clear" w:color="auto" w:fill="FFFFFF" w:themeFill="background1"/>
              </w:rPr>
            </m:ctrlPr>
          </m:sSubPr>
          <m:e>
            <m:r>
              <w:rPr>
                <w:rFonts w:ascii="Cambria Math" w:hAnsi="Cambria Math" w:cs="Times New Roman"/>
                <w:szCs w:val="20"/>
                <w:shd w:val="clear" w:color="auto" w:fill="FFFFFF" w:themeFill="background1"/>
              </w:rPr>
              <m:t>K</m:t>
            </m:r>
          </m:e>
          <m:sub>
            <m:r>
              <w:rPr>
                <w:rFonts w:ascii="Cambria Math" w:hAnsi="Cambria Math" w:cs="Times New Roman"/>
                <w:szCs w:val="20"/>
                <w:shd w:val="clear" w:color="auto" w:fill="FFFFFF" w:themeFill="background1"/>
              </w:rPr>
              <m:t>med</m:t>
            </m:r>
          </m:sub>
        </m:sSub>
      </m:oMath>
      <w:r w:rsidRPr="00EF4250">
        <w:rPr>
          <w:rFonts w:cs="Times New Roman"/>
          <w:szCs w:val="20"/>
          <w:shd w:val="clear" w:color="auto" w:fill="FFFFFF" w:themeFill="background1"/>
        </w:rPr>
        <w:t xml:space="preserve"> that was</w:t>
      </w:r>
      <w:r w:rsidR="00DA4BE6" w:rsidRPr="00EF4250">
        <w:rPr>
          <w:rFonts w:cs="Times New Roman"/>
          <w:szCs w:val="20"/>
          <w:shd w:val="clear" w:color="auto" w:fill="FFFFFF" w:themeFill="background1"/>
        </w:rPr>
        <w:t xml:space="preserve"> determined through model calibration</w:t>
      </w:r>
      <w:r w:rsidR="00E869B7" w:rsidRPr="00EF4250">
        <w:rPr>
          <w:rFonts w:cs="Times New Roman"/>
          <w:szCs w:val="20"/>
          <w:shd w:val="clear" w:color="auto" w:fill="FFFFFF"/>
        </w:rPr>
        <w:t>:</w:t>
      </w:r>
    </w:p>
    <w:p w14:paraId="202629C3" w14:textId="4281377D" w:rsidR="00E869B7" w:rsidRPr="00EF4250" w:rsidRDefault="00000000" w:rsidP="00754108">
      <w:pPr>
        <w:spacing w:line="276" w:lineRule="auto"/>
        <w:rPr>
          <w:rFonts w:cs="Times New Roman"/>
          <w:szCs w:val="20"/>
          <w:shd w:val="clear" w:color="auto" w:fill="FFFFFF"/>
        </w:rPr>
      </w:pPr>
      <m:oMathPara>
        <m:oMath>
          <m:sSub>
            <m:sSubPr>
              <m:ctrlPr>
                <w:rPr>
                  <w:rFonts w:ascii="Cambria Math" w:hAnsi="Cambria Math" w:cs="Times New Roman"/>
                  <w:i/>
                  <w:szCs w:val="20"/>
                  <w:shd w:val="clear" w:color="auto" w:fill="FFFFFF"/>
                </w:rPr>
              </m:ctrlPr>
            </m:sSubPr>
            <m:e>
              <m:r>
                <w:rPr>
                  <w:rFonts w:ascii="Cambria Math" w:hAnsi="Cambria Math" w:cs="Times New Roman"/>
                  <w:szCs w:val="20"/>
                  <w:shd w:val="clear" w:color="auto" w:fill="FFFFFF"/>
                </w:rPr>
                <m:t>p</m:t>
              </m:r>
            </m:e>
            <m:sub>
              <m:r>
                <w:rPr>
                  <w:rFonts w:ascii="Cambria Math" w:hAnsi="Cambria Math" w:cs="Times New Roman"/>
                  <w:szCs w:val="20"/>
                  <w:shd w:val="clear" w:color="auto" w:fill="FFFFFF"/>
                </w:rPr>
                <m:t>discontinue</m:t>
              </m:r>
            </m:sub>
          </m:sSub>
          <m:d>
            <m:dPr>
              <m:ctrlPr>
                <w:rPr>
                  <w:rFonts w:ascii="Cambria Math" w:hAnsi="Cambria Math" w:cs="Times New Roman"/>
                  <w:i/>
                  <w:szCs w:val="20"/>
                  <w:shd w:val="clear" w:color="auto" w:fill="FFFFFF"/>
                </w:rPr>
              </m:ctrlPr>
            </m:dPr>
            <m:e>
              <m:r>
                <w:rPr>
                  <w:rFonts w:ascii="Cambria Math" w:hAnsi="Cambria Math" w:cs="Times New Roman"/>
                  <w:szCs w:val="20"/>
                  <w:shd w:val="clear" w:color="auto" w:fill="FFFFFF"/>
                </w:rPr>
                <m:t>t</m:t>
              </m:r>
            </m:e>
          </m:d>
          <m:r>
            <w:rPr>
              <w:rFonts w:ascii="Cambria Math" w:hAnsi="Cambria Math" w:cs="Times New Roman"/>
              <w:szCs w:val="20"/>
              <w:shd w:val="clear" w:color="auto" w:fill="FFFFFF"/>
            </w:rPr>
            <m:t>=</m:t>
          </m:r>
          <m:f>
            <m:fPr>
              <m:ctrlPr>
                <w:rPr>
                  <w:rFonts w:ascii="Cambria Math" w:hAnsi="Cambria Math" w:cs="Times New Roman"/>
                  <w:i/>
                  <w:szCs w:val="20"/>
                </w:rPr>
              </m:ctrlPr>
            </m:fPr>
            <m:num>
              <m:sSup>
                <m:sSupPr>
                  <m:ctrlPr>
                    <w:rPr>
                      <w:rFonts w:ascii="Cambria Math" w:hAnsi="Cambria Math" w:cs="Times New Roman"/>
                      <w:i/>
                      <w:szCs w:val="20"/>
                    </w:rPr>
                  </m:ctrlPr>
                </m:sSupPr>
                <m:e>
                  <m:r>
                    <w:rPr>
                      <w:rFonts w:ascii="Cambria Math" w:hAnsi="Cambria Math" w:cs="Times New Roman"/>
                      <w:szCs w:val="20"/>
                    </w:rPr>
                    <m:t>S</m:t>
                  </m:r>
                  <m:d>
                    <m:dPr>
                      <m:ctrlPr>
                        <w:rPr>
                          <w:rFonts w:ascii="Cambria Math" w:hAnsi="Cambria Math" w:cs="Times New Roman"/>
                          <w:i/>
                          <w:szCs w:val="20"/>
                        </w:rPr>
                      </m:ctrlPr>
                    </m:dPr>
                    <m:e>
                      <m:r>
                        <w:rPr>
                          <w:rFonts w:ascii="Cambria Math" w:hAnsi="Cambria Math" w:cs="Times New Roman"/>
                          <w:szCs w:val="20"/>
                        </w:rPr>
                        <m:t>t</m:t>
                      </m:r>
                    </m:e>
                  </m:d>
                </m:e>
                <m:sup>
                  <m:sSubSup>
                    <m:sSubSupPr>
                      <m:ctrlPr>
                        <w:rPr>
                          <w:rFonts w:ascii="Cambria Math" w:hAnsi="Cambria Math" w:cs="Times New Roman"/>
                          <w:i/>
                          <w:szCs w:val="20"/>
                        </w:rPr>
                      </m:ctrlPr>
                    </m:sSubSupPr>
                    <m:e>
                      <m:r>
                        <m:rPr>
                          <m:sty m:val="p"/>
                        </m:rPr>
                        <w:rPr>
                          <w:rFonts w:ascii="Cambria Math" w:hAnsi="Cambria Math" w:cs="Times New Roman"/>
                          <w:szCs w:val="20"/>
                        </w:rPr>
                        <m:t>HR</m:t>
                      </m:r>
                      <m:ctrlPr>
                        <w:rPr>
                          <w:rFonts w:ascii="Cambria Math" w:hAnsi="Cambria Math" w:cs="Times New Roman"/>
                          <w:szCs w:val="20"/>
                        </w:rPr>
                      </m:ctrlPr>
                    </m:e>
                    <m:sub>
                      <m:r>
                        <w:rPr>
                          <w:rFonts w:ascii="Cambria Math" w:hAnsi="Cambria Math" w:cs="Times New Roman"/>
                          <w:szCs w:val="20"/>
                        </w:rPr>
                        <m:t>n</m:t>
                      </m:r>
                    </m:sub>
                    <m:sup>
                      <m:r>
                        <w:rPr>
                          <w:rFonts w:ascii="Cambria Math" w:hAnsi="Cambria Math" w:cs="Times New Roman"/>
                          <w:szCs w:val="20"/>
                        </w:rPr>
                        <m:t>d</m:t>
                      </m:r>
                    </m:sup>
                  </m:sSubSup>
                </m:sup>
              </m:sSup>
              <m:r>
                <w:rPr>
                  <w:rFonts w:ascii="Cambria Math" w:hAnsi="Cambria Math" w:cs="Times New Roman"/>
                  <w:szCs w:val="20"/>
                </w:rPr>
                <m:t xml:space="preserve"> - </m:t>
              </m:r>
              <m:sSup>
                <m:sSupPr>
                  <m:ctrlPr>
                    <w:rPr>
                      <w:rFonts w:ascii="Cambria Math" w:hAnsi="Cambria Math" w:cs="Times New Roman"/>
                      <w:i/>
                      <w:szCs w:val="20"/>
                    </w:rPr>
                  </m:ctrlPr>
                </m:sSupPr>
                <m:e>
                  <m:r>
                    <w:rPr>
                      <w:rFonts w:ascii="Cambria Math" w:hAnsi="Cambria Math" w:cs="Times New Roman"/>
                      <w:szCs w:val="20"/>
                    </w:rPr>
                    <m:t>S</m:t>
                  </m:r>
                  <m:d>
                    <m:dPr>
                      <m:ctrlPr>
                        <w:rPr>
                          <w:rFonts w:ascii="Cambria Math" w:hAnsi="Cambria Math" w:cs="Times New Roman"/>
                          <w:i/>
                          <w:szCs w:val="20"/>
                        </w:rPr>
                      </m:ctrlPr>
                    </m:dPr>
                    <m:e>
                      <m:r>
                        <w:rPr>
                          <w:rFonts w:ascii="Cambria Math" w:hAnsi="Cambria Math" w:cs="Times New Roman"/>
                          <w:szCs w:val="20"/>
                        </w:rPr>
                        <m:t>t+1</m:t>
                      </m:r>
                    </m:e>
                  </m:d>
                </m:e>
                <m:sup>
                  <m:sSubSup>
                    <m:sSubSupPr>
                      <m:ctrlPr>
                        <w:rPr>
                          <w:rFonts w:ascii="Cambria Math" w:hAnsi="Cambria Math" w:cs="Times New Roman"/>
                          <w:i/>
                          <w:szCs w:val="20"/>
                        </w:rPr>
                      </m:ctrlPr>
                    </m:sSubSupPr>
                    <m:e>
                      <m:r>
                        <m:rPr>
                          <m:sty m:val="p"/>
                        </m:rPr>
                        <w:rPr>
                          <w:rFonts w:ascii="Cambria Math" w:hAnsi="Cambria Math" w:cs="Times New Roman"/>
                          <w:szCs w:val="20"/>
                        </w:rPr>
                        <m:t>HR</m:t>
                      </m:r>
                      <m:ctrlPr>
                        <w:rPr>
                          <w:rFonts w:ascii="Cambria Math" w:hAnsi="Cambria Math" w:cs="Times New Roman"/>
                          <w:szCs w:val="20"/>
                        </w:rPr>
                      </m:ctrlPr>
                    </m:e>
                    <m:sub>
                      <m:r>
                        <w:rPr>
                          <w:rFonts w:ascii="Cambria Math" w:hAnsi="Cambria Math" w:cs="Times New Roman"/>
                          <w:szCs w:val="20"/>
                        </w:rPr>
                        <m:t>n</m:t>
                      </m:r>
                    </m:sub>
                    <m:sup>
                      <m:r>
                        <w:rPr>
                          <w:rFonts w:ascii="Cambria Math" w:hAnsi="Cambria Math" w:cs="Times New Roman"/>
                          <w:szCs w:val="20"/>
                        </w:rPr>
                        <m:t>d</m:t>
                      </m:r>
                    </m:sup>
                  </m:sSubSup>
                </m:sup>
              </m:sSup>
            </m:num>
            <m:den>
              <m:sSup>
                <m:sSupPr>
                  <m:ctrlPr>
                    <w:rPr>
                      <w:rFonts w:ascii="Cambria Math" w:hAnsi="Cambria Math" w:cs="Times New Roman"/>
                      <w:i/>
                      <w:szCs w:val="20"/>
                    </w:rPr>
                  </m:ctrlPr>
                </m:sSupPr>
                <m:e>
                  <m:r>
                    <w:rPr>
                      <w:rFonts w:ascii="Cambria Math" w:hAnsi="Cambria Math" w:cs="Times New Roman"/>
                      <w:szCs w:val="20"/>
                    </w:rPr>
                    <m:t>S</m:t>
                  </m:r>
                  <m:d>
                    <m:dPr>
                      <m:ctrlPr>
                        <w:rPr>
                          <w:rFonts w:ascii="Cambria Math" w:hAnsi="Cambria Math" w:cs="Times New Roman"/>
                          <w:i/>
                          <w:szCs w:val="20"/>
                        </w:rPr>
                      </m:ctrlPr>
                    </m:dPr>
                    <m:e>
                      <m:r>
                        <w:rPr>
                          <w:rFonts w:ascii="Cambria Math" w:hAnsi="Cambria Math" w:cs="Times New Roman"/>
                          <w:szCs w:val="20"/>
                        </w:rPr>
                        <m:t>t</m:t>
                      </m:r>
                    </m:e>
                  </m:d>
                </m:e>
                <m:sup>
                  <m:sSubSup>
                    <m:sSubSupPr>
                      <m:ctrlPr>
                        <w:rPr>
                          <w:rFonts w:ascii="Cambria Math" w:hAnsi="Cambria Math" w:cs="Times New Roman"/>
                          <w:i/>
                          <w:szCs w:val="20"/>
                        </w:rPr>
                      </m:ctrlPr>
                    </m:sSubSupPr>
                    <m:e>
                      <m:r>
                        <m:rPr>
                          <m:sty m:val="p"/>
                        </m:rPr>
                        <w:rPr>
                          <w:rFonts w:ascii="Cambria Math" w:hAnsi="Cambria Math" w:cs="Times New Roman"/>
                          <w:szCs w:val="20"/>
                        </w:rPr>
                        <m:t>HR</m:t>
                      </m:r>
                      <m:ctrlPr>
                        <w:rPr>
                          <w:rFonts w:ascii="Cambria Math" w:hAnsi="Cambria Math" w:cs="Times New Roman"/>
                          <w:szCs w:val="20"/>
                        </w:rPr>
                      </m:ctrlPr>
                    </m:e>
                    <m:sub>
                      <m:r>
                        <w:rPr>
                          <w:rFonts w:ascii="Cambria Math" w:hAnsi="Cambria Math" w:cs="Times New Roman"/>
                          <w:szCs w:val="20"/>
                        </w:rPr>
                        <m:t>n</m:t>
                      </m:r>
                    </m:sub>
                    <m:sup>
                      <m:r>
                        <w:rPr>
                          <w:rFonts w:ascii="Cambria Math" w:hAnsi="Cambria Math" w:cs="Times New Roman"/>
                          <w:szCs w:val="20"/>
                        </w:rPr>
                        <m:t>d</m:t>
                      </m:r>
                    </m:sup>
                  </m:sSubSup>
                </m:sup>
              </m:sSup>
            </m:den>
          </m:f>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K</m:t>
              </m:r>
            </m:e>
            <m:sub>
              <m:r>
                <m:rPr>
                  <m:nor/>
                </m:rPr>
                <w:rPr>
                  <w:rFonts w:cs="Times New Roman"/>
                  <w:iCs/>
                  <w:szCs w:val="20"/>
                </w:rPr>
                <m:t>med</m:t>
              </m:r>
            </m:sub>
          </m:sSub>
          <m:r>
            <w:rPr>
              <w:rFonts w:ascii="Cambria Math" w:hAnsi="Cambria Math" w:cs="Times New Roman"/>
              <w:szCs w:val="20"/>
            </w:rPr>
            <m:t>,</m:t>
          </m:r>
        </m:oMath>
      </m:oMathPara>
    </w:p>
    <w:p w14:paraId="34A049F7" w14:textId="25F2C075" w:rsidR="003A057C" w:rsidRPr="00EF4250" w:rsidRDefault="00E869B7" w:rsidP="00754108">
      <w:pPr>
        <w:spacing w:after="0" w:line="276" w:lineRule="auto"/>
        <w:rPr>
          <w:rFonts w:cs="Times New Roman"/>
          <w:szCs w:val="20"/>
        </w:rPr>
      </w:pPr>
      <w:r w:rsidRPr="00EF4250">
        <w:rPr>
          <w:rFonts w:cs="Times New Roman"/>
          <w:szCs w:val="20"/>
        </w:rPr>
        <w:t xml:space="preserve">where </w:t>
      </w:r>
      <m:oMath>
        <m:r>
          <w:rPr>
            <w:rFonts w:ascii="Cambria Math" w:hAnsi="Cambria Math" w:cs="Times New Roman"/>
            <w:szCs w:val="20"/>
          </w:rPr>
          <m:t>H</m:t>
        </m:r>
        <m:sSubSup>
          <m:sSubSupPr>
            <m:ctrlPr>
              <w:rPr>
                <w:rFonts w:ascii="Cambria Math" w:hAnsi="Cambria Math" w:cs="Times New Roman"/>
                <w:i/>
                <w:szCs w:val="20"/>
              </w:rPr>
            </m:ctrlPr>
          </m:sSubSupPr>
          <m:e>
            <m:r>
              <w:rPr>
                <w:rFonts w:ascii="Cambria Math" w:hAnsi="Cambria Math" w:cs="Times New Roman"/>
                <w:szCs w:val="20"/>
              </w:rPr>
              <m:t>R</m:t>
            </m:r>
          </m:e>
          <m:sub>
            <m:r>
              <w:rPr>
                <w:rFonts w:ascii="Cambria Math" w:hAnsi="Cambria Math" w:cs="Times New Roman"/>
                <w:szCs w:val="20"/>
              </w:rPr>
              <m:t>n</m:t>
            </m:r>
          </m:sub>
          <m:sup>
            <m:r>
              <w:rPr>
                <w:rFonts w:ascii="Cambria Math" w:hAnsi="Cambria Math" w:cs="Times New Roman"/>
                <w:szCs w:val="20"/>
              </w:rPr>
              <m:t>d</m:t>
            </m:r>
          </m:sup>
        </m:sSubSup>
      </m:oMath>
      <w:r w:rsidRPr="00EF4250">
        <w:rPr>
          <w:rFonts w:cs="Times New Roman"/>
          <w:szCs w:val="20"/>
        </w:rPr>
        <w:t xml:space="preserve"> represents the hazard ratio for patients who had completed </w:t>
      </w:r>
      <m:oMath>
        <m:r>
          <w:rPr>
            <w:rFonts w:ascii="Cambria Math" w:hAnsi="Cambria Math" w:cs="Times New Roman"/>
            <w:szCs w:val="20"/>
          </w:rPr>
          <m:t>n</m:t>
        </m:r>
      </m:oMath>
      <w:r w:rsidRPr="00EF4250">
        <w:rPr>
          <w:rFonts w:cs="Times New Roman"/>
          <w:szCs w:val="20"/>
        </w:rPr>
        <w:t xml:space="preserve"> treatment episodes, and </w:t>
      </w:r>
      <m:oMath>
        <m:sSub>
          <m:sSubPr>
            <m:ctrlPr>
              <w:rPr>
                <w:rFonts w:ascii="Cambria Math" w:hAnsi="Cambria Math" w:cs="Times New Roman"/>
                <w:i/>
                <w:szCs w:val="20"/>
              </w:rPr>
            </m:ctrlPr>
          </m:sSubPr>
          <m:e>
            <m:r>
              <w:rPr>
                <w:rFonts w:ascii="Cambria Math" w:hAnsi="Cambria Math" w:cs="Times New Roman"/>
                <w:szCs w:val="20"/>
              </w:rPr>
              <m:t>K</m:t>
            </m:r>
          </m:e>
          <m:sub>
            <m:r>
              <w:rPr>
                <w:rFonts w:ascii="Cambria Math" w:hAnsi="Cambria Math" w:cs="Times New Roman"/>
                <w:szCs w:val="20"/>
              </w:rPr>
              <m:t>med</m:t>
            </m:r>
          </m:sub>
        </m:sSub>
      </m:oMath>
      <w:r w:rsidRPr="00EF4250">
        <w:rPr>
          <w:rFonts w:cs="Times New Roman"/>
          <w:szCs w:val="20"/>
        </w:rPr>
        <w:t xml:space="preserve"> represents an adjusting scalar by the treatment type</w:t>
      </w:r>
      <w:r w:rsidR="00A264D8" w:rsidRPr="00EF4250">
        <w:rPr>
          <w:rFonts w:cs="Times New Roman"/>
          <w:szCs w:val="20"/>
        </w:rPr>
        <w:t xml:space="preserve"> (i.e., buprenorphine, methadone, naltrexone). The values of </w:t>
      </w:r>
      <m:oMath>
        <m:sSub>
          <m:sSubPr>
            <m:ctrlPr>
              <w:rPr>
                <w:rFonts w:ascii="Cambria Math" w:hAnsi="Cambria Math" w:cs="Times New Roman"/>
                <w:i/>
                <w:szCs w:val="20"/>
              </w:rPr>
            </m:ctrlPr>
          </m:sSubPr>
          <m:e>
            <m:r>
              <w:rPr>
                <w:rFonts w:ascii="Cambria Math" w:hAnsi="Cambria Math" w:cs="Times New Roman"/>
                <w:szCs w:val="20"/>
              </w:rPr>
              <m:t>K</m:t>
            </m:r>
          </m:e>
          <m:sub>
            <m:r>
              <w:rPr>
                <w:rFonts w:ascii="Cambria Math" w:hAnsi="Cambria Math" w:cs="Times New Roman"/>
                <w:szCs w:val="20"/>
              </w:rPr>
              <m:t>med</m:t>
            </m:r>
          </m:sub>
        </m:sSub>
      </m:oMath>
      <w:r w:rsidRPr="00EF4250">
        <w:rPr>
          <w:rFonts w:cs="Times New Roman"/>
          <w:szCs w:val="20"/>
        </w:rPr>
        <w:t xml:space="preserve"> were </w:t>
      </w:r>
      <w:r w:rsidR="00A264D8" w:rsidRPr="00EF4250">
        <w:rPr>
          <w:rFonts w:cs="Times New Roman"/>
          <w:szCs w:val="20"/>
        </w:rPr>
        <w:t xml:space="preserve">found through </w:t>
      </w:r>
      <w:r w:rsidRPr="00EF4250">
        <w:rPr>
          <w:rFonts w:cs="Times New Roman"/>
          <w:szCs w:val="20"/>
        </w:rPr>
        <w:t>calibrat</w:t>
      </w:r>
      <w:r w:rsidR="00A264D8" w:rsidRPr="00EF4250">
        <w:rPr>
          <w:rFonts w:cs="Times New Roman"/>
          <w:szCs w:val="20"/>
        </w:rPr>
        <w:t>ion</w:t>
      </w:r>
      <w:r w:rsidRPr="00EF4250">
        <w:rPr>
          <w:rFonts w:cs="Times New Roman"/>
          <w:szCs w:val="20"/>
        </w:rPr>
        <w:t xml:space="preserve">. </w:t>
      </w:r>
      <w:r w:rsidR="001E6755" w:rsidRPr="00EF4250">
        <w:rPr>
          <w:rFonts w:cs="Times New Roman"/>
          <w:szCs w:val="20"/>
          <w:lang w:eastAsia="zh-CN"/>
        </w:rPr>
        <w:t xml:space="preserve">All parameter values are presented in </w:t>
      </w:r>
      <w:r w:rsidR="0058100D" w:rsidRPr="00EF4250">
        <w:rPr>
          <w:rFonts w:cs="Times New Roman"/>
          <w:b/>
          <w:bCs/>
          <w:szCs w:val="20"/>
          <w:shd w:val="clear" w:color="auto" w:fill="FFFFFF"/>
        </w:rPr>
        <w:t>Supplement S</w:t>
      </w:r>
      <w:r w:rsidR="0058100D">
        <w:rPr>
          <w:rFonts w:cs="Times New Roman"/>
          <w:b/>
          <w:bCs/>
          <w:szCs w:val="20"/>
          <w:shd w:val="clear" w:color="auto" w:fill="FFFFFF"/>
        </w:rPr>
        <w:t>1.6 (</w:t>
      </w:r>
      <w:r w:rsidR="00A87FBF" w:rsidRPr="00626C29">
        <w:rPr>
          <w:b/>
          <w:szCs w:val="20"/>
        </w:rPr>
        <w:t xml:space="preserve">Supplementary </w:t>
      </w:r>
      <w:r w:rsidR="001E6755" w:rsidRPr="00EF4250">
        <w:rPr>
          <w:rFonts w:cs="Times New Roman"/>
          <w:b/>
          <w:bCs/>
          <w:szCs w:val="20"/>
          <w:lang w:eastAsia="zh-CN"/>
        </w:rPr>
        <w:t xml:space="preserve">Table </w:t>
      </w:r>
      <w:r w:rsidR="0058100D">
        <w:rPr>
          <w:rFonts w:cs="Times New Roman"/>
          <w:b/>
          <w:bCs/>
          <w:szCs w:val="20"/>
          <w:lang w:eastAsia="zh-CN"/>
        </w:rPr>
        <w:t>16)</w:t>
      </w:r>
      <w:r w:rsidR="001E6755" w:rsidRPr="00EF4250">
        <w:rPr>
          <w:rFonts w:cs="Times New Roman"/>
          <w:szCs w:val="20"/>
          <w:lang w:eastAsia="zh-CN"/>
        </w:rPr>
        <w:t>.</w:t>
      </w:r>
    </w:p>
    <w:p w14:paraId="1D476D5E" w14:textId="42ABF4AD" w:rsidR="0072727C" w:rsidRPr="00D2239A" w:rsidRDefault="0072727C" w:rsidP="0072727C">
      <w:pPr>
        <w:pStyle w:val="Heading2"/>
        <w:rPr>
          <w:rFonts w:cs="Times New Roman"/>
        </w:rPr>
      </w:pPr>
      <w:bookmarkStart w:id="26" w:name="_Toc206680992"/>
      <w:bookmarkStart w:id="27" w:name="_Toc226020682"/>
      <w:r w:rsidRPr="00D2239A">
        <w:rPr>
          <w:rFonts w:cs="Times New Roman"/>
        </w:rPr>
        <w:t>S1.3.2. HCS data for MOUD treatment</w:t>
      </w:r>
      <w:bookmarkEnd w:id="26"/>
      <w:bookmarkEnd w:id="27"/>
      <w:r w:rsidRPr="00D2239A">
        <w:rPr>
          <w:rFonts w:cs="Times New Roman"/>
        </w:rPr>
        <w:t xml:space="preserve"> </w:t>
      </w:r>
    </w:p>
    <w:p w14:paraId="583B7D4C" w14:textId="43E5037D" w:rsidR="0072727C" w:rsidRPr="00EF4250" w:rsidRDefault="0072727C" w:rsidP="0072727C">
      <w:pPr>
        <w:spacing w:after="0" w:line="276" w:lineRule="auto"/>
        <w:rPr>
          <w:rFonts w:cs="Times New Roman"/>
          <w:szCs w:val="20"/>
        </w:rPr>
      </w:pPr>
      <w:r w:rsidRPr="00EF4250">
        <w:rPr>
          <w:rFonts w:cs="Times New Roman"/>
          <w:szCs w:val="20"/>
        </w:rPr>
        <w:t xml:space="preserve">We estimated the community-level use of buprenorphine, methadone, and naltrexone by year from multiple sources. Buprenorphine use among residents of each community was </w:t>
      </w:r>
      <w:r w:rsidR="00E23998" w:rsidRPr="00EF4250">
        <w:rPr>
          <w:rFonts w:cs="Times New Roman"/>
          <w:szCs w:val="20"/>
        </w:rPr>
        <w:t>informed by the state</w:t>
      </w:r>
      <w:r w:rsidR="005B74E4" w:rsidRPr="00EF4250">
        <w:rPr>
          <w:rFonts w:cs="Times New Roman"/>
          <w:szCs w:val="20"/>
        </w:rPr>
        <w:t>’s</w:t>
      </w:r>
      <w:r w:rsidRPr="00EF4250">
        <w:rPr>
          <w:rFonts w:cs="Times New Roman"/>
          <w:szCs w:val="20"/>
        </w:rPr>
        <w:t xml:space="preserve"> drug monitoring program</w:t>
      </w:r>
      <w:r w:rsidR="007358A0" w:rsidRPr="00EF4250">
        <w:rPr>
          <w:rFonts w:cs="Times New Roman"/>
          <w:szCs w:val="20"/>
        </w:rPr>
        <w:t xml:space="preserve"> (PDMP)</w:t>
      </w:r>
      <w:r w:rsidR="004E651A" w:rsidRPr="00EF4250">
        <w:rPr>
          <w:rFonts w:cs="Times New Roman"/>
          <w:szCs w:val="20"/>
        </w:rPr>
        <w:t xml:space="preserve"> data</w:t>
      </w:r>
      <w:r w:rsidRPr="00EF4250">
        <w:rPr>
          <w:rFonts w:cs="Times New Roman"/>
          <w:szCs w:val="20"/>
        </w:rPr>
        <w:t xml:space="preserve">, whereas methadone and naltrexone use </w:t>
      </w:r>
      <w:r w:rsidR="0038522F" w:rsidRPr="00EF4250">
        <w:rPr>
          <w:rFonts w:cs="Times New Roman"/>
          <w:szCs w:val="20"/>
        </w:rPr>
        <w:t>w</w:t>
      </w:r>
      <w:r w:rsidR="00DA602B" w:rsidRPr="00EF4250">
        <w:rPr>
          <w:rFonts w:cs="Times New Roman"/>
          <w:szCs w:val="20"/>
        </w:rPr>
        <w:t>ere</w:t>
      </w:r>
      <w:r w:rsidR="0038522F" w:rsidRPr="00EF4250">
        <w:rPr>
          <w:rFonts w:cs="Times New Roman"/>
          <w:szCs w:val="20"/>
        </w:rPr>
        <w:t xml:space="preserve"> </w:t>
      </w:r>
      <w:r w:rsidR="004A764E" w:rsidRPr="00EF4250">
        <w:rPr>
          <w:rFonts w:cs="Times New Roman"/>
          <w:szCs w:val="20"/>
        </w:rPr>
        <w:t>informed</w:t>
      </w:r>
      <w:r w:rsidR="004E651A" w:rsidRPr="00EF4250">
        <w:rPr>
          <w:rFonts w:cs="Times New Roman"/>
          <w:szCs w:val="20"/>
        </w:rPr>
        <w:t xml:space="preserve"> by </w:t>
      </w:r>
      <w:r w:rsidRPr="00EF4250">
        <w:rPr>
          <w:rFonts w:cs="Times New Roman"/>
          <w:szCs w:val="20"/>
        </w:rPr>
        <w:t xml:space="preserve">the state’s Medicaid </w:t>
      </w:r>
      <w:r w:rsidR="004E651A" w:rsidRPr="00EF4250">
        <w:rPr>
          <w:rFonts w:cs="Times New Roman"/>
          <w:szCs w:val="20"/>
        </w:rPr>
        <w:t>claims data</w:t>
      </w:r>
      <w:r w:rsidRPr="00EF4250">
        <w:rPr>
          <w:rFonts w:cs="Times New Roman"/>
          <w:szCs w:val="20"/>
        </w:rPr>
        <w:t xml:space="preserve">. Estimates of community-level methadone and naltrexone use among </w:t>
      </w:r>
      <w:r w:rsidR="00154468" w:rsidRPr="00EF4250">
        <w:rPr>
          <w:rFonts w:cs="Times New Roman"/>
          <w:szCs w:val="20"/>
        </w:rPr>
        <w:t>people</w:t>
      </w:r>
      <w:r w:rsidRPr="00EF4250">
        <w:rPr>
          <w:rFonts w:cs="Times New Roman"/>
          <w:szCs w:val="20"/>
        </w:rPr>
        <w:t xml:space="preserve"> who are not Medicaid beneficiaries were </w:t>
      </w:r>
      <w:r w:rsidRPr="00EF4250">
        <w:rPr>
          <w:rFonts w:cs="Times New Roman"/>
          <w:szCs w:val="20"/>
        </w:rPr>
        <w:lastRenderedPageBreak/>
        <w:t>unavailable. Therefore</w:t>
      </w:r>
      <w:r w:rsidR="000E2D09" w:rsidRPr="00EF4250">
        <w:rPr>
          <w:rFonts w:cs="Times New Roman"/>
          <w:szCs w:val="20"/>
        </w:rPr>
        <w:t>,</w:t>
      </w:r>
      <w:r w:rsidRPr="00EF4250">
        <w:rPr>
          <w:rFonts w:cs="Times New Roman"/>
          <w:szCs w:val="20"/>
        </w:rPr>
        <w:t xml:space="preserve"> we estimated total methadone use in each community by inflating the estimates among the Medicaid population by the estimated proportion of all methadone patients who are Medicaid beneficiaries from each state’s Opioid Treatment Program (OTP) data. For naltrexone, we assumed that the proportion of all naltrexone in a given community that is among Medicaid beneficiaries is the same as the proportion of all buprenorphine use in that community that is among Medicaid beneficiaries.</w:t>
      </w:r>
    </w:p>
    <w:p w14:paraId="7D42B7C1" w14:textId="77777777" w:rsidR="0072727C" w:rsidRPr="00EF4250" w:rsidRDefault="0072727C" w:rsidP="0072727C">
      <w:pPr>
        <w:spacing w:after="0" w:line="276" w:lineRule="auto"/>
        <w:rPr>
          <w:rFonts w:cs="Times New Roman"/>
          <w:szCs w:val="20"/>
        </w:rPr>
      </w:pPr>
    </w:p>
    <w:p w14:paraId="03905D94" w14:textId="4DB6E6FC" w:rsidR="0072727C" w:rsidRPr="00EF4250" w:rsidRDefault="0072727C" w:rsidP="0072727C">
      <w:pPr>
        <w:spacing w:after="0" w:line="276" w:lineRule="auto"/>
        <w:rPr>
          <w:rFonts w:cs="Times New Roman"/>
          <w:szCs w:val="20"/>
        </w:rPr>
      </w:pPr>
      <w:r w:rsidRPr="00EF4250">
        <w:rPr>
          <w:rFonts w:cs="Times New Roman"/>
          <w:szCs w:val="20"/>
        </w:rPr>
        <w:t>We also obtained estimates from HCS of the number of people that ha</w:t>
      </w:r>
      <w:r w:rsidR="00354D57" w:rsidRPr="00EF4250">
        <w:rPr>
          <w:rFonts w:cs="Times New Roman"/>
          <w:szCs w:val="20"/>
        </w:rPr>
        <w:t>ve</w:t>
      </w:r>
      <w:r w:rsidRPr="00EF4250">
        <w:rPr>
          <w:rFonts w:cs="Times New Roman"/>
          <w:szCs w:val="20"/>
        </w:rPr>
        <w:t xml:space="preserve"> been retained on each MOUD for at least 180 days</w:t>
      </w:r>
      <w:r w:rsidR="00573DDB" w:rsidRPr="00EF4250">
        <w:rPr>
          <w:rFonts w:cs="Times New Roman"/>
          <w:szCs w:val="20"/>
        </w:rPr>
        <w:t xml:space="preserve"> in each community (“treatment retention”)</w:t>
      </w:r>
      <w:r w:rsidRPr="00EF4250">
        <w:rPr>
          <w:rFonts w:cs="Times New Roman"/>
          <w:szCs w:val="20"/>
        </w:rPr>
        <w:t xml:space="preserve">. Estimates for </w:t>
      </w:r>
      <w:r w:rsidR="00573DDB" w:rsidRPr="00EF4250">
        <w:rPr>
          <w:rFonts w:cs="Times New Roman"/>
          <w:szCs w:val="20"/>
        </w:rPr>
        <w:t xml:space="preserve">treatment retention on </w:t>
      </w:r>
      <w:r w:rsidRPr="00EF4250">
        <w:rPr>
          <w:rFonts w:cs="Times New Roman"/>
          <w:szCs w:val="20"/>
        </w:rPr>
        <w:t>buprenorphine were obtained from PDMP data. Estimates for methadone and naltrexone were obtained from Medicaid claims data; we assumed that the proportion of past-year methadone and past-year naltrexone users retained for 180 days among the total population is the same as observed in the Medicaid population.</w:t>
      </w:r>
    </w:p>
    <w:p w14:paraId="1230D980" w14:textId="77777777" w:rsidR="006735C2" w:rsidRPr="00EF4250" w:rsidRDefault="006735C2" w:rsidP="00754108">
      <w:pPr>
        <w:spacing w:after="0" w:line="276" w:lineRule="auto"/>
        <w:rPr>
          <w:rFonts w:cs="Times New Roman"/>
          <w:szCs w:val="20"/>
        </w:rPr>
      </w:pPr>
    </w:p>
    <w:p w14:paraId="7E7972FD" w14:textId="0300FF3E" w:rsidR="003A057C" w:rsidRPr="00EF4250" w:rsidRDefault="00207C5A" w:rsidP="00207C5A">
      <w:pPr>
        <w:pStyle w:val="Heading2"/>
        <w:rPr>
          <w:rFonts w:cs="Times New Roman"/>
          <w:szCs w:val="20"/>
        </w:rPr>
      </w:pPr>
      <w:bookmarkStart w:id="28" w:name="_Toc206680993"/>
      <w:bookmarkStart w:id="29" w:name="_Toc226020683"/>
      <w:r w:rsidRPr="00EF4250">
        <w:rPr>
          <w:rFonts w:cs="Times New Roman"/>
          <w:szCs w:val="20"/>
        </w:rPr>
        <w:t>S1.3.</w:t>
      </w:r>
      <w:r w:rsidR="0072727C" w:rsidRPr="00EF4250">
        <w:rPr>
          <w:rFonts w:cs="Times New Roman"/>
          <w:szCs w:val="20"/>
        </w:rPr>
        <w:t>3</w:t>
      </w:r>
      <w:r w:rsidRPr="00EF4250">
        <w:rPr>
          <w:rFonts w:cs="Times New Roman"/>
          <w:szCs w:val="20"/>
        </w:rPr>
        <w:t xml:space="preserve">. </w:t>
      </w:r>
      <w:r w:rsidR="003A057C" w:rsidRPr="00EF4250">
        <w:rPr>
          <w:rFonts w:cs="Times New Roman"/>
          <w:szCs w:val="20"/>
        </w:rPr>
        <w:t>Recovery</w:t>
      </w:r>
      <w:r w:rsidR="00D25F44" w:rsidRPr="00EF4250">
        <w:rPr>
          <w:rFonts w:cs="Times New Roman"/>
          <w:szCs w:val="20"/>
        </w:rPr>
        <w:t xml:space="preserve"> </w:t>
      </w:r>
      <w:r w:rsidR="006C59D4" w:rsidRPr="00EF4250">
        <w:rPr>
          <w:rFonts w:cs="Times New Roman"/>
          <w:szCs w:val="20"/>
        </w:rPr>
        <w:t>and relapse</w:t>
      </w:r>
      <w:bookmarkEnd w:id="28"/>
      <w:bookmarkEnd w:id="29"/>
    </w:p>
    <w:p w14:paraId="25E4F046" w14:textId="52823C88" w:rsidR="002E2ED9" w:rsidRPr="00EF4250" w:rsidRDefault="007C1C74" w:rsidP="00754108">
      <w:pPr>
        <w:spacing w:after="0" w:line="276" w:lineRule="auto"/>
        <w:rPr>
          <w:rFonts w:cs="Times New Roman"/>
          <w:szCs w:val="20"/>
        </w:rPr>
      </w:pPr>
      <w:r w:rsidRPr="00EF4250">
        <w:rPr>
          <w:rFonts w:cs="Times New Roman"/>
          <w:szCs w:val="20"/>
        </w:rPr>
        <w:t>Upon the discontinuation of MOUD treatment, individual</w:t>
      </w:r>
      <w:r w:rsidR="007C3758" w:rsidRPr="00EF4250">
        <w:rPr>
          <w:rFonts w:cs="Times New Roman"/>
          <w:szCs w:val="20"/>
        </w:rPr>
        <w:t>s</w:t>
      </w:r>
      <w:r w:rsidRPr="00EF4250">
        <w:rPr>
          <w:rFonts w:cs="Times New Roman"/>
          <w:szCs w:val="20"/>
        </w:rPr>
        <w:t xml:space="preserve"> may recover (i.e., transition to the </w:t>
      </w:r>
      <w:r w:rsidR="00FE3A4C" w:rsidRPr="00EF4250">
        <w:rPr>
          <w:rFonts w:cs="Times New Roman"/>
          <w:i/>
          <w:iCs/>
          <w:szCs w:val="20"/>
        </w:rPr>
        <w:t>R</w:t>
      </w:r>
      <w:r w:rsidRPr="00EF4250">
        <w:rPr>
          <w:rFonts w:cs="Times New Roman"/>
          <w:i/>
          <w:iCs/>
          <w:szCs w:val="20"/>
        </w:rPr>
        <w:t>ecovery</w:t>
      </w:r>
      <w:r w:rsidRPr="00EF4250">
        <w:rPr>
          <w:rFonts w:cs="Times New Roman"/>
          <w:szCs w:val="20"/>
        </w:rPr>
        <w:t xml:space="preserve"> state that assumes no active opioid use) with </w:t>
      </w:r>
      <w:r w:rsidR="00E20F42" w:rsidRPr="00EF4250">
        <w:rPr>
          <w:rFonts w:cs="Times New Roman"/>
          <w:szCs w:val="20"/>
        </w:rPr>
        <w:t xml:space="preserve">a </w:t>
      </w:r>
      <w:r w:rsidRPr="00EF4250">
        <w:rPr>
          <w:rFonts w:cs="Times New Roman"/>
          <w:szCs w:val="20"/>
        </w:rPr>
        <w:t xml:space="preserve">recovery probability </w:t>
      </w:r>
      <w:r w:rsidR="002E2ED9" w:rsidRPr="00EF4250">
        <w:rPr>
          <w:rFonts w:cs="Times New Roman"/>
          <w:szCs w:val="20"/>
        </w:rPr>
        <w:t>(condition</w:t>
      </w:r>
      <w:r w:rsidR="00A66835" w:rsidRPr="00EF4250">
        <w:rPr>
          <w:rFonts w:cs="Times New Roman"/>
          <w:szCs w:val="20"/>
        </w:rPr>
        <w:t>ed</w:t>
      </w:r>
      <w:r w:rsidR="002E2ED9" w:rsidRPr="00EF4250">
        <w:rPr>
          <w:rFonts w:cs="Times New Roman"/>
          <w:szCs w:val="20"/>
        </w:rPr>
        <w:t xml:space="preserve"> on treatment discontinuation)</w:t>
      </w:r>
      <w:r w:rsidRPr="00EF4250">
        <w:rPr>
          <w:rFonts w:cs="Times New Roman"/>
          <w:szCs w:val="20"/>
        </w:rPr>
        <w:t xml:space="preserve">, or </w:t>
      </w:r>
      <w:r w:rsidR="007C3758" w:rsidRPr="00EF4250">
        <w:rPr>
          <w:rFonts w:cs="Times New Roman"/>
          <w:szCs w:val="20"/>
        </w:rPr>
        <w:t xml:space="preserve">they may </w:t>
      </w:r>
      <w:r w:rsidRPr="00EF4250">
        <w:rPr>
          <w:rFonts w:cs="Times New Roman"/>
          <w:szCs w:val="20"/>
        </w:rPr>
        <w:t xml:space="preserve">relapse (i.e., transition to the </w:t>
      </w:r>
      <w:r w:rsidRPr="00EF4250">
        <w:rPr>
          <w:rFonts w:cs="Times New Roman"/>
          <w:i/>
          <w:iCs/>
          <w:szCs w:val="20"/>
        </w:rPr>
        <w:t>OUD</w:t>
      </w:r>
      <w:r w:rsidRPr="00EF4250">
        <w:rPr>
          <w:rFonts w:cs="Times New Roman"/>
          <w:szCs w:val="20"/>
        </w:rPr>
        <w:t xml:space="preserve"> state). </w:t>
      </w:r>
      <w:r w:rsidR="002644FD" w:rsidRPr="00EF4250">
        <w:rPr>
          <w:rFonts w:cs="Times New Roman"/>
          <w:szCs w:val="20"/>
        </w:rPr>
        <w:t>For individual</w:t>
      </w:r>
      <w:r w:rsidR="007C3758" w:rsidRPr="00EF4250">
        <w:rPr>
          <w:rFonts w:cs="Times New Roman"/>
          <w:szCs w:val="20"/>
        </w:rPr>
        <w:t>s</w:t>
      </w:r>
      <w:r w:rsidR="002644FD" w:rsidRPr="00EF4250">
        <w:rPr>
          <w:rFonts w:cs="Times New Roman"/>
          <w:szCs w:val="20"/>
        </w:rPr>
        <w:t xml:space="preserve"> who discontinued MOUD treatment </w:t>
      </w:r>
      <w:r w:rsidR="00FE3A4C" w:rsidRPr="00EF4250">
        <w:rPr>
          <w:rFonts w:cs="Times New Roman"/>
          <w:szCs w:val="20"/>
        </w:rPr>
        <w:t>more than</w:t>
      </w:r>
      <w:r w:rsidR="002644FD" w:rsidRPr="00EF4250">
        <w:rPr>
          <w:rFonts w:cs="Times New Roman"/>
          <w:szCs w:val="20"/>
        </w:rPr>
        <w:t xml:space="preserve"> </w:t>
      </w:r>
      <w:r w:rsidR="007C3758" w:rsidRPr="00EF4250">
        <w:rPr>
          <w:rFonts w:cs="Times New Roman"/>
          <w:szCs w:val="20"/>
        </w:rPr>
        <w:t>six</w:t>
      </w:r>
      <w:r w:rsidR="002644FD" w:rsidRPr="00EF4250">
        <w:rPr>
          <w:rFonts w:cs="Times New Roman"/>
          <w:szCs w:val="20"/>
        </w:rPr>
        <w:t xml:space="preserve"> months since the initiation of the current episode, we used the </w:t>
      </w:r>
      <w:r w:rsidR="0097133C" w:rsidRPr="00EF4250">
        <w:rPr>
          <w:rFonts w:cs="Times New Roman"/>
          <w:szCs w:val="20"/>
        </w:rPr>
        <w:t xml:space="preserve">estimate of </w:t>
      </w:r>
      <w:r w:rsidR="002E2ED9" w:rsidRPr="00EF4250">
        <w:rPr>
          <w:rFonts w:cs="Times New Roman"/>
          <w:szCs w:val="20"/>
        </w:rPr>
        <w:t xml:space="preserve">recovery probability </w:t>
      </w:r>
      <m:oMath>
        <m:sSub>
          <m:sSubPr>
            <m:ctrlPr>
              <w:rPr>
                <w:rFonts w:ascii="Cambria Math" w:hAnsi="Cambria Math" w:cs="Times New Roman"/>
                <w:i/>
                <w:szCs w:val="20"/>
              </w:rPr>
            </m:ctrlPr>
          </m:sSubPr>
          <m:e>
            <m:r>
              <w:rPr>
                <w:rFonts w:ascii="Cambria Math" w:hAnsi="Cambria Math" w:cs="Times New Roman"/>
                <w:szCs w:val="20"/>
              </w:rPr>
              <m:t>p</m:t>
            </m:r>
          </m:e>
          <m:sub>
            <m:r>
              <w:rPr>
                <w:rFonts w:ascii="Cambria Math" w:hAnsi="Cambria Math" w:cs="Times New Roman"/>
                <w:szCs w:val="20"/>
              </w:rPr>
              <m:t>recover</m:t>
            </m:r>
          </m:sub>
        </m:sSub>
      </m:oMath>
      <w:r w:rsidR="002644FD" w:rsidRPr="00EF4250">
        <w:rPr>
          <w:rFonts w:cs="Times New Roman"/>
          <w:szCs w:val="20"/>
        </w:rPr>
        <w:t xml:space="preserve"> </w:t>
      </w:r>
      <w:r w:rsidR="00206137" w:rsidRPr="00EF4250">
        <w:rPr>
          <w:rFonts w:cs="Times New Roman"/>
          <w:szCs w:val="20"/>
        </w:rPr>
        <w:t xml:space="preserve">upon treatment discontinuation </w:t>
      </w:r>
      <w:r w:rsidR="002644FD" w:rsidRPr="00EF4250">
        <w:rPr>
          <w:rFonts w:cs="Times New Roman"/>
          <w:szCs w:val="20"/>
        </w:rPr>
        <w:t xml:space="preserve">based on a longitudinal cohort study </w:t>
      </w:r>
      <w:r w:rsidR="00A264D8" w:rsidRPr="00EF4250">
        <w:rPr>
          <w:rFonts w:cs="Times New Roman"/>
          <w:szCs w:val="20"/>
        </w:rPr>
        <w:t xml:space="preserve">of </w:t>
      </w:r>
      <w:r w:rsidR="002644FD" w:rsidRPr="00EF4250">
        <w:rPr>
          <w:rFonts w:cs="Times New Roman"/>
          <w:szCs w:val="20"/>
        </w:rPr>
        <w:t>OUD treatment outcomes</w:t>
      </w:r>
      <w:r w:rsidR="00A86F4F" w:rsidRPr="00EF4250">
        <w:rPr>
          <w:rFonts w:cs="Times New Roman"/>
          <w:szCs w:val="20"/>
        </w:rPr>
        <w:t>.</w:t>
      </w:r>
      <w:r w:rsidR="00D2313B" w:rsidRPr="00EF4250">
        <w:rPr>
          <w:rFonts w:cs="Times New Roman"/>
          <w:szCs w:val="20"/>
        </w:rPr>
        <w:fldChar w:fldCharType="begin"/>
      </w:r>
      <w:r w:rsidR="002F7FE7" w:rsidRPr="00EF4250">
        <w:rPr>
          <w:rFonts w:cs="Times New Roman"/>
          <w:szCs w:val="20"/>
        </w:rPr>
        <w:instrText xml:space="preserve"> ADDIN EN.CITE &lt;EndNote&gt;&lt;Cite&gt;&lt;Author&gt;Krebs&lt;/Author&gt;&lt;Year&gt;2018&lt;/Year&gt;&lt;RecNum&gt;133&lt;/RecNum&gt;&lt;DisplayText&gt;&lt;style face="superscript"&gt;21&lt;/style&gt;&lt;/DisplayText&gt;&lt;record&gt;&lt;rec-number&gt;133&lt;/rec-number&gt;&lt;foreign-keys&gt;&lt;key app="EN" db-id="ffv9f0td1taf24ev0z1paazh2dx55xvtwsv9" timestamp="1713388380"&gt;133&lt;/key&gt;&lt;/foreign-keys&gt;&lt;ref-type name="Journal Article"&gt;17&lt;/ref-type&gt;&lt;contributors&gt;&lt;authors&gt;&lt;author&gt;Krebs, Emanuel&lt;/author&gt;&lt;author&gt;Enns, Benjamin&lt;/author&gt;&lt;author&gt;Evans, Elizabeth&lt;/author&gt;&lt;author&gt;Urada, Darren&lt;/author&gt;&lt;author&gt;Anglin, M Douglas&lt;/author&gt;&lt;author&gt;Rawson, Richard A&lt;/author&gt;&lt;author&gt;Hser, Yih-Ing&lt;/author&gt;&lt;author&gt;Nosyk, Bohdan&lt;/author&gt;&lt;/authors&gt;&lt;/contributors&gt;&lt;titles&gt;&lt;title&gt;Cost-effectiveness of publicly funded treatment of opioid use disorder in California&lt;/title&gt;&lt;secondary-title&gt;Annals of internal medicine&lt;/secondary-title&gt;&lt;/titles&gt;&lt;periodical&gt;&lt;full-title&gt;Ann Intern Med&lt;/full-title&gt;&lt;abbr-1&gt;Annals of internal medicine&lt;/abbr-1&gt;&lt;/periodical&gt;&lt;pages&gt;10-19&lt;/pages&gt;&lt;volume&gt;168&lt;/volume&gt;&lt;number&gt;1&lt;/number&gt;&lt;dates&gt;&lt;year&gt;2018&lt;/year&gt;&lt;/dates&gt;&lt;isbn&gt;0003-4819&lt;/isbn&gt;&lt;urls&gt;&lt;/urls&gt;&lt;/record&gt;&lt;/Cite&gt;&lt;/EndNote&gt;</w:instrText>
      </w:r>
      <w:r w:rsidR="00D2313B" w:rsidRPr="00EF4250">
        <w:rPr>
          <w:rFonts w:cs="Times New Roman"/>
          <w:szCs w:val="20"/>
        </w:rPr>
        <w:fldChar w:fldCharType="separate"/>
      </w:r>
      <w:r w:rsidR="002F7FE7" w:rsidRPr="00EF4250">
        <w:rPr>
          <w:rFonts w:cs="Times New Roman"/>
          <w:noProof/>
          <w:szCs w:val="20"/>
          <w:vertAlign w:val="superscript"/>
        </w:rPr>
        <w:t>21</w:t>
      </w:r>
      <w:r w:rsidR="00D2313B" w:rsidRPr="00EF4250">
        <w:rPr>
          <w:rFonts w:cs="Times New Roman"/>
          <w:szCs w:val="20"/>
        </w:rPr>
        <w:fldChar w:fldCharType="end"/>
      </w:r>
      <w:r w:rsidR="002644FD" w:rsidRPr="00EF4250">
        <w:rPr>
          <w:rFonts w:cs="Times New Roman"/>
          <w:szCs w:val="20"/>
        </w:rPr>
        <w:t xml:space="preserve"> For those who discontinued MOUD treatment before achieving </w:t>
      </w:r>
      <w:r w:rsidR="007C3758" w:rsidRPr="00EF4250">
        <w:rPr>
          <w:rFonts w:cs="Times New Roman"/>
          <w:szCs w:val="20"/>
        </w:rPr>
        <w:t>six</w:t>
      </w:r>
      <w:r w:rsidR="002644FD" w:rsidRPr="00EF4250">
        <w:rPr>
          <w:rFonts w:cs="Times New Roman"/>
          <w:szCs w:val="20"/>
        </w:rPr>
        <w:t xml:space="preserve">-month retention, </w:t>
      </w:r>
      <w:r w:rsidR="002E2ED9" w:rsidRPr="00EF4250">
        <w:rPr>
          <w:rFonts w:cs="Times New Roman"/>
          <w:szCs w:val="20"/>
        </w:rPr>
        <w:t xml:space="preserve">we bounded the </w:t>
      </w:r>
      <w:r w:rsidR="00A300C8" w:rsidRPr="00EF4250">
        <w:rPr>
          <w:rFonts w:cs="Times New Roman"/>
          <w:szCs w:val="20"/>
        </w:rPr>
        <w:t xml:space="preserve">recovery probability </w:t>
      </w:r>
      <w:r w:rsidR="009E74F1" w:rsidRPr="00EF4250">
        <w:rPr>
          <w:rFonts w:cs="Times New Roman"/>
          <w:szCs w:val="20"/>
        </w:rPr>
        <w:t xml:space="preserve">such that the </w:t>
      </w:r>
      <w:r w:rsidR="002E2ED9" w:rsidRPr="00EF4250">
        <w:rPr>
          <w:rFonts w:cs="Times New Roman"/>
          <w:szCs w:val="20"/>
        </w:rPr>
        <w:t xml:space="preserve">unconditioned recovery probability </w:t>
      </w:r>
      <m:oMath>
        <m:sSub>
          <m:sSubPr>
            <m:ctrlPr>
              <w:rPr>
                <w:rFonts w:ascii="Cambria Math" w:hAnsi="Cambria Math" w:cs="Times New Roman"/>
                <w:i/>
                <w:szCs w:val="20"/>
              </w:rPr>
            </m:ctrlPr>
          </m:sSubPr>
          <m:e>
            <m:r>
              <w:rPr>
                <w:rFonts w:ascii="Cambria Math" w:hAnsi="Cambria Math" w:cs="Times New Roman"/>
                <w:szCs w:val="20"/>
              </w:rPr>
              <m:t>p</m:t>
            </m:r>
          </m:e>
          <m:sub>
            <m:r>
              <w:rPr>
                <w:rFonts w:ascii="Cambria Math" w:hAnsi="Cambria Math" w:cs="Times New Roman"/>
                <w:szCs w:val="20"/>
              </w:rPr>
              <m:t>discontinue</m:t>
            </m:r>
          </m:sub>
        </m:sSub>
        <m:d>
          <m:dPr>
            <m:ctrlPr>
              <w:rPr>
                <w:rFonts w:ascii="Cambria Math" w:hAnsi="Cambria Math" w:cs="Times New Roman"/>
                <w:i/>
                <w:szCs w:val="20"/>
              </w:rPr>
            </m:ctrlPr>
          </m:dPr>
          <m:e>
            <m:r>
              <w:rPr>
                <w:rFonts w:ascii="Cambria Math" w:hAnsi="Cambria Math" w:cs="Times New Roman"/>
                <w:szCs w:val="20"/>
              </w:rPr>
              <m:t>t</m:t>
            </m:r>
          </m:e>
        </m:d>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p</m:t>
            </m:r>
          </m:e>
          <m:sub>
            <m:r>
              <w:rPr>
                <w:rFonts w:ascii="Cambria Math" w:hAnsi="Cambria Math" w:cs="Times New Roman"/>
                <w:szCs w:val="20"/>
              </w:rPr>
              <m:t>recover</m:t>
            </m:r>
          </m:sub>
        </m:sSub>
      </m:oMath>
      <w:r w:rsidR="002E2ED9" w:rsidRPr="00EF4250">
        <w:rPr>
          <w:rFonts w:cs="Times New Roman"/>
          <w:szCs w:val="20"/>
        </w:rPr>
        <w:t xml:space="preserve"> </w:t>
      </w:r>
      <w:r w:rsidR="00327390" w:rsidRPr="00EF4250">
        <w:rPr>
          <w:rFonts w:cs="Times New Roman"/>
          <w:szCs w:val="20"/>
        </w:rPr>
        <w:t xml:space="preserve">(i.e., </w:t>
      </w:r>
      <w:r w:rsidR="002E2ED9" w:rsidRPr="00EF4250">
        <w:rPr>
          <w:rFonts w:cs="Times New Roman"/>
          <w:szCs w:val="20"/>
        </w:rPr>
        <w:t xml:space="preserve">through </w:t>
      </w:r>
      <w:r w:rsidR="008F11D7" w:rsidRPr="00EF4250">
        <w:rPr>
          <w:rFonts w:cs="Times New Roman"/>
          <w:szCs w:val="20"/>
        </w:rPr>
        <w:t xml:space="preserve">MOUD treatment with a </w:t>
      </w:r>
      <w:r w:rsidR="002E2ED9" w:rsidRPr="00EF4250">
        <w:rPr>
          <w:rFonts w:cs="Times New Roman"/>
          <w:szCs w:val="20"/>
        </w:rPr>
        <w:t>short duration</w:t>
      </w:r>
      <w:r w:rsidR="00327390" w:rsidRPr="00EF4250">
        <w:rPr>
          <w:rFonts w:cs="Times New Roman"/>
          <w:szCs w:val="20"/>
        </w:rPr>
        <w:t>)</w:t>
      </w:r>
      <w:r w:rsidR="002E2ED9" w:rsidRPr="00EF4250">
        <w:rPr>
          <w:rFonts w:cs="Times New Roman"/>
          <w:szCs w:val="20"/>
        </w:rPr>
        <w:t xml:space="preserve"> was no</w:t>
      </w:r>
      <w:r w:rsidR="00157211" w:rsidRPr="00EF4250">
        <w:rPr>
          <w:rFonts w:cs="Times New Roman"/>
          <w:szCs w:val="20"/>
        </w:rPr>
        <w:t>t</w:t>
      </w:r>
      <w:r w:rsidR="002E2ED9" w:rsidRPr="00EF4250">
        <w:rPr>
          <w:rFonts w:cs="Times New Roman"/>
          <w:szCs w:val="20"/>
        </w:rPr>
        <w:t xml:space="preserve"> </w:t>
      </w:r>
      <w:r w:rsidR="008F77CD" w:rsidRPr="00EF4250">
        <w:rPr>
          <w:rFonts w:cs="Times New Roman"/>
          <w:szCs w:val="20"/>
        </w:rPr>
        <w:t xml:space="preserve">lower </w:t>
      </w:r>
      <w:r w:rsidR="008F11D7" w:rsidRPr="00EF4250">
        <w:rPr>
          <w:rFonts w:cs="Times New Roman"/>
          <w:szCs w:val="20"/>
        </w:rPr>
        <w:t xml:space="preserve">than the </w:t>
      </w:r>
      <w:r w:rsidR="002126DE" w:rsidRPr="00EF4250">
        <w:rPr>
          <w:rFonts w:cs="Times New Roman"/>
          <w:szCs w:val="20"/>
        </w:rPr>
        <w:t xml:space="preserve">natural </w:t>
      </w:r>
      <w:r w:rsidR="008F11D7" w:rsidRPr="00EF4250">
        <w:rPr>
          <w:rFonts w:cs="Times New Roman"/>
          <w:szCs w:val="20"/>
        </w:rPr>
        <w:t xml:space="preserve">recovery </w:t>
      </w:r>
      <w:r w:rsidR="000E2D09" w:rsidRPr="00EF4250">
        <w:rPr>
          <w:rFonts w:cs="Times New Roman"/>
          <w:szCs w:val="20"/>
        </w:rPr>
        <w:t>probability</w:t>
      </w:r>
      <w:r w:rsidR="008F11D7" w:rsidRPr="00EF4250">
        <w:rPr>
          <w:rFonts w:cs="Times New Roman"/>
          <w:szCs w:val="20"/>
        </w:rPr>
        <w:t xml:space="preserve"> without MOUD. The natural recovery probability was estimated based on the per person-year remission rate for people with substance use disorder</w:t>
      </w:r>
      <w:r w:rsidR="007C3758" w:rsidRPr="00EF4250">
        <w:rPr>
          <w:rFonts w:cs="Times New Roman"/>
          <w:szCs w:val="20"/>
        </w:rPr>
        <w:t xml:space="preserve"> who did not </w:t>
      </w:r>
      <w:r w:rsidR="000E2D09" w:rsidRPr="00EF4250">
        <w:rPr>
          <w:rFonts w:cs="Times New Roman"/>
          <w:szCs w:val="20"/>
        </w:rPr>
        <w:t>receive</w:t>
      </w:r>
      <w:r w:rsidR="007C3758" w:rsidRPr="00EF4250">
        <w:rPr>
          <w:rFonts w:cs="Times New Roman"/>
          <w:szCs w:val="20"/>
        </w:rPr>
        <w:t xml:space="preserve"> MOUD, using data</w:t>
      </w:r>
      <w:r w:rsidR="008F11D7" w:rsidRPr="00EF4250">
        <w:rPr>
          <w:rFonts w:cs="Times New Roman"/>
          <w:szCs w:val="20"/>
        </w:rPr>
        <w:t xml:space="preserve"> from a meta-analysis</w:t>
      </w:r>
      <w:r w:rsidR="00A66835" w:rsidRPr="00EF4250">
        <w:rPr>
          <w:rFonts w:cs="Times New Roman"/>
          <w:szCs w:val="20"/>
        </w:rPr>
        <w:t>.</w:t>
      </w:r>
      <w:r w:rsidR="00D2313B" w:rsidRPr="00EF4250">
        <w:rPr>
          <w:rFonts w:cs="Times New Roman"/>
          <w:szCs w:val="20"/>
        </w:rPr>
        <w:fldChar w:fldCharType="begin"/>
      </w:r>
      <w:r w:rsidR="002F7FE7" w:rsidRPr="00EF4250">
        <w:rPr>
          <w:rFonts w:cs="Times New Roman"/>
          <w:szCs w:val="20"/>
        </w:rPr>
        <w:instrText xml:space="preserve"> ADDIN EN.CITE &lt;EndNote&gt;&lt;Cite&gt;&lt;Author&gt;Fleury&lt;/Author&gt;&lt;Year&gt;2016&lt;/Year&gt;&lt;RecNum&gt;134&lt;/RecNum&gt;&lt;DisplayText&gt;&lt;style face="superscript"&gt;22&lt;/style&gt;&lt;/DisplayText&gt;&lt;record&gt;&lt;rec-number&gt;134&lt;/rec-number&gt;&lt;foreign-keys&gt;&lt;key app="EN" db-id="ffv9f0td1taf24ev0z1paazh2dx55xvtwsv9" timestamp="1713388380"&gt;134&lt;/key&gt;&lt;/foreign-keys&gt;&lt;ref-type name="Journal Article"&gt;17&lt;/ref-type&gt;&lt;contributors&gt;&lt;authors&gt;&lt;author&gt;Fleury, M-J&lt;/author&gt;&lt;author&gt;Djouini, Akram&lt;/author&gt;&lt;author&gt;Huỳnh, Christophe&lt;/author&gt;&lt;author&gt;Tremblay, Joël&lt;/author&gt;&lt;author&gt;Ferland, Francine&lt;/author&gt;&lt;author&gt;Ménard, J-M&lt;/author&gt;&lt;author&gt;Belleville, Geneviève&lt;/author&gt;&lt;/authors&gt;&lt;/contributors&gt;&lt;titles&gt;&lt;title&gt;Remission from substance use disorders: A systematic review and meta-analysis&lt;/title&gt;&lt;secondary-title&gt;Drug and alcohol dependence&lt;/secondary-title&gt;&lt;/titles&gt;&lt;periodical&gt;&lt;full-title&gt;Drug Alcohol Depend&lt;/full-title&gt;&lt;abbr-1&gt;Drug and alcohol dependence&lt;/abbr-1&gt;&lt;/periodical&gt;&lt;pages&gt;293-306&lt;/pages&gt;&lt;volume&gt;168&lt;/volume&gt;&lt;dates&gt;&lt;year&gt;2016&lt;/year&gt;&lt;/dates&gt;&lt;isbn&gt;0376-8716&lt;/isbn&gt;&lt;urls&gt;&lt;/urls&gt;&lt;/record&gt;&lt;/Cite&gt;&lt;/EndNote&gt;</w:instrText>
      </w:r>
      <w:r w:rsidR="00D2313B" w:rsidRPr="00EF4250">
        <w:rPr>
          <w:rFonts w:cs="Times New Roman"/>
          <w:szCs w:val="20"/>
        </w:rPr>
        <w:fldChar w:fldCharType="separate"/>
      </w:r>
      <w:r w:rsidR="002F7FE7" w:rsidRPr="00EF4250">
        <w:rPr>
          <w:rFonts w:cs="Times New Roman"/>
          <w:noProof/>
          <w:szCs w:val="20"/>
          <w:vertAlign w:val="superscript"/>
        </w:rPr>
        <w:t>22</w:t>
      </w:r>
      <w:r w:rsidR="00D2313B" w:rsidRPr="00EF4250">
        <w:rPr>
          <w:rFonts w:cs="Times New Roman"/>
          <w:szCs w:val="20"/>
        </w:rPr>
        <w:fldChar w:fldCharType="end"/>
      </w:r>
    </w:p>
    <w:p w14:paraId="4E81E79F" w14:textId="77777777" w:rsidR="00E869B7" w:rsidRPr="00EF4250" w:rsidRDefault="00E869B7" w:rsidP="00754108">
      <w:pPr>
        <w:spacing w:after="0" w:line="276" w:lineRule="auto"/>
        <w:rPr>
          <w:rFonts w:cs="Times New Roman"/>
          <w:b/>
          <w:bCs/>
          <w:szCs w:val="20"/>
        </w:rPr>
      </w:pPr>
    </w:p>
    <w:p w14:paraId="2CBBBDFE" w14:textId="348974FF" w:rsidR="0072727C" w:rsidRPr="00EF4250" w:rsidRDefault="00251B69" w:rsidP="002F6725">
      <w:pPr>
        <w:spacing w:after="0" w:line="276" w:lineRule="auto"/>
        <w:rPr>
          <w:rFonts w:cs="Times New Roman"/>
          <w:szCs w:val="20"/>
        </w:rPr>
      </w:pPr>
      <w:r w:rsidRPr="00EF4250">
        <w:rPr>
          <w:rFonts w:cs="Times New Roman"/>
          <w:szCs w:val="20"/>
        </w:rPr>
        <w:t xml:space="preserve">Individuals in the </w:t>
      </w:r>
      <w:r w:rsidR="00FE3A4C" w:rsidRPr="00EF4250">
        <w:rPr>
          <w:rFonts w:cs="Times New Roman"/>
          <w:i/>
          <w:iCs/>
          <w:szCs w:val="20"/>
        </w:rPr>
        <w:t>R</w:t>
      </w:r>
      <w:r w:rsidRPr="00EF4250">
        <w:rPr>
          <w:rFonts w:cs="Times New Roman"/>
          <w:i/>
          <w:iCs/>
          <w:szCs w:val="20"/>
        </w:rPr>
        <w:t>ecovery</w:t>
      </w:r>
      <w:r w:rsidRPr="00EF4250">
        <w:rPr>
          <w:rFonts w:cs="Times New Roman"/>
          <w:szCs w:val="20"/>
        </w:rPr>
        <w:t xml:space="preserve"> state may relapse, transitioning to the </w:t>
      </w:r>
      <w:r w:rsidRPr="00EF4250">
        <w:rPr>
          <w:rFonts w:cs="Times New Roman"/>
          <w:i/>
          <w:iCs/>
          <w:szCs w:val="20"/>
        </w:rPr>
        <w:t>OUD</w:t>
      </w:r>
      <w:r w:rsidRPr="00EF4250">
        <w:rPr>
          <w:rFonts w:cs="Times New Roman"/>
          <w:szCs w:val="20"/>
        </w:rPr>
        <w:t xml:space="preserve"> state. </w:t>
      </w:r>
      <w:r w:rsidR="007F7781" w:rsidRPr="00EF4250">
        <w:rPr>
          <w:rFonts w:cs="Times New Roman"/>
          <w:szCs w:val="20"/>
        </w:rPr>
        <w:t xml:space="preserve">Similar to </w:t>
      </w:r>
      <w:r w:rsidR="00A264D8" w:rsidRPr="00EF4250">
        <w:rPr>
          <w:rFonts w:cs="Times New Roman"/>
          <w:szCs w:val="20"/>
        </w:rPr>
        <w:t xml:space="preserve">the </w:t>
      </w:r>
      <w:r w:rsidR="007F7781" w:rsidRPr="00EF4250">
        <w:rPr>
          <w:rFonts w:cs="Times New Roman"/>
          <w:szCs w:val="20"/>
        </w:rPr>
        <w:t>calculati</w:t>
      </w:r>
      <w:r w:rsidR="00A264D8" w:rsidRPr="00EF4250">
        <w:rPr>
          <w:rFonts w:cs="Times New Roman"/>
          <w:szCs w:val="20"/>
        </w:rPr>
        <w:t>o</w:t>
      </w:r>
      <w:r w:rsidR="007F7781" w:rsidRPr="00EF4250">
        <w:rPr>
          <w:rFonts w:cs="Times New Roman"/>
          <w:szCs w:val="20"/>
        </w:rPr>
        <w:t xml:space="preserve">n </w:t>
      </w:r>
      <w:r w:rsidR="00A264D8" w:rsidRPr="00EF4250">
        <w:rPr>
          <w:rFonts w:cs="Times New Roman"/>
          <w:szCs w:val="20"/>
        </w:rPr>
        <w:t xml:space="preserve">of the </w:t>
      </w:r>
      <w:r w:rsidR="007F7781" w:rsidRPr="00EF4250">
        <w:rPr>
          <w:rFonts w:cs="Times New Roman"/>
          <w:szCs w:val="20"/>
        </w:rPr>
        <w:t>monthly treatment discontinuation probability, t</w:t>
      </w:r>
      <w:r w:rsidR="00D12864" w:rsidRPr="00EF4250">
        <w:rPr>
          <w:rFonts w:cs="Times New Roman"/>
          <w:szCs w:val="20"/>
        </w:rPr>
        <w:t xml:space="preserve">he </w:t>
      </w:r>
      <w:r w:rsidR="007F7781" w:rsidRPr="00EF4250">
        <w:rPr>
          <w:rFonts w:cs="Times New Roman"/>
          <w:szCs w:val="20"/>
        </w:rPr>
        <w:t xml:space="preserve">probability of relapse was calculated from the baseline survival function for the </w:t>
      </w:r>
      <w:r w:rsidR="00D12864" w:rsidRPr="00EF4250">
        <w:rPr>
          <w:rFonts w:cs="Times New Roman"/>
          <w:szCs w:val="20"/>
        </w:rPr>
        <w:t xml:space="preserve">recovery duration </w:t>
      </w:r>
      <w:r w:rsidR="000D1356" w:rsidRPr="00EF4250">
        <w:rPr>
          <w:rFonts w:cs="Times New Roman"/>
          <w:szCs w:val="20"/>
        </w:rPr>
        <w:t xml:space="preserve">(i.e., time to relapse) </w:t>
      </w:r>
      <w:r w:rsidR="007F7781" w:rsidRPr="00EF4250">
        <w:rPr>
          <w:rFonts w:cs="Times New Roman"/>
          <w:szCs w:val="20"/>
        </w:rPr>
        <w:t xml:space="preserve">that </w:t>
      </w:r>
      <w:r w:rsidR="00D12864" w:rsidRPr="00EF4250">
        <w:rPr>
          <w:rFonts w:cs="Times New Roman"/>
          <w:szCs w:val="20"/>
        </w:rPr>
        <w:t>was assumed to follow a Weibull distribution</w:t>
      </w:r>
      <w:r w:rsidR="00B707EE" w:rsidRPr="00EF4250">
        <w:rPr>
          <w:rFonts w:cs="Times New Roman"/>
          <w:szCs w:val="20"/>
        </w:rPr>
        <w:t>.</w:t>
      </w:r>
      <w:r w:rsidR="000E6C54" w:rsidRPr="00EF4250">
        <w:rPr>
          <w:rFonts w:cs="Times New Roman"/>
          <w:szCs w:val="20"/>
        </w:rPr>
        <w:fldChar w:fldCharType="begin">
          <w:fldData xml:space="preserve">PEVuZE5vdGU+PENpdGU+PEF1dGhvcj5LcmViczwvQXV0aG9yPjxZZWFyPjIwMTg8L1llYXI+PFJl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==
</w:fldData>
        </w:fldChar>
      </w:r>
      <w:r w:rsidR="0037266D">
        <w:rPr>
          <w:rFonts w:cs="Times New Roman"/>
          <w:szCs w:val="20"/>
        </w:rPr>
        <w:instrText xml:space="preserve"> ADDIN EN.CITE </w:instrText>
      </w:r>
      <w:r w:rsidR="0037266D">
        <w:rPr>
          <w:rFonts w:cs="Times New Roman"/>
          <w:szCs w:val="20"/>
        </w:rPr>
        <w:fldChar w:fldCharType="begin">
          <w:fldData xml:space="preserve">PEVuZE5vdGU+PENpdGU+PEF1dGhvcj5LcmViczwvQXV0aG9yPjxZZWFyPjIwMTg8L1llYXI+PFJl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==
</w:fldData>
        </w:fldChar>
      </w:r>
      <w:r w:rsidR="0037266D">
        <w:rPr>
          <w:rFonts w:cs="Times New Roman"/>
          <w:szCs w:val="20"/>
        </w:rPr>
        <w:instrText xml:space="preserve"> ADDIN EN.CITE.DATA </w:instrText>
      </w:r>
      <w:r w:rsidR="0037266D">
        <w:rPr>
          <w:rFonts w:cs="Times New Roman"/>
          <w:szCs w:val="20"/>
        </w:rPr>
      </w:r>
      <w:r w:rsidR="0037266D">
        <w:rPr>
          <w:rFonts w:cs="Times New Roman"/>
          <w:szCs w:val="20"/>
        </w:rPr>
        <w:fldChar w:fldCharType="end"/>
      </w:r>
      <w:r w:rsidR="000E6C54" w:rsidRPr="00EF4250">
        <w:rPr>
          <w:rFonts w:cs="Times New Roman"/>
          <w:szCs w:val="20"/>
        </w:rPr>
      </w:r>
      <w:r w:rsidR="000E6C54" w:rsidRPr="00EF4250">
        <w:rPr>
          <w:rFonts w:cs="Times New Roman"/>
          <w:szCs w:val="20"/>
        </w:rPr>
        <w:fldChar w:fldCharType="separate"/>
      </w:r>
      <w:r w:rsidR="002F7FE7" w:rsidRPr="00EF4250">
        <w:rPr>
          <w:rFonts w:cs="Times New Roman"/>
          <w:noProof/>
          <w:szCs w:val="20"/>
          <w:vertAlign w:val="superscript"/>
        </w:rPr>
        <w:t>23,24</w:t>
      </w:r>
      <w:r w:rsidR="000E6C54" w:rsidRPr="00EF4250">
        <w:rPr>
          <w:rFonts w:cs="Times New Roman"/>
          <w:szCs w:val="20"/>
        </w:rPr>
        <w:fldChar w:fldCharType="end"/>
      </w:r>
      <w:r w:rsidR="00B707EE" w:rsidRPr="00EF4250">
        <w:rPr>
          <w:rFonts w:cs="Times New Roman"/>
          <w:szCs w:val="20"/>
        </w:rPr>
        <w:t xml:space="preserve"> For subsequent recovery episodes, </w:t>
      </w:r>
      <w:r w:rsidR="007F7781" w:rsidRPr="00EF4250">
        <w:rPr>
          <w:rFonts w:cs="Times New Roman"/>
          <w:szCs w:val="20"/>
        </w:rPr>
        <w:t xml:space="preserve">as </w:t>
      </w:r>
      <w:r w:rsidR="00B707EE" w:rsidRPr="00EF4250">
        <w:rPr>
          <w:rFonts w:cs="Times New Roman"/>
          <w:szCs w:val="20"/>
        </w:rPr>
        <w:t xml:space="preserve">a long-term observational study showed that the abstinence period tended to last longer in subsequent </w:t>
      </w:r>
      <w:r w:rsidR="000D1356" w:rsidRPr="00EF4250">
        <w:rPr>
          <w:rFonts w:cs="Times New Roman"/>
          <w:szCs w:val="20"/>
        </w:rPr>
        <w:t>attempts,</w:t>
      </w:r>
      <w:r w:rsidR="00AB240E" w:rsidRPr="00EF4250">
        <w:rPr>
          <w:rFonts w:cs="Times New Roman"/>
          <w:szCs w:val="20"/>
        </w:rPr>
        <w:fldChar w:fldCharType="begin">
          <w:fldData xml:space="preserve">PEVuZE5vdGU+PENpdGU+PEF1dGhvcj5Ob3N5azwvQXV0aG9yPjxZZWFyPjIwMTM8L1llYXI+PFJl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</w:fldData>
        </w:fldChar>
      </w:r>
      <w:r w:rsidR="002F7FE7" w:rsidRPr="00EF4250">
        <w:rPr>
          <w:rFonts w:cs="Times New Roman"/>
          <w:szCs w:val="20"/>
        </w:rPr>
        <w:instrText xml:space="preserve"> ADDIN EN.CITE </w:instrText>
      </w:r>
      <w:r w:rsidR="002F7FE7" w:rsidRPr="00EF4250">
        <w:rPr>
          <w:rFonts w:cs="Times New Roman"/>
          <w:szCs w:val="20"/>
        </w:rPr>
        <w:fldChar w:fldCharType="begin">
          <w:fldData xml:space="preserve">PEVuZE5vdGU+PENpdGU+PEF1dGhvcj5Ob3N5azwvQXV0aG9yPjxZZWFyPjIwMTM8L1llYXI+PFJl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</w:fldData>
        </w:fldChar>
      </w:r>
      <w:r w:rsidR="002F7FE7" w:rsidRPr="00EF4250">
        <w:rPr>
          <w:rFonts w:cs="Times New Roman"/>
          <w:szCs w:val="20"/>
        </w:rPr>
        <w:instrText xml:space="preserve"> ADDIN EN.CITE.DATA </w:instrText>
      </w:r>
      <w:r w:rsidR="002F7FE7" w:rsidRPr="00EF4250">
        <w:rPr>
          <w:rFonts w:cs="Times New Roman"/>
          <w:szCs w:val="20"/>
        </w:rPr>
      </w:r>
      <w:r w:rsidR="002F7FE7" w:rsidRPr="00EF4250">
        <w:rPr>
          <w:rFonts w:cs="Times New Roman"/>
          <w:szCs w:val="20"/>
        </w:rPr>
        <w:fldChar w:fldCharType="end"/>
      </w:r>
      <w:r w:rsidR="00AB240E" w:rsidRPr="00EF4250">
        <w:rPr>
          <w:rFonts w:cs="Times New Roman"/>
          <w:szCs w:val="20"/>
        </w:rPr>
      </w:r>
      <w:r w:rsidR="00AB240E" w:rsidRPr="00EF4250">
        <w:rPr>
          <w:rFonts w:cs="Times New Roman"/>
          <w:szCs w:val="20"/>
        </w:rPr>
        <w:fldChar w:fldCharType="separate"/>
      </w:r>
      <w:r w:rsidR="002F7FE7" w:rsidRPr="00EF4250">
        <w:rPr>
          <w:rFonts w:cs="Times New Roman"/>
          <w:noProof/>
          <w:szCs w:val="20"/>
          <w:vertAlign w:val="superscript"/>
        </w:rPr>
        <w:t>25</w:t>
      </w:r>
      <w:r w:rsidR="00AB240E" w:rsidRPr="00EF4250">
        <w:rPr>
          <w:rFonts w:cs="Times New Roman"/>
          <w:szCs w:val="20"/>
        </w:rPr>
        <w:fldChar w:fldCharType="end"/>
      </w:r>
      <w:r w:rsidR="000D1356" w:rsidRPr="00EF4250">
        <w:rPr>
          <w:rFonts w:cs="Times New Roman"/>
          <w:szCs w:val="20"/>
        </w:rPr>
        <w:t xml:space="preserve"> we adjusted the survival function for time to relapse with hazard ratio</w:t>
      </w:r>
      <w:r w:rsidR="0031316B" w:rsidRPr="00EF4250">
        <w:rPr>
          <w:rFonts w:cs="Times New Roman"/>
          <w:szCs w:val="20"/>
        </w:rPr>
        <w:t xml:space="preserve"> </w:t>
      </w:r>
      <m:oMath>
        <m:r>
          <w:rPr>
            <w:rFonts w:ascii="Cambria Math" w:hAnsi="Cambria Math" w:cs="Times New Roman"/>
            <w:szCs w:val="20"/>
          </w:rPr>
          <m:t>H</m:t>
        </m:r>
        <m:sSubSup>
          <m:sSubSupPr>
            <m:ctrlPr>
              <w:rPr>
                <w:rFonts w:ascii="Cambria Math" w:hAnsi="Cambria Math" w:cs="Times New Roman"/>
                <w:i/>
                <w:szCs w:val="20"/>
              </w:rPr>
            </m:ctrlPr>
          </m:sSubSupPr>
          <m:e>
            <m:r>
              <w:rPr>
                <w:rFonts w:ascii="Cambria Math" w:hAnsi="Cambria Math" w:cs="Times New Roman"/>
                <w:szCs w:val="20"/>
              </w:rPr>
              <m:t>R</m:t>
            </m:r>
          </m:e>
          <m:sub>
            <m:r>
              <w:rPr>
                <w:rFonts w:ascii="Cambria Math" w:hAnsi="Cambria Math" w:cs="Times New Roman"/>
                <w:szCs w:val="20"/>
              </w:rPr>
              <m:t>n</m:t>
            </m:r>
          </m:sub>
          <m:sup>
            <m:r>
              <w:rPr>
                <w:rFonts w:ascii="Cambria Math" w:hAnsi="Cambria Math" w:cs="Times New Roman"/>
                <w:szCs w:val="20"/>
              </w:rPr>
              <m:t>r</m:t>
            </m:r>
          </m:sup>
        </m:sSubSup>
      </m:oMath>
      <w:r w:rsidR="0031316B" w:rsidRPr="00EF4250">
        <w:rPr>
          <w:rFonts w:cs="Times New Roman"/>
          <w:szCs w:val="20"/>
        </w:rPr>
        <w:t xml:space="preserve"> by the number of completed treatment episode</w:t>
      </w:r>
      <w:r w:rsidR="00A264D8" w:rsidRPr="00EF4250">
        <w:rPr>
          <w:rFonts w:cs="Times New Roman"/>
          <w:szCs w:val="20"/>
        </w:rPr>
        <w:t>s</w:t>
      </w:r>
      <w:r w:rsidR="0031316B" w:rsidRPr="00EF4250">
        <w:rPr>
          <w:rFonts w:cs="Times New Roman"/>
          <w:szCs w:val="20"/>
        </w:rPr>
        <w:t>.</w:t>
      </w:r>
      <w:r w:rsidR="00AB240E" w:rsidRPr="00EF4250">
        <w:rPr>
          <w:rFonts w:cs="Times New Roman"/>
          <w:szCs w:val="20"/>
        </w:rPr>
        <w:fldChar w:fldCharType="begin"/>
      </w:r>
      <w:r w:rsidR="002F7FE7" w:rsidRPr="00EF4250">
        <w:rPr>
          <w:rFonts w:cs="Times New Roman"/>
          <w:szCs w:val="20"/>
        </w:rPr>
        <w:instrText xml:space="preserve"> ADDIN EN.CITE &lt;EndNote&gt;&lt;Cite&gt;&lt;Author&gt;Nosyk&lt;/Author&gt;&lt;Year&gt;2009&lt;/Year&gt;&lt;RecNum&gt;21&lt;/RecNum&gt;&lt;DisplayText&gt;&lt;style face="superscript"&gt;26&lt;/style&gt;&lt;/DisplayText&gt;&lt;record&gt;&lt;rec-number&gt;21&lt;/rec-number&gt;&lt;foreign-keys&gt;&lt;key app="EN" db-id="ffv9f0td1taf24ev0z1paazh2dx55xvtwsv9" timestamp="1705003970"&gt;21&lt;/key&gt;&lt;/foreign-keys&gt;&lt;ref-type name="Journal Article"&gt;17&lt;/ref-type&gt;&lt;contributors&gt;&lt;authors&gt;&lt;author&gt;Nosyk, Bohdan&lt;/author&gt;&lt;author&gt;MacNab, Ying C.&lt;/author&gt;&lt;author&gt;Sun, Huiying&lt;/author&gt;&lt;author&gt;Fischer, Benedikt&lt;/author&gt;&lt;author&gt;Marsh, David C.&lt;/author&gt;&lt;author&gt;Schechter, Martin T.&lt;/author&gt;&lt;author&gt;Anis, Aslam H.&lt;/author&gt;&lt;/authors&gt;&lt;/contributors&gt;&lt;titles&gt;&lt;title&gt;Proportional Hazards Frailty Models for Recurrent Methadone Maintenance Treatment&lt;/title&gt;&lt;secondary-title&gt;American Journal of Epidemiology&lt;/secondary-title&gt;&lt;/titles&gt;&lt;periodical&gt;&lt;full-title&gt;American Journal of Epidemiology&lt;/full-title&gt;&lt;/periodical&gt;&lt;pages&gt;783-792&lt;/pages&gt;&lt;volume&gt;170&lt;/volume&gt;&lt;number&gt;6&lt;/number&gt;&lt;dates&gt;&lt;year&gt;2009&lt;/year&gt;&lt;/dates&gt;&lt;isbn&gt;0002-9262&lt;/isbn&gt;&lt;urls&gt;&lt;related-urls&gt;&lt;url&gt;https://doi.org/10.1093/aje/kwp186&lt;/url&gt;&lt;/related-urls&gt;&lt;/urls&gt;&lt;electronic-resource-num&gt;10.1093/aje/kwp186&lt;/electronic-resource-num&gt;&lt;access-date&gt;4/24/2023&lt;/access-date&gt;&lt;/record&gt;&lt;/Cite&gt;&lt;/EndNote&gt;</w:instrText>
      </w:r>
      <w:r w:rsidR="00AB240E" w:rsidRPr="00EF4250">
        <w:rPr>
          <w:rFonts w:cs="Times New Roman"/>
          <w:szCs w:val="20"/>
        </w:rPr>
        <w:fldChar w:fldCharType="separate"/>
      </w:r>
      <w:r w:rsidR="002F7FE7" w:rsidRPr="00EF4250">
        <w:rPr>
          <w:rFonts w:cs="Times New Roman"/>
          <w:noProof/>
          <w:szCs w:val="20"/>
          <w:vertAlign w:val="superscript"/>
        </w:rPr>
        <w:t>26</w:t>
      </w:r>
      <w:r w:rsidR="00AB240E" w:rsidRPr="00EF4250">
        <w:rPr>
          <w:rFonts w:cs="Times New Roman"/>
          <w:szCs w:val="20"/>
        </w:rPr>
        <w:fldChar w:fldCharType="end"/>
      </w:r>
      <w:r w:rsidR="0031316B" w:rsidRPr="00EF4250">
        <w:rPr>
          <w:rFonts w:cs="Times New Roman"/>
          <w:szCs w:val="20"/>
        </w:rPr>
        <w:t xml:space="preserve"> </w:t>
      </w:r>
      <w:r w:rsidR="001E6755" w:rsidRPr="00EF4250">
        <w:rPr>
          <w:rFonts w:cs="Times New Roman"/>
          <w:szCs w:val="20"/>
          <w:lang w:eastAsia="zh-CN"/>
        </w:rPr>
        <w:t xml:space="preserve"> All parameter values are presented in </w:t>
      </w:r>
      <w:r w:rsidR="0058100D" w:rsidRPr="0058100D">
        <w:rPr>
          <w:rFonts w:cs="Times New Roman"/>
          <w:b/>
          <w:bCs/>
          <w:szCs w:val="20"/>
          <w:lang w:eastAsia="zh-CN"/>
        </w:rPr>
        <w:t>Supplement S1.6 (</w:t>
      </w:r>
      <w:r w:rsidR="00A87FBF" w:rsidRPr="00626C29">
        <w:rPr>
          <w:b/>
          <w:szCs w:val="20"/>
        </w:rPr>
        <w:t xml:space="preserve">Supplementary </w:t>
      </w:r>
      <w:r w:rsidR="001E6755" w:rsidRPr="0058100D">
        <w:rPr>
          <w:rFonts w:cs="Times New Roman"/>
          <w:b/>
          <w:bCs/>
          <w:szCs w:val="20"/>
          <w:lang w:eastAsia="zh-CN"/>
        </w:rPr>
        <w:t xml:space="preserve">Table </w:t>
      </w:r>
      <w:r w:rsidR="0058100D">
        <w:rPr>
          <w:rFonts w:cs="Times New Roman"/>
          <w:b/>
          <w:bCs/>
          <w:szCs w:val="20"/>
          <w:lang w:eastAsia="zh-CN"/>
        </w:rPr>
        <w:t>16</w:t>
      </w:r>
      <w:r w:rsidR="0058100D" w:rsidRPr="0058100D">
        <w:rPr>
          <w:rFonts w:cs="Times New Roman"/>
          <w:b/>
          <w:bCs/>
          <w:szCs w:val="20"/>
          <w:lang w:eastAsia="zh-CN"/>
        </w:rPr>
        <w:t>)</w:t>
      </w:r>
      <w:r w:rsidR="001E6755" w:rsidRPr="00EF4250">
        <w:rPr>
          <w:rFonts w:cs="Times New Roman"/>
          <w:szCs w:val="20"/>
          <w:lang w:eastAsia="zh-CN"/>
        </w:rPr>
        <w:t>.</w:t>
      </w:r>
    </w:p>
    <w:p w14:paraId="449EFADA" w14:textId="77777777" w:rsidR="0072727C" w:rsidRPr="00EF4250" w:rsidRDefault="0072727C" w:rsidP="002F6725">
      <w:pPr>
        <w:spacing w:after="0" w:line="276" w:lineRule="auto"/>
        <w:rPr>
          <w:rFonts w:cs="Times New Roman"/>
          <w:szCs w:val="20"/>
        </w:rPr>
      </w:pPr>
    </w:p>
    <w:p w14:paraId="32B34B87" w14:textId="6C626881" w:rsidR="00AD7F33" w:rsidRPr="00D2239A" w:rsidRDefault="00AD7F33" w:rsidP="00363E8B">
      <w:pPr>
        <w:pStyle w:val="Heading1"/>
      </w:pPr>
      <w:bookmarkStart w:id="30" w:name="_Toc206680994"/>
      <w:bookmarkStart w:id="31" w:name="_Toc226020684"/>
      <w:r w:rsidRPr="00D2239A">
        <w:t>S1.</w:t>
      </w:r>
      <w:r w:rsidR="008D2CEC" w:rsidRPr="00D2239A">
        <w:t>4</w:t>
      </w:r>
      <w:r w:rsidRPr="00D2239A">
        <w:t xml:space="preserve">. </w:t>
      </w:r>
      <w:r w:rsidR="0094246A" w:rsidRPr="00D2239A">
        <w:t>Mortality</w:t>
      </w:r>
      <w:r w:rsidR="005F56CF" w:rsidRPr="00D2239A">
        <w:t xml:space="preserve"> </w:t>
      </w:r>
      <w:r w:rsidR="00224A79" w:rsidRPr="00D2239A">
        <w:t>estimates</w:t>
      </w:r>
      <w:bookmarkEnd w:id="30"/>
      <w:bookmarkEnd w:id="31"/>
      <w:r w:rsidR="00620D57" w:rsidRPr="00D2239A">
        <w:t xml:space="preserve"> </w:t>
      </w:r>
    </w:p>
    <w:p w14:paraId="2447A4D7" w14:textId="3627F821" w:rsidR="004F3B30" w:rsidRPr="00D2239A" w:rsidRDefault="004F3B30" w:rsidP="00D94C5E">
      <w:pPr>
        <w:pStyle w:val="Heading2"/>
        <w:rPr>
          <w:rFonts w:cs="Times New Roman"/>
          <w:lang w:eastAsia="zh-CN"/>
        </w:rPr>
      </w:pPr>
      <w:bookmarkStart w:id="32" w:name="_Toc206680995"/>
      <w:bookmarkStart w:id="33" w:name="_Toc226020685"/>
      <w:r w:rsidRPr="00D2239A">
        <w:rPr>
          <w:rFonts w:cs="Times New Roman"/>
          <w:lang w:eastAsia="zh-CN"/>
        </w:rPr>
        <w:t>S1.4.1</w:t>
      </w:r>
      <w:r w:rsidR="00AD022A">
        <w:rPr>
          <w:rFonts w:cs="Times New Roman"/>
          <w:lang w:eastAsia="zh-CN"/>
        </w:rPr>
        <w:t>.</w:t>
      </w:r>
      <w:r w:rsidRPr="00D2239A">
        <w:rPr>
          <w:rFonts w:cs="Times New Roman"/>
          <w:lang w:eastAsia="zh-CN"/>
        </w:rPr>
        <w:t xml:space="preserve"> </w:t>
      </w:r>
      <w:r w:rsidR="0053409C" w:rsidRPr="00D2239A">
        <w:rPr>
          <w:rFonts w:cs="Times New Roman"/>
          <w:lang w:eastAsia="zh-CN"/>
        </w:rPr>
        <w:t>Opioid overdose mortality</w:t>
      </w:r>
      <w:bookmarkEnd w:id="32"/>
      <w:bookmarkEnd w:id="33"/>
    </w:p>
    <w:p w14:paraId="070BB33F" w14:textId="2FDB3C92" w:rsidR="006153A2" w:rsidRPr="00EF4250" w:rsidRDefault="004D029F" w:rsidP="00754108">
      <w:pPr>
        <w:spacing w:after="0" w:line="276" w:lineRule="auto"/>
        <w:rPr>
          <w:rFonts w:cs="Times New Roman"/>
          <w:szCs w:val="20"/>
          <w:lang w:eastAsia="zh-CN"/>
        </w:rPr>
      </w:pPr>
      <w:r w:rsidRPr="00EF4250">
        <w:rPr>
          <w:rFonts w:cs="Times New Roman"/>
          <w:szCs w:val="20"/>
          <w:lang w:eastAsia="zh-CN"/>
        </w:rPr>
        <w:t xml:space="preserve">The probability </w:t>
      </w:r>
      <w:r w:rsidR="00F945DC" w:rsidRPr="00EF4250">
        <w:rPr>
          <w:rFonts w:cs="Times New Roman"/>
          <w:szCs w:val="20"/>
          <w:lang w:eastAsia="zh-CN"/>
        </w:rPr>
        <w:t xml:space="preserve">that </w:t>
      </w:r>
      <w:r w:rsidRPr="00EF4250">
        <w:rPr>
          <w:rFonts w:cs="Times New Roman"/>
          <w:szCs w:val="20"/>
          <w:lang w:eastAsia="zh-CN"/>
        </w:rPr>
        <w:t xml:space="preserve">an individual </w:t>
      </w:r>
      <w:r w:rsidR="00F945DC" w:rsidRPr="00EF4250">
        <w:rPr>
          <w:rFonts w:cs="Times New Roman"/>
          <w:szCs w:val="20"/>
          <w:lang w:eastAsia="zh-CN"/>
        </w:rPr>
        <w:t xml:space="preserve">would </w:t>
      </w:r>
      <w:r w:rsidRPr="00EF4250">
        <w:rPr>
          <w:rFonts w:cs="Times New Roman"/>
          <w:szCs w:val="20"/>
          <w:lang w:eastAsia="zh-CN"/>
        </w:rPr>
        <w:t>experienc</w:t>
      </w:r>
      <w:r w:rsidR="00F945DC" w:rsidRPr="00EF4250">
        <w:rPr>
          <w:rFonts w:cs="Times New Roman"/>
          <w:szCs w:val="20"/>
          <w:lang w:eastAsia="zh-CN"/>
        </w:rPr>
        <w:t>e</w:t>
      </w:r>
      <w:r w:rsidRPr="00EF4250">
        <w:rPr>
          <w:rFonts w:cs="Times New Roman"/>
          <w:szCs w:val="20"/>
          <w:lang w:eastAsia="zh-CN"/>
        </w:rPr>
        <w:t xml:space="preserve"> death </w:t>
      </w:r>
      <w:r w:rsidR="00F945DC" w:rsidRPr="00EF4250">
        <w:rPr>
          <w:rFonts w:cs="Times New Roman"/>
          <w:szCs w:val="20"/>
          <w:lang w:eastAsia="zh-CN"/>
        </w:rPr>
        <w:t xml:space="preserve">from an overdose </w:t>
      </w:r>
      <w:r w:rsidRPr="00EF4250">
        <w:rPr>
          <w:rFonts w:cs="Times New Roman"/>
          <w:szCs w:val="20"/>
          <w:lang w:eastAsia="zh-CN"/>
        </w:rPr>
        <w:t>depended on multiple parameters along the opioid overdose pathway (</w:t>
      </w:r>
      <w:r w:rsidR="00A87FBF" w:rsidRPr="00626C29">
        <w:rPr>
          <w:b/>
          <w:szCs w:val="20"/>
        </w:rPr>
        <w:t xml:space="preserve">Supplementary </w:t>
      </w:r>
      <w:r w:rsidRPr="00EF4250">
        <w:rPr>
          <w:rFonts w:cs="Times New Roman"/>
          <w:b/>
          <w:bCs/>
          <w:szCs w:val="20"/>
          <w:lang w:eastAsia="zh-CN"/>
        </w:rPr>
        <w:t xml:space="preserve">Figure </w:t>
      </w:r>
      <w:r w:rsidR="000F2EA6" w:rsidRPr="00EF4250">
        <w:rPr>
          <w:rFonts w:cs="Times New Roman"/>
          <w:b/>
          <w:bCs/>
          <w:szCs w:val="20"/>
          <w:lang w:eastAsia="zh-CN"/>
        </w:rPr>
        <w:t>1</w:t>
      </w:r>
      <w:r w:rsidRPr="00EF4250">
        <w:rPr>
          <w:rFonts w:cs="Times New Roman"/>
          <w:szCs w:val="20"/>
          <w:lang w:eastAsia="zh-CN"/>
        </w:rPr>
        <w:t>)</w:t>
      </w:r>
      <w:r w:rsidR="00EB2A13" w:rsidRPr="00EF4250">
        <w:rPr>
          <w:rFonts w:cs="Times New Roman"/>
          <w:szCs w:val="20"/>
          <w:lang w:eastAsia="zh-CN"/>
        </w:rPr>
        <w:t>,</w:t>
      </w:r>
      <w:r w:rsidRPr="00EF4250">
        <w:rPr>
          <w:rFonts w:cs="Times New Roman"/>
          <w:szCs w:val="20"/>
          <w:lang w:eastAsia="zh-CN"/>
        </w:rPr>
        <w:t xml:space="preserve"> including the </w:t>
      </w:r>
      <w:r w:rsidR="006153A2" w:rsidRPr="00EF4250">
        <w:rPr>
          <w:rFonts w:cs="Times New Roman"/>
          <w:szCs w:val="20"/>
          <w:lang w:eastAsia="zh-CN"/>
        </w:rPr>
        <w:t xml:space="preserve">overdose </w:t>
      </w:r>
      <w:r w:rsidRPr="00EF4250">
        <w:rPr>
          <w:rFonts w:cs="Times New Roman"/>
          <w:szCs w:val="20"/>
          <w:lang w:eastAsia="zh-CN"/>
        </w:rPr>
        <w:t xml:space="preserve">probability, the probability of the overdose being witnessed, and the probability of the overdose being fatal (depending on whether it </w:t>
      </w:r>
      <w:r w:rsidR="00F945DC" w:rsidRPr="00EF4250">
        <w:rPr>
          <w:rFonts w:cs="Times New Roman"/>
          <w:szCs w:val="20"/>
          <w:lang w:eastAsia="zh-CN"/>
        </w:rPr>
        <w:t xml:space="preserve">was </w:t>
      </w:r>
      <w:r w:rsidRPr="00EF4250">
        <w:rPr>
          <w:rFonts w:cs="Times New Roman"/>
          <w:szCs w:val="20"/>
          <w:lang w:eastAsia="zh-CN"/>
        </w:rPr>
        <w:t xml:space="preserve">witnessed). </w:t>
      </w:r>
      <w:r w:rsidR="00D9708F" w:rsidRPr="00EF4250">
        <w:rPr>
          <w:rFonts w:cs="Times New Roman"/>
          <w:szCs w:val="20"/>
          <w:lang w:eastAsia="zh-CN"/>
        </w:rPr>
        <w:t xml:space="preserve">All parameter values are presented in </w:t>
      </w:r>
      <w:r w:rsidR="0058100D" w:rsidRPr="0058100D">
        <w:rPr>
          <w:rFonts w:cs="Times New Roman"/>
          <w:b/>
          <w:bCs/>
          <w:szCs w:val="20"/>
          <w:lang w:eastAsia="zh-CN"/>
        </w:rPr>
        <w:t>Supplement S1.6 (</w:t>
      </w:r>
      <w:r w:rsidR="00A87FBF" w:rsidRPr="00626C29">
        <w:rPr>
          <w:b/>
          <w:szCs w:val="20"/>
        </w:rPr>
        <w:t xml:space="preserve">Supplementary </w:t>
      </w:r>
      <w:r w:rsidR="0058100D" w:rsidRPr="0058100D">
        <w:rPr>
          <w:rFonts w:cs="Times New Roman"/>
          <w:b/>
          <w:bCs/>
          <w:szCs w:val="20"/>
          <w:lang w:eastAsia="zh-CN"/>
        </w:rPr>
        <w:t xml:space="preserve">Table </w:t>
      </w:r>
      <w:r w:rsidR="0058100D">
        <w:rPr>
          <w:rFonts w:cs="Times New Roman"/>
          <w:b/>
          <w:bCs/>
          <w:szCs w:val="20"/>
          <w:lang w:eastAsia="zh-CN"/>
        </w:rPr>
        <w:t>16</w:t>
      </w:r>
      <w:r w:rsidR="0058100D" w:rsidRPr="0058100D">
        <w:rPr>
          <w:rFonts w:cs="Times New Roman"/>
          <w:b/>
          <w:bCs/>
          <w:szCs w:val="20"/>
          <w:lang w:eastAsia="zh-CN"/>
        </w:rPr>
        <w:t>)</w:t>
      </w:r>
      <w:r w:rsidR="00D9708F" w:rsidRPr="00EF4250">
        <w:rPr>
          <w:rFonts w:cs="Times New Roman"/>
          <w:szCs w:val="20"/>
          <w:lang w:eastAsia="zh-CN"/>
        </w:rPr>
        <w:t>.</w:t>
      </w:r>
      <w:r w:rsidR="00D9708F" w:rsidRPr="00EF4250">
        <w:rPr>
          <w:rFonts w:cs="Times New Roman"/>
          <w:b/>
          <w:bCs/>
          <w:szCs w:val="20"/>
          <w:lang w:eastAsia="zh-CN"/>
        </w:rPr>
        <w:t xml:space="preserve"> </w:t>
      </w:r>
      <w:r w:rsidR="00DE5D62" w:rsidRPr="00EF4250">
        <w:rPr>
          <w:rFonts w:cs="Times New Roman"/>
          <w:szCs w:val="20"/>
          <w:lang w:eastAsia="zh-CN"/>
        </w:rPr>
        <w:t>T</w:t>
      </w:r>
      <w:r w:rsidRPr="00EF4250">
        <w:rPr>
          <w:rFonts w:cs="Times New Roman"/>
          <w:szCs w:val="20"/>
          <w:lang w:eastAsia="zh-CN"/>
        </w:rPr>
        <w:t xml:space="preserve">he </w:t>
      </w:r>
      <w:r w:rsidR="00F945DC" w:rsidRPr="00EF4250">
        <w:rPr>
          <w:rFonts w:cs="Times New Roman"/>
          <w:szCs w:val="20"/>
          <w:lang w:eastAsia="zh-CN"/>
        </w:rPr>
        <w:t xml:space="preserve">probability of the </w:t>
      </w:r>
      <w:r w:rsidR="00BB2A53" w:rsidRPr="00EF4250">
        <w:rPr>
          <w:rFonts w:cs="Times New Roman"/>
          <w:szCs w:val="20"/>
          <w:lang w:eastAsia="zh-CN"/>
        </w:rPr>
        <w:t xml:space="preserve">overdose </w:t>
      </w:r>
      <w:r w:rsidR="00F945DC" w:rsidRPr="00EF4250">
        <w:rPr>
          <w:rFonts w:cs="Times New Roman"/>
          <w:szCs w:val="20"/>
          <w:lang w:eastAsia="zh-CN"/>
        </w:rPr>
        <w:t xml:space="preserve">being </w:t>
      </w:r>
      <w:r w:rsidRPr="00EF4250">
        <w:rPr>
          <w:rFonts w:cs="Times New Roman"/>
          <w:szCs w:val="20"/>
          <w:lang w:eastAsia="zh-CN"/>
        </w:rPr>
        <w:t>witness</w:t>
      </w:r>
      <w:r w:rsidR="00F945DC" w:rsidRPr="00EF4250">
        <w:rPr>
          <w:rFonts w:cs="Times New Roman"/>
          <w:szCs w:val="20"/>
          <w:lang w:eastAsia="zh-CN"/>
        </w:rPr>
        <w:t>ed</w:t>
      </w:r>
      <w:r w:rsidR="00DE5D62" w:rsidRPr="00EF4250">
        <w:rPr>
          <w:rFonts w:cs="Times New Roman"/>
          <w:szCs w:val="20"/>
          <w:lang w:eastAsia="zh-CN"/>
        </w:rPr>
        <w:t xml:space="preserve"> was</w:t>
      </w:r>
      <w:r w:rsidR="006153A2" w:rsidRPr="00EF4250">
        <w:rPr>
          <w:rFonts w:cs="Times New Roman"/>
          <w:szCs w:val="20"/>
          <w:lang w:eastAsia="zh-CN"/>
        </w:rPr>
        <w:t xml:space="preserve"> based on estimates from </w:t>
      </w:r>
      <w:r w:rsidR="00D30407" w:rsidRPr="00EF4250">
        <w:rPr>
          <w:rFonts w:cs="Times New Roman"/>
          <w:szCs w:val="20"/>
          <w:lang w:eastAsia="zh-CN"/>
        </w:rPr>
        <w:t xml:space="preserve">Zang </w:t>
      </w:r>
      <w:r w:rsidR="00D30407" w:rsidRPr="00EF4250">
        <w:rPr>
          <w:rFonts w:cs="Times New Roman"/>
          <w:i/>
          <w:iCs/>
          <w:szCs w:val="20"/>
          <w:lang w:eastAsia="zh-CN"/>
        </w:rPr>
        <w:t>et al.</w:t>
      </w:r>
      <w:r w:rsidR="00D30407" w:rsidRPr="00EF4250">
        <w:rPr>
          <w:rFonts w:cs="Times New Roman"/>
          <w:szCs w:val="20"/>
          <w:lang w:eastAsia="zh-CN"/>
        </w:rPr>
        <w:t xml:space="preserve"> (2022)</w:t>
      </w:r>
      <w:r w:rsidR="00D30407" w:rsidRPr="00EF4250">
        <w:rPr>
          <w:rFonts w:cs="Times New Roman"/>
          <w:szCs w:val="20"/>
          <w:lang w:eastAsia="zh-CN"/>
        </w:rPr>
        <w:fldChar w:fldCharType="begin"/>
      </w:r>
      <w:r w:rsidR="002F7FE7" w:rsidRPr="00EF4250">
        <w:rPr>
          <w:rFonts w:cs="Times New Roman"/>
          <w:szCs w:val="20"/>
          <w:lang w:eastAsia="zh-CN"/>
        </w:rPr>
        <w:instrText xml:space="preserve"> ADDIN EN.CITE &lt;EndNote&gt;&lt;Cite&gt;&lt;Author&gt;Zang&lt;/Author&gt;&lt;Year&gt;2022&lt;/Year&gt;&lt;RecNum&gt;136&lt;/RecNum&gt;&lt;DisplayText&gt;&lt;style face="superscript"&gt;27&lt;/style&gt;&lt;/DisplayText&gt;&lt;record&gt;&lt;rec-number&gt;136&lt;/rec-number&gt;&lt;foreign-keys&gt;&lt;key app="EN" db-id="ffv9f0td1taf24ev0z1paazh2dx55xvtwsv9" timestamp="1713388380"&gt;136&lt;/key&gt;&lt;/foreign-keys&gt;&lt;ref-type name="Journal Article"&gt;17&lt;/ref-type&gt;&lt;contributors&gt;&lt;authors&gt;&lt;author&gt;Zang, Xiao&lt;/author&gt;&lt;author&gt;Bessey, Sam E&lt;/author&gt;&lt;author&gt;Krieger, Maxwell S&lt;/author&gt;&lt;author&gt;Hallowell, Benjamin D&lt;/author&gt;&lt;author&gt;Koziol, Jennifer A&lt;/author&gt;&lt;author&gt;Nolen, Shayla&lt;/author&gt;&lt;author&gt;Behrends, Czarina N&lt;/author&gt;&lt;author&gt;Murphy, Sean M&lt;/author&gt;&lt;author&gt;Walley, Alexander Y&lt;/author&gt;&lt;author&gt;Linas, Benjamin P&lt;/author&gt;&lt;/authors&gt;&lt;/contributors&gt;&lt;titles&gt;&lt;title&gt;Comparing projected fatal overdose outcomes and costs of strategies to expand community-based distribution of naloxone in Rhode Island&lt;/title&gt;&lt;secondary-title&gt;JAMA Network Open&lt;/secondary-title&gt;&lt;/titles&gt;&lt;periodical&gt;&lt;full-title&gt;JAMA Network Open&lt;/full-title&gt;&lt;/periodical&gt;&lt;pages&gt;e2241174-e2241174&lt;/pages&gt;&lt;volume&gt;5&lt;/volume&gt;&lt;number&gt;11&lt;/number&gt;&lt;dates&gt;&lt;year&gt;2022&lt;/year&gt;&lt;/dates&gt;&lt;urls&gt;&lt;/urls&gt;&lt;/record&gt;&lt;/Cite&gt;&lt;/EndNote&gt;</w:instrText>
      </w:r>
      <w:r w:rsidR="00D30407" w:rsidRPr="00EF4250">
        <w:rPr>
          <w:rFonts w:cs="Times New Roman"/>
          <w:szCs w:val="20"/>
          <w:lang w:eastAsia="zh-CN"/>
        </w:rPr>
        <w:fldChar w:fldCharType="separate"/>
      </w:r>
      <w:r w:rsidR="002F7FE7" w:rsidRPr="00EF4250">
        <w:rPr>
          <w:rFonts w:cs="Times New Roman"/>
          <w:noProof/>
          <w:szCs w:val="20"/>
          <w:vertAlign w:val="superscript"/>
          <w:lang w:eastAsia="zh-CN"/>
        </w:rPr>
        <w:t>27</w:t>
      </w:r>
      <w:r w:rsidR="00D30407" w:rsidRPr="00EF4250">
        <w:rPr>
          <w:rFonts w:cs="Times New Roman"/>
          <w:szCs w:val="20"/>
          <w:lang w:eastAsia="zh-CN"/>
        </w:rPr>
        <w:fldChar w:fldCharType="end"/>
      </w:r>
      <w:r w:rsidR="006153A2" w:rsidRPr="00EF4250">
        <w:rPr>
          <w:rFonts w:cs="Times New Roman"/>
          <w:szCs w:val="20"/>
          <w:lang w:eastAsia="zh-CN"/>
        </w:rPr>
        <w:t>,</w:t>
      </w:r>
      <w:r w:rsidR="00DE5D62" w:rsidRPr="00EF4250">
        <w:rPr>
          <w:rFonts w:cs="Times New Roman"/>
          <w:szCs w:val="20"/>
          <w:lang w:eastAsia="zh-CN"/>
        </w:rPr>
        <w:t xml:space="preserve"> and the other</w:t>
      </w:r>
      <w:r w:rsidR="00F945DC" w:rsidRPr="00EF4250">
        <w:rPr>
          <w:rFonts w:cs="Times New Roman"/>
          <w:szCs w:val="20"/>
          <w:lang w:eastAsia="zh-CN"/>
        </w:rPr>
        <w:t xml:space="preserve"> </w:t>
      </w:r>
      <w:r w:rsidR="00CD2C74" w:rsidRPr="00EF4250">
        <w:rPr>
          <w:rFonts w:cs="Times New Roman"/>
          <w:szCs w:val="20"/>
          <w:lang w:eastAsia="zh-CN"/>
        </w:rPr>
        <w:t xml:space="preserve">two </w:t>
      </w:r>
      <w:r w:rsidR="006153A2" w:rsidRPr="00EF4250">
        <w:rPr>
          <w:rFonts w:cs="Times New Roman"/>
          <w:szCs w:val="20"/>
          <w:lang w:eastAsia="zh-CN"/>
        </w:rPr>
        <w:t>probabilit</w:t>
      </w:r>
      <w:r w:rsidR="00DE5D62" w:rsidRPr="00EF4250">
        <w:rPr>
          <w:rFonts w:cs="Times New Roman"/>
          <w:szCs w:val="20"/>
          <w:lang w:eastAsia="zh-CN"/>
        </w:rPr>
        <w:t xml:space="preserve">y parameters </w:t>
      </w:r>
      <w:r w:rsidR="00CD2C74" w:rsidRPr="00EF4250">
        <w:rPr>
          <w:rFonts w:cs="Times New Roman"/>
          <w:szCs w:val="20"/>
          <w:lang w:eastAsia="zh-CN"/>
        </w:rPr>
        <w:t>were determined as follows:</w:t>
      </w:r>
      <w:r w:rsidR="006153A2" w:rsidRPr="00EF4250">
        <w:rPr>
          <w:rFonts w:cs="Times New Roman"/>
          <w:szCs w:val="20"/>
          <w:lang w:eastAsia="zh-CN"/>
        </w:rPr>
        <w:t xml:space="preserve"> </w:t>
      </w:r>
    </w:p>
    <w:p w14:paraId="711F9F9F" w14:textId="77777777" w:rsidR="006153A2" w:rsidRPr="00EF4250" w:rsidRDefault="006153A2" w:rsidP="00754108">
      <w:pPr>
        <w:spacing w:after="0" w:line="276" w:lineRule="auto"/>
        <w:rPr>
          <w:rFonts w:cs="Times New Roman"/>
          <w:color w:val="385623" w:themeColor="accent6" w:themeShade="80"/>
          <w:szCs w:val="20"/>
          <w:lang w:eastAsia="zh-CN"/>
        </w:rPr>
      </w:pPr>
    </w:p>
    <w:p w14:paraId="073D55E7" w14:textId="529F3642" w:rsidR="006153A2" w:rsidRPr="00EF4250" w:rsidRDefault="006153A2" w:rsidP="00754108">
      <w:pPr>
        <w:spacing w:after="0" w:line="276" w:lineRule="auto"/>
        <w:rPr>
          <w:rFonts w:cs="Times New Roman"/>
          <w:szCs w:val="20"/>
          <w:lang w:eastAsia="zh-CN"/>
        </w:rPr>
      </w:pPr>
      <w:r w:rsidRPr="00EF4250">
        <w:rPr>
          <w:rFonts w:cs="Times New Roman"/>
          <w:b/>
          <w:bCs/>
          <w:szCs w:val="20"/>
          <w:lang w:eastAsia="zh-CN"/>
        </w:rPr>
        <w:t>Overdose probability:</w:t>
      </w:r>
      <w:r w:rsidR="00BB7AB2" w:rsidRPr="00EF4250">
        <w:rPr>
          <w:rFonts w:cs="Times New Roman"/>
          <w:b/>
          <w:bCs/>
          <w:szCs w:val="20"/>
          <w:lang w:eastAsia="zh-CN"/>
        </w:rPr>
        <w:t xml:space="preserve"> </w:t>
      </w:r>
      <w:r w:rsidR="00DE794B" w:rsidRPr="00EF4250">
        <w:rPr>
          <w:rFonts w:cs="Times New Roman"/>
          <w:szCs w:val="20"/>
          <w:lang w:eastAsia="zh-CN"/>
        </w:rPr>
        <w:t>Considering the lack of d</w:t>
      </w:r>
      <w:r w:rsidR="00BE3A8E" w:rsidRPr="00EF4250">
        <w:rPr>
          <w:rFonts w:cs="Times New Roman"/>
          <w:szCs w:val="20"/>
          <w:lang w:eastAsia="zh-CN"/>
        </w:rPr>
        <w:t xml:space="preserve">ata </w:t>
      </w:r>
      <w:r w:rsidR="00DE794B" w:rsidRPr="00EF4250">
        <w:rPr>
          <w:rFonts w:cs="Times New Roman"/>
          <w:szCs w:val="20"/>
          <w:lang w:eastAsia="zh-CN"/>
        </w:rPr>
        <w:t xml:space="preserve">for comprehensive estimates of </w:t>
      </w:r>
      <w:r w:rsidR="00DE794B" w:rsidRPr="00EF4250">
        <w:rPr>
          <w:rFonts w:cs="Times New Roman"/>
          <w:i/>
          <w:iCs/>
          <w:szCs w:val="20"/>
          <w:lang w:eastAsia="zh-CN"/>
        </w:rPr>
        <w:t>a</w:t>
      </w:r>
      <w:r w:rsidR="00706991" w:rsidRPr="00EF4250">
        <w:rPr>
          <w:rFonts w:cs="Times New Roman"/>
          <w:i/>
          <w:iCs/>
          <w:szCs w:val="20"/>
          <w:lang w:eastAsia="zh-CN"/>
        </w:rPr>
        <w:t xml:space="preserve">ll </w:t>
      </w:r>
      <w:r w:rsidR="00706991" w:rsidRPr="00EF4250">
        <w:rPr>
          <w:rFonts w:cs="Times New Roman"/>
          <w:szCs w:val="20"/>
          <w:lang w:eastAsia="zh-CN"/>
        </w:rPr>
        <w:t xml:space="preserve">overdose events </w:t>
      </w:r>
      <w:r w:rsidR="00DE794B" w:rsidRPr="00EF4250">
        <w:rPr>
          <w:rFonts w:cs="Times New Roman"/>
          <w:szCs w:val="20"/>
          <w:lang w:eastAsia="zh-CN"/>
        </w:rPr>
        <w:t xml:space="preserve">(as the only information for non-fatal overdoses available was based on the observed overdoses from </w:t>
      </w:r>
      <w:r w:rsidR="00AA1897" w:rsidRPr="00EF4250">
        <w:rPr>
          <w:rFonts w:cs="Times New Roman"/>
          <w:szCs w:val="20"/>
          <w:lang w:eastAsia="zh-CN"/>
        </w:rPr>
        <w:t>h</w:t>
      </w:r>
      <w:r w:rsidR="007D7786" w:rsidRPr="00EF4250">
        <w:rPr>
          <w:rFonts w:cs="Times New Roman"/>
          <w:szCs w:val="20"/>
          <w:lang w:eastAsia="zh-CN"/>
        </w:rPr>
        <w:t>ospital inpatient and emergency department data</w:t>
      </w:r>
      <w:r w:rsidR="00DE794B" w:rsidRPr="00EF4250">
        <w:rPr>
          <w:rFonts w:cs="Times New Roman"/>
          <w:szCs w:val="20"/>
          <w:lang w:eastAsia="zh-CN"/>
        </w:rPr>
        <w:t xml:space="preserve">), we did not further differentiate the probability of overdose by OUD and MOUD states </w:t>
      </w:r>
      <w:r w:rsidR="003C0010" w:rsidRPr="00EF4250">
        <w:rPr>
          <w:rFonts w:cs="Times New Roman"/>
          <w:szCs w:val="20"/>
          <w:lang w:eastAsia="zh-CN"/>
        </w:rPr>
        <w:t>during calibration</w:t>
      </w:r>
      <w:r w:rsidR="00DE794B" w:rsidRPr="00EF4250">
        <w:rPr>
          <w:rFonts w:cs="Times New Roman"/>
          <w:szCs w:val="20"/>
          <w:lang w:eastAsia="zh-CN"/>
        </w:rPr>
        <w:t>. That is, w</w:t>
      </w:r>
      <w:r w:rsidRPr="00EF4250">
        <w:rPr>
          <w:rFonts w:cs="Times New Roman"/>
          <w:szCs w:val="20"/>
          <w:lang w:eastAsia="zh-CN"/>
        </w:rPr>
        <w:t xml:space="preserve">e </w:t>
      </w:r>
      <w:r w:rsidR="00A264D8" w:rsidRPr="00EF4250">
        <w:rPr>
          <w:rFonts w:cs="Times New Roman"/>
          <w:szCs w:val="20"/>
          <w:lang w:eastAsia="zh-CN"/>
        </w:rPr>
        <w:t xml:space="preserve">assumed </w:t>
      </w:r>
      <w:r w:rsidRPr="00EF4250">
        <w:rPr>
          <w:rFonts w:cs="Times New Roman"/>
          <w:szCs w:val="20"/>
          <w:lang w:eastAsia="zh-CN"/>
        </w:rPr>
        <w:t xml:space="preserve">that </w:t>
      </w:r>
      <w:r w:rsidR="00A264D8" w:rsidRPr="00EF4250">
        <w:rPr>
          <w:rFonts w:cs="Times New Roman"/>
          <w:szCs w:val="20"/>
          <w:lang w:eastAsia="zh-CN"/>
        </w:rPr>
        <w:t xml:space="preserve">the </w:t>
      </w:r>
      <w:r w:rsidRPr="00EF4250">
        <w:rPr>
          <w:rFonts w:cs="Times New Roman"/>
          <w:szCs w:val="20"/>
          <w:lang w:eastAsia="zh-CN"/>
        </w:rPr>
        <w:t>OUD and MOUD states</w:t>
      </w:r>
      <w:r w:rsidR="00DE794B" w:rsidRPr="00EF4250">
        <w:rPr>
          <w:rFonts w:cs="Times New Roman"/>
          <w:szCs w:val="20"/>
          <w:lang w:eastAsia="zh-CN"/>
        </w:rPr>
        <w:t xml:space="preserve"> had the same probability of overdose for calibration but</w:t>
      </w:r>
      <w:r w:rsidR="00BB7AB2" w:rsidRPr="00EF4250">
        <w:rPr>
          <w:rFonts w:cs="Times New Roman"/>
          <w:szCs w:val="20"/>
          <w:lang w:eastAsia="zh-CN"/>
        </w:rPr>
        <w:t xml:space="preserve"> differentiated the </w:t>
      </w:r>
      <w:r w:rsidR="00301A4F" w:rsidRPr="00EF4250">
        <w:rPr>
          <w:rFonts w:cs="Times New Roman"/>
          <w:szCs w:val="20"/>
          <w:lang w:eastAsia="zh-CN"/>
        </w:rPr>
        <w:t xml:space="preserve">fatal probability conditioned on an overdose </w:t>
      </w:r>
      <w:r w:rsidR="00DE794B" w:rsidRPr="00EF4250">
        <w:rPr>
          <w:rFonts w:cs="Times New Roman"/>
          <w:szCs w:val="20"/>
          <w:lang w:eastAsia="zh-CN"/>
        </w:rPr>
        <w:t xml:space="preserve">(see next paragraph) </w:t>
      </w:r>
      <w:r w:rsidR="00301A4F" w:rsidRPr="00EF4250">
        <w:rPr>
          <w:rFonts w:cs="Times New Roman"/>
          <w:szCs w:val="20"/>
          <w:lang w:eastAsia="zh-CN"/>
        </w:rPr>
        <w:t xml:space="preserve">between these </w:t>
      </w:r>
      <w:r w:rsidR="00301A4F" w:rsidRPr="00EF4250">
        <w:rPr>
          <w:rFonts w:cs="Times New Roman"/>
          <w:szCs w:val="20"/>
          <w:lang w:eastAsia="zh-CN"/>
        </w:rPr>
        <w:lastRenderedPageBreak/>
        <w:t>two states to</w:t>
      </w:r>
      <w:r w:rsidR="00BB7AB2" w:rsidRPr="00EF4250">
        <w:rPr>
          <w:rFonts w:cs="Times New Roman"/>
          <w:szCs w:val="20"/>
          <w:lang w:eastAsia="zh-CN"/>
        </w:rPr>
        <w:t xml:space="preserve"> simplify</w:t>
      </w:r>
      <w:r w:rsidR="00301A4F" w:rsidRPr="00EF4250">
        <w:rPr>
          <w:rFonts w:cs="Times New Roman"/>
          <w:szCs w:val="20"/>
          <w:lang w:eastAsia="zh-CN"/>
        </w:rPr>
        <w:t xml:space="preserve"> the</w:t>
      </w:r>
      <w:r w:rsidR="00BB7AB2" w:rsidRPr="00EF4250">
        <w:rPr>
          <w:rFonts w:cs="Times New Roman"/>
          <w:szCs w:val="20"/>
          <w:lang w:eastAsia="zh-CN"/>
        </w:rPr>
        <w:t xml:space="preserve"> parameterization</w:t>
      </w:r>
      <w:r w:rsidR="00677DB5" w:rsidRPr="00EF4250">
        <w:rPr>
          <w:rFonts w:cs="Times New Roman"/>
          <w:szCs w:val="20"/>
          <w:lang w:eastAsia="zh-CN"/>
        </w:rPr>
        <w:t>. In addition, we assumed</w:t>
      </w:r>
      <w:r w:rsidRPr="00EF4250">
        <w:rPr>
          <w:rFonts w:cs="Times New Roman"/>
          <w:szCs w:val="20"/>
          <w:lang w:eastAsia="zh-CN"/>
        </w:rPr>
        <w:t xml:space="preserve"> that</w:t>
      </w:r>
      <w:r w:rsidR="00160F1F" w:rsidRPr="00EF4250">
        <w:rPr>
          <w:rFonts w:cs="Times New Roman"/>
          <w:szCs w:val="20"/>
          <w:lang w:eastAsia="zh-CN"/>
        </w:rPr>
        <w:t xml:space="preserve"> the</w:t>
      </w:r>
      <w:r w:rsidRPr="00EF4250">
        <w:rPr>
          <w:rFonts w:cs="Times New Roman"/>
          <w:szCs w:val="20"/>
          <w:lang w:eastAsia="zh-CN"/>
        </w:rPr>
        <w:t xml:space="preserve"> </w:t>
      </w:r>
      <w:r w:rsidR="00160F1F" w:rsidRPr="00EF4250">
        <w:rPr>
          <w:rFonts w:cs="Times New Roman"/>
          <w:i/>
          <w:iCs/>
          <w:szCs w:val="20"/>
          <w:lang w:eastAsia="zh-CN"/>
        </w:rPr>
        <w:t>P</w:t>
      </w:r>
      <w:r w:rsidRPr="00EF4250">
        <w:rPr>
          <w:rFonts w:cs="Times New Roman"/>
          <w:i/>
          <w:iCs/>
          <w:szCs w:val="20"/>
          <w:lang w:eastAsia="zh-CN"/>
        </w:rPr>
        <w:t xml:space="preserve">rescription </w:t>
      </w:r>
      <w:r w:rsidR="00160F1F" w:rsidRPr="00EF4250">
        <w:rPr>
          <w:rFonts w:cs="Times New Roman"/>
          <w:i/>
          <w:iCs/>
          <w:szCs w:val="20"/>
          <w:lang w:eastAsia="zh-CN"/>
        </w:rPr>
        <w:t>O</w:t>
      </w:r>
      <w:r w:rsidRPr="00EF4250">
        <w:rPr>
          <w:rFonts w:cs="Times New Roman"/>
          <w:i/>
          <w:iCs/>
          <w:szCs w:val="20"/>
          <w:lang w:eastAsia="zh-CN"/>
        </w:rPr>
        <w:t xml:space="preserve">pioid </w:t>
      </w:r>
      <w:r w:rsidR="00160F1F" w:rsidRPr="00EF4250">
        <w:rPr>
          <w:rFonts w:cs="Times New Roman"/>
          <w:i/>
          <w:iCs/>
          <w:szCs w:val="20"/>
          <w:lang w:eastAsia="zh-CN"/>
        </w:rPr>
        <w:t>M</w:t>
      </w:r>
      <w:r w:rsidRPr="00EF4250">
        <w:rPr>
          <w:rFonts w:cs="Times New Roman"/>
          <w:i/>
          <w:iCs/>
          <w:szCs w:val="20"/>
          <w:lang w:eastAsia="zh-CN"/>
        </w:rPr>
        <w:t>isuse</w:t>
      </w:r>
      <w:r w:rsidRPr="00EF4250">
        <w:rPr>
          <w:rFonts w:cs="Times New Roman"/>
          <w:szCs w:val="20"/>
          <w:lang w:eastAsia="zh-CN"/>
        </w:rPr>
        <w:t xml:space="preserve"> and </w:t>
      </w:r>
      <w:r w:rsidR="00160F1F" w:rsidRPr="00EF4250">
        <w:rPr>
          <w:rFonts w:cs="Times New Roman"/>
          <w:i/>
          <w:iCs/>
          <w:szCs w:val="20"/>
          <w:lang w:eastAsia="zh-CN"/>
        </w:rPr>
        <w:t>I</w:t>
      </w:r>
      <w:r w:rsidR="000E2D09" w:rsidRPr="00EF4250">
        <w:rPr>
          <w:rFonts w:cs="Times New Roman"/>
          <w:i/>
          <w:iCs/>
          <w:szCs w:val="20"/>
          <w:lang w:eastAsia="zh-CN"/>
        </w:rPr>
        <w:t>llicit</w:t>
      </w:r>
      <w:r w:rsidRPr="00EF4250">
        <w:rPr>
          <w:rFonts w:cs="Times New Roman"/>
          <w:i/>
          <w:iCs/>
          <w:szCs w:val="20"/>
          <w:lang w:eastAsia="zh-CN"/>
        </w:rPr>
        <w:t xml:space="preserve"> </w:t>
      </w:r>
      <w:r w:rsidR="00160F1F" w:rsidRPr="00EF4250">
        <w:rPr>
          <w:rFonts w:cs="Times New Roman"/>
          <w:i/>
          <w:iCs/>
          <w:szCs w:val="20"/>
          <w:lang w:eastAsia="zh-CN"/>
        </w:rPr>
        <w:t>O</w:t>
      </w:r>
      <w:r w:rsidRPr="00EF4250">
        <w:rPr>
          <w:rFonts w:cs="Times New Roman"/>
          <w:i/>
          <w:iCs/>
          <w:szCs w:val="20"/>
          <w:lang w:eastAsia="zh-CN"/>
        </w:rPr>
        <w:t xml:space="preserve">pioid </w:t>
      </w:r>
      <w:r w:rsidR="00160F1F" w:rsidRPr="00EF4250">
        <w:rPr>
          <w:rFonts w:cs="Times New Roman"/>
          <w:i/>
          <w:iCs/>
          <w:szCs w:val="20"/>
          <w:lang w:eastAsia="zh-CN"/>
        </w:rPr>
        <w:t>U</w:t>
      </w:r>
      <w:r w:rsidRPr="00EF4250">
        <w:rPr>
          <w:rFonts w:cs="Times New Roman"/>
          <w:i/>
          <w:iCs/>
          <w:szCs w:val="20"/>
          <w:lang w:eastAsia="zh-CN"/>
        </w:rPr>
        <w:t>se</w:t>
      </w:r>
      <w:r w:rsidRPr="00EF4250">
        <w:rPr>
          <w:rFonts w:cs="Times New Roman"/>
          <w:szCs w:val="20"/>
          <w:lang w:eastAsia="zh-CN"/>
        </w:rPr>
        <w:t xml:space="preserve"> states had </w:t>
      </w:r>
      <w:r w:rsidR="00F02C28" w:rsidRPr="00EF4250">
        <w:rPr>
          <w:rFonts w:cs="Times New Roman"/>
          <w:szCs w:val="20"/>
          <w:lang w:eastAsia="zh-CN"/>
        </w:rPr>
        <w:t xml:space="preserve">a </w:t>
      </w:r>
      <w:r w:rsidRPr="00EF4250">
        <w:rPr>
          <w:rFonts w:cs="Times New Roman"/>
          <w:szCs w:val="20"/>
          <w:lang w:eastAsia="zh-CN"/>
        </w:rPr>
        <w:t xml:space="preserve">lower risk </w:t>
      </w:r>
      <w:r w:rsidR="00A264D8" w:rsidRPr="00EF4250">
        <w:rPr>
          <w:rFonts w:cs="Times New Roman"/>
          <w:szCs w:val="20"/>
          <w:lang w:eastAsia="zh-CN"/>
        </w:rPr>
        <w:t xml:space="preserve">of overdose </w:t>
      </w:r>
      <w:r w:rsidRPr="00EF4250">
        <w:rPr>
          <w:rFonts w:cs="Times New Roman"/>
          <w:szCs w:val="20"/>
          <w:lang w:eastAsia="zh-CN"/>
        </w:rPr>
        <w:t xml:space="preserve">compared </w:t>
      </w:r>
      <w:r w:rsidR="00F945DC" w:rsidRPr="00EF4250">
        <w:rPr>
          <w:rFonts w:cs="Times New Roman"/>
          <w:szCs w:val="20"/>
          <w:lang w:eastAsia="zh-CN"/>
        </w:rPr>
        <w:t xml:space="preserve">to </w:t>
      </w:r>
      <w:r w:rsidRPr="00EF4250">
        <w:rPr>
          <w:rFonts w:cs="Times New Roman"/>
          <w:szCs w:val="20"/>
          <w:lang w:eastAsia="zh-CN"/>
        </w:rPr>
        <w:t xml:space="preserve">OUD and MOUD states. </w:t>
      </w:r>
      <w:r w:rsidR="00F945DC" w:rsidRPr="00EF4250">
        <w:rPr>
          <w:rFonts w:cs="Times New Roman"/>
          <w:szCs w:val="20"/>
          <w:lang w:eastAsia="zh-CN"/>
        </w:rPr>
        <w:t xml:space="preserve">Both </w:t>
      </w:r>
      <w:r w:rsidR="00A264D8" w:rsidRPr="00EF4250">
        <w:rPr>
          <w:rFonts w:cs="Times New Roman"/>
          <w:szCs w:val="20"/>
          <w:lang w:eastAsia="zh-CN"/>
        </w:rPr>
        <w:t xml:space="preserve">the </w:t>
      </w:r>
      <w:r w:rsidRPr="00EF4250">
        <w:rPr>
          <w:rFonts w:cs="Times New Roman"/>
          <w:szCs w:val="20"/>
          <w:lang w:eastAsia="zh-CN"/>
        </w:rPr>
        <w:t xml:space="preserve">baseline overdose probability and </w:t>
      </w:r>
      <w:r w:rsidR="00A264D8" w:rsidRPr="00EF4250">
        <w:rPr>
          <w:rFonts w:cs="Times New Roman"/>
          <w:szCs w:val="20"/>
          <w:lang w:eastAsia="zh-CN"/>
        </w:rPr>
        <w:t xml:space="preserve">the </w:t>
      </w:r>
      <w:r w:rsidRPr="00EF4250">
        <w:rPr>
          <w:rFonts w:cs="Times New Roman"/>
          <w:szCs w:val="20"/>
          <w:lang w:eastAsia="zh-CN"/>
        </w:rPr>
        <w:t xml:space="preserve">relative risk </w:t>
      </w:r>
      <w:r w:rsidR="00F945DC" w:rsidRPr="00EF4250">
        <w:rPr>
          <w:rFonts w:cs="Times New Roman"/>
          <w:szCs w:val="20"/>
          <w:lang w:eastAsia="zh-CN"/>
        </w:rPr>
        <w:t xml:space="preserve">values </w:t>
      </w:r>
      <w:r w:rsidRPr="00EF4250">
        <w:rPr>
          <w:rFonts w:cs="Times New Roman"/>
          <w:szCs w:val="20"/>
          <w:lang w:eastAsia="zh-CN"/>
        </w:rPr>
        <w:t xml:space="preserve">were calibrated. </w:t>
      </w:r>
    </w:p>
    <w:p w14:paraId="2E459EF2" w14:textId="77777777" w:rsidR="006153A2" w:rsidRPr="00EF4250" w:rsidRDefault="006153A2" w:rsidP="00754108">
      <w:pPr>
        <w:spacing w:after="0" w:line="276" w:lineRule="auto"/>
        <w:rPr>
          <w:rFonts w:cs="Times New Roman"/>
          <w:color w:val="385623" w:themeColor="accent6" w:themeShade="80"/>
          <w:szCs w:val="20"/>
          <w:lang w:eastAsia="zh-CN"/>
        </w:rPr>
      </w:pPr>
    </w:p>
    <w:p w14:paraId="4AEA2CB4" w14:textId="78A28C11" w:rsidR="007935EB" w:rsidRPr="00EF4250" w:rsidRDefault="006153A2" w:rsidP="00754108">
      <w:pPr>
        <w:spacing w:after="0" w:line="276" w:lineRule="auto"/>
        <w:rPr>
          <w:rFonts w:cs="Times New Roman"/>
          <w:szCs w:val="20"/>
          <w:lang w:eastAsia="zh-CN"/>
        </w:rPr>
      </w:pPr>
      <w:r w:rsidRPr="00EF4250">
        <w:rPr>
          <w:rFonts w:cs="Times New Roman"/>
          <w:b/>
          <w:bCs/>
          <w:szCs w:val="20"/>
          <w:lang w:eastAsia="zh-CN"/>
        </w:rPr>
        <w:t xml:space="preserve">Probability of the overdose being fatal </w:t>
      </w:r>
      <w:r w:rsidRPr="00EF4250">
        <w:rPr>
          <w:rFonts w:cs="Times New Roman"/>
          <w:szCs w:val="20"/>
          <w:lang w:eastAsia="zh-CN"/>
        </w:rPr>
        <w:t xml:space="preserve">(“fatal probability”): We </w:t>
      </w:r>
      <w:r w:rsidR="00A264D8" w:rsidRPr="00EF4250">
        <w:rPr>
          <w:rFonts w:cs="Times New Roman"/>
          <w:szCs w:val="20"/>
          <w:lang w:eastAsia="zh-CN"/>
        </w:rPr>
        <w:t>specif</w:t>
      </w:r>
      <w:r w:rsidR="00006CE0" w:rsidRPr="00EF4250">
        <w:rPr>
          <w:rFonts w:cs="Times New Roman"/>
          <w:szCs w:val="20"/>
          <w:lang w:eastAsia="zh-CN"/>
        </w:rPr>
        <w:t>i</w:t>
      </w:r>
      <w:r w:rsidR="00A264D8" w:rsidRPr="00EF4250">
        <w:rPr>
          <w:rFonts w:cs="Times New Roman"/>
          <w:szCs w:val="20"/>
          <w:lang w:eastAsia="zh-CN"/>
        </w:rPr>
        <w:t xml:space="preserve">ed </w:t>
      </w:r>
      <w:r w:rsidRPr="00EF4250">
        <w:rPr>
          <w:rFonts w:cs="Times New Roman"/>
          <w:szCs w:val="20"/>
          <w:lang w:eastAsia="zh-CN"/>
        </w:rPr>
        <w:t>a baseline value of fatal probability</w:t>
      </w:r>
      <w:r w:rsidR="00967EA0" w:rsidRPr="00EF4250">
        <w:rPr>
          <w:rFonts w:cs="Times New Roman"/>
          <w:szCs w:val="20"/>
          <w:lang w:eastAsia="zh-CN"/>
        </w:rPr>
        <w:t xml:space="preserve">, </w:t>
      </w:r>
      <m:oMath>
        <m:sSubSup>
          <m:sSubSupPr>
            <m:ctrlPr>
              <w:rPr>
                <w:rFonts w:ascii="Cambria Math" w:hAnsi="Cambria Math" w:cs="Times New Roman"/>
                <w:i/>
                <w:szCs w:val="20"/>
                <w:lang w:eastAsia="zh-CN"/>
              </w:rPr>
            </m:ctrlPr>
          </m:sSubSupPr>
          <m:e>
            <m:r>
              <w:rPr>
                <w:rFonts w:ascii="Cambria Math" w:hAnsi="Cambria Math" w:cs="Times New Roman"/>
                <w:szCs w:val="20"/>
                <w:lang w:eastAsia="zh-CN"/>
              </w:rPr>
              <m:t>p</m:t>
            </m:r>
          </m:e>
          <m:sub>
            <m:r>
              <m:rPr>
                <m:sty m:val="p"/>
              </m:rPr>
              <w:rPr>
                <w:rFonts w:ascii="Cambria Math" w:hAnsi="Cambria Math" w:cs="Times New Roman"/>
                <w:szCs w:val="20"/>
                <w:lang w:eastAsia="zh-CN"/>
              </w:rPr>
              <m:t>fatal</m:t>
            </m:r>
          </m:sub>
          <m:sup>
            <m:r>
              <m:rPr>
                <m:sty m:val="p"/>
              </m:rPr>
              <w:rPr>
                <w:rFonts w:ascii="Cambria Math" w:hAnsi="Cambria Math" w:cs="Times New Roman"/>
                <w:szCs w:val="20"/>
                <w:lang w:eastAsia="zh-CN"/>
              </w:rPr>
              <m:t>base</m:t>
            </m:r>
          </m:sup>
        </m:sSubSup>
      </m:oMath>
      <w:r w:rsidR="00967EA0" w:rsidRPr="00EF4250">
        <w:rPr>
          <w:rFonts w:cs="Times New Roman"/>
          <w:szCs w:val="20"/>
          <w:lang w:eastAsia="zh-CN"/>
        </w:rPr>
        <w:t xml:space="preserve">, </w:t>
      </w:r>
      <w:r w:rsidRPr="00EF4250">
        <w:rPr>
          <w:rFonts w:cs="Times New Roman"/>
          <w:szCs w:val="20"/>
          <w:lang w:eastAsia="zh-CN"/>
        </w:rPr>
        <w:t xml:space="preserve">for the OUD state </w:t>
      </w:r>
      <w:r w:rsidR="00967EA0" w:rsidRPr="00EF4250">
        <w:rPr>
          <w:rFonts w:cs="Times New Roman"/>
          <w:szCs w:val="20"/>
          <w:lang w:eastAsia="zh-CN"/>
        </w:rPr>
        <w:t xml:space="preserve">up to the year 2017. </w:t>
      </w:r>
      <w:r w:rsidR="00607967" w:rsidRPr="00EF4250">
        <w:rPr>
          <w:rFonts w:cs="Times New Roman"/>
          <w:szCs w:val="20"/>
          <w:lang w:eastAsia="zh-CN"/>
        </w:rPr>
        <w:t xml:space="preserve">To capture the growing trend in </w:t>
      </w:r>
      <w:r w:rsidR="007B1AD0" w:rsidRPr="00EF4250">
        <w:rPr>
          <w:rFonts w:cs="Times New Roman"/>
          <w:szCs w:val="20"/>
          <w:lang w:eastAsia="zh-CN"/>
        </w:rPr>
        <w:t xml:space="preserve">opioid overdose deaths, we adjusted the fatal probability with </w:t>
      </w:r>
      <w:r w:rsidR="007935EB" w:rsidRPr="00EF4250">
        <w:rPr>
          <w:rFonts w:cs="Times New Roman"/>
          <w:szCs w:val="20"/>
          <w:lang w:eastAsia="zh-CN"/>
        </w:rPr>
        <w:t>a time-dependent factor</w:t>
      </w:r>
      <w:r w:rsidR="008A0022" w:rsidRPr="00EF4250">
        <w:rPr>
          <w:rFonts w:cs="Times New Roman"/>
          <w:szCs w:val="20"/>
          <w:lang w:eastAsia="zh-CN"/>
        </w:rPr>
        <w:t>,</w:t>
      </w:r>
      <w:r w:rsidR="007935EB" w:rsidRPr="00EF4250">
        <w:rPr>
          <w:rFonts w:cs="Times New Roman"/>
          <w:szCs w:val="20"/>
          <w:lang w:eastAsia="zh-CN"/>
        </w:rPr>
        <w:t xml:space="preserve"> </w:t>
      </w:r>
      <m:oMath>
        <m:r>
          <w:rPr>
            <w:rFonts w:ascii="Cambria Math" w:hAnsi="Cambria Math" w:cs="Times New Roman"/>
            <w:szCs w:val="20"/>
            <w:lang w:eastAsia="zh-CN"/>
          </w:rPr>
          <m:t>δ(t)</m:t>
        </m:r>
      </m:oMath>
      <w:r w:rsidR="007935EB" w:rsidRPr="00EF4250">
        <w:rPr>
          <w:rFonts w:cs="Times New Roman"/>
          <w:szCs w:val="20"/>
          <w:lang w:eastAsia="zh-CN"/>
        </w:rPr>
        <w:t xml:space="preserve">, which </w:t>
      </w:r>
      <w:r w:rsidR="005E4052" w:rsidRPr="00EF4250">
        <w:rPr>
          <w:rFonts w:cs="Times New Roman"/>
          <w:szCs w:val="20"/>
          <w:lang w:eastAsia="zh-CN"/>
        </w:rPr>
        <w:t xml:space="preserve">followed a </w:t>
      </w:r>
      <w:r w:rsidR="007935EB" w:rsidRPr="00EF4250">
        <w:rPr>
          <w:rFonts w:cs="Times New Roman"/>
          <w:szCs w:val="20"/>
          <w:lang w:eastAsia="zh-CN"/>
        </w:rPr>
        <w:t xml:space="preserve">linear </w:t>
      </w:r>
      <w:r w:rsidR="007B1AD0" w:rsidRPr="00EF4250">
        <w:rPr>
          <w:rFonts w:cs="Times New Roman"/>
          <w:szCs w:val="20"/>
          <w:lang w:eastAsia="zh-CN"/>
        </w:rPr>
        <w:t>trend from 2017-2019 and year-specific scalar</w:t>
      </w:r>
      <w:r w:rsidR="00210520" w:rsidRPr="00EF4250">
        <w:rPr>
          <w:rFonts w:cs="Times New Roman"/>
          <w:szCs w:val="20"/>
          <w:lang w:eastAsia="zh-CN"/>
        </w:rPr>
        <w:t>s</w:t>
      </w:r>
      <w:r w:rsidR="007B1AD0" w:rsidRPr="00EF4250">
        <w:rPr>
          <w:rFonts w:cs="Times New Roman"/>
          <w:szCs w:val="20"/>
          <w:lang w:eastAsia="zh-CN"/>
        </w:rPr>
        <w:t xml:space="preserve"> </w:t>
      </w:r>
      <w:r w:rsidR="00BB2A53" w:rsidRPr="00EF4250">
        <w:rPr>
          <w:rFonts w:cs="Times New Roman"/>
          <w:szCs w:val="20"/>
          <w:lang w:eastAsia="zh-CN"/>
        </w:rPr>
        <w:t>for 2020-</w:t>
      </w:r>
      <w:r w:rsidR="00F92FB6">
        <w:rPr>
          <w:rFonts w:cs="Times New Roman"/>
          <w:szCs w:val="20"/>
          <w:lang w:eastAsia="zh-CN"/>
        </w:rPr>
        <w:t>2024</w:t>
      </w:r>
      <w:r w:rsidR="00F92FB6" w:rsidRPr="00EF4250">
        <w:rPr>
          <w:rFonts w:cs="Times New Roman"/>
          <w:szCs w:val="20"/>
          <w:lang w:eastAsia="zh-CN"/>
        </w:rPr>
        <w:t xml:space="preserve"> </w:t>
      </w:r>
      <w:r w:rsidR="007B1AD0" w:rsidRPr="00EF4250">
        <w:rPr>
          <w:rFonts w:cs="Times New Roman"/>
          <w:szCs w:val="20"/>
          <w:lang w:eastAsia="zh-CN"/>
        </w:rPr>
        <w:t xml:space="preserve">to account for </w:t>
      </w:r>
      <w:r w:rsidR="00BB2A53" w:rsidRPr="00EF4250">
        <w:rPr>
          <w:rFonts w:cs="Times New Roman"/>
          <w:szCs w:val="20"/>
          <w:lang w:eastAsia="zh-CN"/>
        </w:rPr>
        <w:t xml:space="preserve">the </w:t>
      </w:r>
      <w:r w:rsidR="00AA19E3" w:rsidRPr="00EF4250">
        <w:rPr>
          <w:rFonts w:cs="Times New Roman"/>
          <w:szCs w:val="20"/>
          <w:lang w:eastAsia="zh-CN"/>
        </w:rPr>
        <w:t xml:space="preserve">rapid </w:t>
      </w:r>
      <w:r w:rsidR="007B1AD0" w:rsidRPr="00EF4250">
        <w:rPr>
          <w:rFonts w:cs="Times New Roman"/>
          <w:szCs w:val="20"/>
          <w:lang w:eastAsia="zh-CN"/>
        </w:rPr>
        <w:t xml:space="preserve">changes since </w:t>
      </w:r>
      <w:r w:rsidR="00A264D8" w:rsidRPr="00EF4250">
        <w:rPr>
          <w:rFonts w:cs="Times New Roman"/>
          <w:szCs w:val="20"/>
          <w:lang w:eastAsia="zh-CN"/>
        </w:rPr>
        <w:t xml:space="preserve">the </w:t>
      </w:r>
      <w:r w:rsidR="007B1AD0" w:rsidRPr="00EF4250">
        <w:rPr>
          <w:rFonts w:cs="Times New Roman"/>
          <w:szCs w:val="20"/>
          <w:lang w:eastAsia="zh-CN"/>
        </w:rPr>
        <w:t>COVID-19 pandemic.</w:t>
      </w:r>
      <w:r w:rsidR="00967EA0" w:rsidRPr="00EF4250">
        <w:rPr>
          <w:rFonts w:cs="Times New Roman"/>
          <w:szCs w:val="20"/>
          <w:lang w:eastAsia="zh-CN"/>
        </w:rPr>
        <w:t xml:space="preserve"> </w:t>
      </w:r>
    </w:p>
    <w:p w14:paraId="691E28C7" w14:textId="77777777" w:rsidR="007935EB" w:rsidRPr="00EF4250" w:rsidRDefault="007935EB" w:rsidP="00754108">
      <w:pPr>
        <w:spacing w:after="0" w:line="276" w:lineRule="auto"/>
        <w:rPr>
          <w:rFonts w:cs="Times New Roman"/>
          <w:szCs w:val="20"/>
          <w:lang w:eastAsia="zh-CN"/>
        </w:rPr>
      </w:pPr>
    </w:p>
    <w:p w14:paraId="212C0B40" w14:textId="618D022D" w:rsidR="007935EB" w:rsidRPr="00EF4250" w:rsidRDefault="007935EB" w:rsidP="00754108">
      <w:pPr>
        <w:spacing w:after="0" w:line="276" w:lineRule="auto"/>
        <w:rPr>
          <w:rFonts w:cs="Times New Roman"/>
          <w:szCs w:val="20"/>
          <w:lang w:eastAsia="zh-CN"/>
        </w:rPr>
      </w:pPr>
      <w:r w:rsidRPr="00EF4250">
        <w:rPr>
          <w:rFonts w:cs="Times New Roman"/>
          <w:szCs w:val="20"/>
          <w:lang w:eastAsia="zh-CN"/>
        </w:rPr>
        <w:t xml:space="preserve">For other </w:t>
      </w:r>
      <w:r w:rsidR="008A1FB7" w:rsidRPr="00EF4250">
        <w:rPr>
          <w:rFonts w:cs="Times New Roman"/>
          <w:szCs w:val="20"/>
          <w:lang w:eastAsia="zh-CN"/>
        </w:rPr>
        <w:t xml:space="preserve">health </w:t>
      </w:r>
      <w:r w:rsidRPr="00EF4250">
        <w:rPr>
          <w:rFonts w:cs="Times New Roman"/>
          <w:szCs w:val="20"/>
          <w:lang w:eastAsia="zh-CN"/>
        </w:rPr>
        <w:t>states, the fatal probability was determined by multiplying the baseline</w:t>
      </w:r>
      <w:r w:rsidR="008A1FB7" w:rsidRPr="00EF4250">
        <w:rPr>
          <w:rFonts w:cs="Times New Roman"/>
          <w:szCs w:val="20"/>
          <w:lang w:eastAsia="zh-CN"/>
        </w:rPr>
        <w:t xml:space="preserve"> value</w:t>
      </w:r>
      <w:r w:rsidRPr="00EF4250">
        <w:rPr>
          <w:rFonts w:cs="Times New Roman"/>
          <w:szCs w:val="20"/>
          <w:lang w:eastAsia="zh-CN"/>
        </w:rPr>
        <w:t xml:space="preserve"> </w:t>
      </w:r>
      <m:oMath>
        <m:sSubSup>
          <m:sSubSupPr>
            <m:ctrlPr>
              <w:rPr>
                <w:rFonts w:ascii="Cambria Math" w:hAnsi="Cambria Math" w:cs="Times New Roman"/>
                <w:i/>
                <w:szCs w:val="20"/>
                <w:lang w:eastAsia="zh-CN"/>
              </w:rPr>
            </m:ctrlPr>
          </m:sSubSupPr>
          <m:e>
            <m:r>
              <w:rPr>
                <w:rFonts w:ascii="Cambria Math" w:hAnsi="Cambria Math" w:cs="Times New Roman"/>
                <w:szCs w:val="20"/>
                <w:lang w:eastAsia="zh-CN"/>
              </w:rPr>
              <m:t>p</m:t>
            </m:r>
          </m:e>
          <m:sub>
            <m:r>
              <m:rPr>
                <m:sty m:val="p"/>
              </m:rPr>
              <w:rPr>
                <w:rFonts w:ascii="Cambria Math" w:hAnsi="Cambria Math" w:cs="Times New Roman"/>
                <w:szCs w:val="20"/>
                <w:lang w:eastAsia="zh-CN"/>
              </w:rPr>
              <m:t>fatal</m:t>
            </m:r>
          </m:sub>
          <m:sup>
            <m:r>
              <m:rPr>
                <m:sty m:val="p"/>
              </m:rPr>
              <w:rPr>
                <w:rFonts w:ascii="Cambria Math" w:hAnsi="Cambria Math" w:cs="Times New Roman"/>
                <w:szCs w:val="20"/>
                <w:lang w:eastAsia="zh-CN"/>
              </w:rPr>
              <m:t>base</m:t>
            </m:r>
          </m:sup>
        </m:sSubSup>
      </m:oMath>
      <w:r w:rsidRPr="00EF4250">
        <w:rPr>
          <w:rFonts w:cs="Times New Roman"/>
          <w:szCs w:val="20"/>
          <w:lang w:eastAsia="zh-CN"/>
        </w:rPr>
        <w:t xml:space="preserve"> </w:t>
      </w:r>
      <w:r w:rsidR="008A1FB7" w:rsidRPr="00EF4250">
        <w:rPr>
          <w:rFonts w:cs="Times New Roman"/>
          <w:szCs w:val="20"/>
          <w:lang w:eastAsia="zh-CN"/>
        </w:rPr>
        <w:t xml:space="preserve">by </w:t>
      </w:r>
      <w:r w:rsidRPr="00EF4250">
        <w:rPr>
          <w:rFonts w:cs="Times New Roman"/>
          <w:szCs w:val="20"/>
          <w:lang w:eastAsia="zh-CN"/>
        </w:rPr>
        <w:t xml:space="preserve">a relative risk </w:t>
      </w:r>
      <w:r w:rsidR="00A264D8" w:rsidRPr="00EF4250">
        <w:rPr>
          <w:rFonts w:cs="Times New Roman"/>
          <w:szCs w:val="20"/>
          <w:lang w:eastAsia="zh-CN"/>
        </w:rPr>
        <w:t xml:space="preserve">that depended </w:t>
      </w:r>
      <w:r w:rsidRPr="00EF4250">
        <w:rPr>
          <w:rFonts w:cs="Times New Roman"/>
          <w:szCs w:val="20"/>
          <w:lang w:eastAsia="zh-CN"/>
        </w:rPr>
        <w:t xml:space="preserve">on the individual’s current health state, </w:t>
      </w:r>
      <m:oMath>
        <m:r>
          <w:rPr>
            <w:rFonts w:ascii="Cambria Math" w:hAnsi="Cambria Math" w:cs="Times New Roman"/>
            <w:szCs w:val="20"/>
            <w:lang w:eastAsia="zh-CN"/>
          </w:rPr>
          <m:t>RR</m:t>
        </m:r>
        <m:d>
          <m:dPr>
            <m:ctrlPr>
              <w:rPr>
                <w:rFonts w:ascii="Cambria Math" w:hAnsi="Cambria Math" w:cs="Times New Roman"/>
                <w:i/>
                <w:szCs w:val="20"/>
                <w:lang w:eastAsia="zh-CN"/>
              </w:rPr>
            </m:ctrlPr>
          </m:dPr>
          <m:e>
            <m:r>
              <m:rPr>
                <m:sty m:val="p"/>
              </m:rPr>
              <w:rPr>
                <w:rFonts w:ascii="Cambria Math" w:hAnsi="Cambria Math" w:cs="Times New Roman"/>
                <w:szCs w:val="20"/>
                <w:lang w:eastAsia="zh-CN"/>
              </w:rPr>
              <m:t>state</m:t>
            </m:r>
          </m:e>
        </m:d>
      </m:oMath>
      <w:r w:rsidR="003D6565" w:rsidRPr="00EF4250">
        <w:rPr>
          <w:rFonts w:cs="Times New Roman"/>
          <w:szCs w:val="20"/>
          <w:lang w:eastAsia="zh-CN"/>
        </w:rPr>
        <w:t xml:space="preserve">. </w:t>
      </w:r>
      <w:r w:rsidR="00A264D8" w:rsidRPr="00EF4250">
        <w:rPr>
          <w:rFonts w:cs="Times New Roman"/>
          <w:szCs w:val="20"/>
          <w:lang w:eastAsia="zh-CN"/>
        </w:rPr>
        <w:t>Specifically</w:t>
      </w:r>
      <w:r w:rsidRPr="00EF4250">
        <w:rPr>
          <w:rFonts w:cs="Times New Roman"/>
          <w:szCs w:val="20"/>
          <w:lang w:eastAsia="zh-CN"/>
        </w:rPr>
        <w:t xml:space="preserve">, </w:t>
      </w:r>
    </w:p>
    <w:p w14:paraId="7A0EB64E" w14:textId="4D58EA57" w:rsidR="007935EB" w:rsidRPr="00EF4250" w:rsidRDefault="007935EB" w:rsidP="00754108">
      <w:pPr>
        <w:pStyle w:val="ListParagraph"/>
        <w:numPr>
          <w:ilvl w:val="0"/>
          <w:numId w:val="18"/>
        </w:numPr>
        <w:spacing w:after="0" w:line="276" w:lineRule="auto"/>
        <w:rPr>
          <w:rFonts w:cs="Times New Roman"/>
          <w:szCs w:val="20"/>
          <w:lang w:eastAsia="zh-CN"/>
        </w:rPr>
      </w:pPr>
      <w:r w:rsidRPr="00EF4250">
        <w:rPr>
          <w:rFonts w:cs="Times New Roman"/>
          <w:szCs w:val="20"/>
          <w:lang w:eastAsia="zh-CN"/>
        </w:rPr>
        <w:t>For</w:t>
      </w:r>
      <w:r w:rsidR="00A264D8" w:rsidRPr="00EF4250">
        <w:rPr>
          <w:rFonts w:cs="Times New Roman"/>
          <w:szCs w:val="20"/>
          <w:lang w:eastAsia="zh-CN"/>
        </w:rPr>
        <w:t xml:space="preserve"> the</w:t>
      </w:r>
      <w:r w:rsidRPr="00EF4250">
        <w:rPr>
          <w:rFonts w:cs="Times New Roman"/>
          <w:szCs w:val="20"/>
          <w:lang w:eastAsia="zh-CN"/>
        </w:rPr>
        <w:t xml:space="preserve"> </w:t>
      </w:r>
      <w:r w:rsidR="00786D40" w:rsidRPr="00EF4250">
        <w:rPr>
          <w:rFonts w:cs="Times New Roman"/>
          <w:i/>
          <w:iCs/>
          <w:szCs w:val="20"/>
          <w:lang w:eastAsia="zh-CN"/>
        </w:rPr>
        <w:t>P</w:t>
      </w:r>
      <w:r w:rsidRPr="00EF4250">
        <w:rPr>
          <w:rFonts w:cs="Times New Roman"/>
          <w:i/>
          <w:iCs/>
          <w:szCs w:val="20"/>
          <w:lang w:eastAsia="zh-CN"/>
        </w:rPr>
        <w:t xml:space="preserve">rescription </w:t>
      </w:r>
      <w:r w:rsidR="00786D40" w:rsidRPr="00EF4250">
        <w:rPr>
          <w:rFonts w:cs="Times New Roman"/>
          <w:i/>
          <w:iCs/>
          <w:szCs w:val="20"/>
          <w:lang w:eastAsia="zh-CN"/>
        </w:rPr>
        <w:t>O</w:t>
      </w:r>
      <w:r w:rsidRPr="00EF4250">
        <w:rPr>
          <w:rFonts w:cs="Times New Roman"/>
          <w:i/>
          <w:iCs/>
          <w:szCs w:val="20"/>
          <w:lang w:eastAsia="zh-CN"/>
        </w:rPr>
        <w:t xml:space="preserve">pioid </w:t>
      </w:r>
      <w:r w:rsidR="00786D40" w:rsidRPr="00EF4250">
        <w:rPr>
          <w:rFonts w:cs="Times New Roman"/>
          <w:i/>
          <w:iCs/>
          <w:szCs w:val="20"/>
          <w:lang w:eastAsia="zh-CN"/>
        </w:rPr>
        <w:t>M</w:t>
      </w:r>
      <w:r w:rsidRPr="00EF4250">
        <w:rPr>
          <w:rFonts w:cs="Times New Roman"/>
          <w:i/>
          <w:iCs/>
          <w:szCs w:val="20"/>
          <w:lang w:eastAsia="zh-CN"/>
        </w:rPr>
        <w:t>isuse</w:t>
      </w:r>
      <w:r w:rsidRPr="00EF4250">
        <w:rPr>
          <w:rFonts w:cs="Times New Roman"/>
          <w:szCs w:val="20"/>
          <w:lang w:eastAsia="zh-CN"/>
        </w:rPr>
        <w:t xml:space="preserve"> and </w:t>
      </w:r>
      <w:r w:rsidR="00786D40" w:rsidRPr="00EF4250">
        <w:rPr>
          <w:rFonts w:cs="Times New Roman"/>
          <w:i/>
          <w:iCs/>
          <w:szCs w:val="20"/>
          <w:lang w:eastAsia="zh-CN"/>
        </w:rPr>
        <w:t>I</w:t>
      </w:r>
      <w:r w:rsidRPr="00EF4250">
        <w:rPr>
          <w:rFonts w:cs="Times New Roman"/>
          <w:i/>
          <w:iCs/>
          <w:szCs w:val="20"/>
          <w:lang w:eastAsia="zh-CN"/>
        </w:rPr>
        <w:t xml:space="preserve">llicit </w:t>
      </w:r>
      <w:r w:rsidR="00786D40" w:rsidRPr="00EF4250">
        <w:rPr>
          <w:rFonts w:cs="Times New Roman"/>
          <w:i/>
          <w:iCs/>
          <w:szCs w:val="20"/>
          <w:lang w:eastAsia="zh-CN"/>
        </w:rPr>
        <w:t>O</w:t>
      </w:r>
      <w:r w:rsidRPr="00EF4250">
        <w:rPr>
          <w:rFonts w:cs="Times New Roman"/>
          <w:i/>
          <w:iCs/>
          <w:szCs w:val="20"/>
          <w:lang w:eastAsia="zh-CN"/>
        </w:rPr>
        <w:t xml:space="preserve">pioid </w:t>
      </w:r>
      <w:r w:rsidR="00786D40" w:rsidRPr="00EF4250">
        <w:rPr>
          <w:rFonts w:cs="Times New Roman"/>
          <w:i/>
          <w:iCs/>
          <w:szCs w:val="20"/>
          <w:lang w:eastAsia="zh-CN"/>
        </w:rPr>
        <w:t>U</w:t>
      </w:r>
      <w:r w:rsidRPr="00EF4250">
        <w:rPr>
          <w:rFonts w:cs="Times New Roman"/>
          <w:i/>
          <w:iCs/>
          <w:szCs w:val="20"/>
          <w:lang w:eastAsia="zh-CN"/>
        </w:rPr>
        <w:t>se</w:t>
      </w:r>
      <w:r w:rsidRPr="00EF4250">
        <w:rPr>
          <w:rFonts w:cs="Times New Roman"/>
          <w:szCs w:val="20"/>
          <w:lang w:eastAsia="zh-CN"/>
        </w:rPr>
        <w:t xml:space="preserve"> states, </w:t>
      </w:r>
      <w:r w:rsidR="00A0416B" w:rsidRPr="00EF4250">
        <w:rPr>
          <w:rFonts w:cs="Times New Roman"/>
          <w:szCs w:val="20"/>
          <w:lang w:eastAsia="zh-CN"/>
        </w:rPr>
        <w:t xml:space="preserve">the </w:t>
      </w:r>
      <w:r w:rsidRPr="00EF4250">
        <w:rPr>
          <w:rFonts w:cs="Times New Roman"/>
          <w:szCs w:val="20"/>
          <w:lang w:eastAsia="zh-CN"/>
        </w:rPr>
        <w:t>relative risks were calibrated separately</w:t>
      </w:r>
      <w:r w:rsidR="00295B4B" w:rsidRPr="00EF4250">
        <w:rPr>
          <w:rFonts w:cs="Times New Roman"/>
          <w:szCs w:val="20"/>
          <w:lang w:eastAsia="zh-CN"/>
        </w:rPr>
        <w:t>.</w:t>
      </w:r>
    </w:p>
    <w:p w14:paraId="36FD3231" w14:textId="58E1774E" w:rsidR="006153A2" w:rsidRPr="00EF4250" w:rsidRDefault="007935EB" w:rsidP="00754108">
      <w:pPr>
        <w:pStyle w:val="ListParagraph"/>
        <w:numPr>
          <w:ilvl w:val="0"/>
          <w:numId w:val="18"/>
        </w:numPr>
        <w:spacing w:after="0" w:line="276" w:lineRule="auto"/>
        <w:rPr>
          <w:rFonts w:cs="Times New Roman"/>
          <w:szCs w:val="20"/>
          <w:lang w:eastAsia="zh-CN"/>
        </w:rPr>
      </w:pPr>
      <w:r w:rsidRPr="00EF4250">
        <w:rPr>
          <w:rFonts w:cs="Times New Roman"/>
          <w:szCs w:val="20"/>
          <w:lang w:eastAsia="zh-CN"/>
        </w:rPr>
        <w:t xml:space="preserve">For </w:t>
      </w:r>
      <w:r w:rsidR="00A264D8" w:rsidRPr="00EF4250">
        <w:rPr>
          <w:rFonts w:cs="Times New Roman"/>
          <w:szCs w:val="20"/>
          <w:lang w:eastAsia="zh-CN"/>
        </w:rPr>
        <w:t xml:space="preserve">the </w:t>
      </w:r>
      <w:r w:rsidRPr="00EF4250">
        <w:rPr>
          <w:rFonts w:cs="Times New Roman"/>
          <w:szCs w:val="20"/>
          <w:lang w:eastAsia="zh-CN"/>
        </w:rPr>
        <w:t xml:space="preserve">MOUD state, relative risks for </w:t>
      </w:r>
      <w:r w:rsidR="00EC3631" w:rsidRPr="00EF4250">
        <w:rPr>
          <w:rFonts w:cs="Times New Roman"/>
          <w:szCs w:val="20"/>
          <w:lang w:eastAsia="zh-CN"/>
        </w:rPr>
        <w:t>buprenorphine</w:t>
      </w:r>
      <w:r w:rsidRPr="00EF4250">
        <w:rPr>
          <w:rFonts w:cs="Times New Roman"/>
          <w:szCs w:val="20"/>
          <w:lang w:eastAsia="zh-CN"/>
        </w:rPr>
        <w:t xml:space="preserve"> </w:t>
      </w:r>
      <w:r w:rsidR="005E4052" w:rsidRPr="00EF4250">
        <w:rPr>
          <w:rFonts w:cs="Times New Roman"/>
          <w:szCs w:val="20"/>
          <w:lang w:eastAsia="zh-CN"/>
        </w:rPr>
        <w:t>and</w:t>
      </w:r>
      <w:r w:rsidRPr="00EF4250">
        <w:rPr>
          <w:rFonts w:cs="Times New Roman"/>
          <w:szCs w:val="20"/>
          <w:lang w:eastAsia="zh-CN"/>
        </w:rPr>
        <w:t xml:space="preserve"> methadone, </w:t>
      </w:r>
      <w:r w:rsidR="005E4052" w:rsidRPr="00EF4250">
        <w:rPr>
          <w:rFonts w:cs="Times New Roman"/>
          <w:szCs w:val="20"/>
          <w:lang w:eastAsia="zh-CN"/>
        </w:rPr>
        <w:t>during</w:t>
      </w:r>
      <w:r w:rsidRPr="00EF4250">
        <w:rPr>
          <w:rFonts w:cs="Times New Roman"/>
          <w:szCs w:val="20"/>
          <w:lang w:eastAsia="zh-CN"/>
        </w:rPr>
        <w:t xml:space="preserve"> the first month </w:t>
      </w:r>
      <w:r w:rsidR="005E4052" w:rsidRPr="00EF4250">
        <w:rPr>
          <w:rFonts w:cs="Times New Roman"/>
          <w:szCs w:val="20"/>
          <w:lang w:eastAsia="zh-CN"/>
        </w:rPr>
        <w:t>of</w:t>
      </w:r>
      <w:r w:rsidRPr="00EF4250">
        <w:rPr>
          <w:rFonts w:cs="Times New Roman"/>
          <w:szCs w:val="20"/>
          <w:lang w:eastAsia="zh-CN"/>
        </w:rPr>
        <w:t xml:space="preserve"> treatment and after</w:t>
      </w:r>
      <w:r w:rsidR="005E4052" w:rsidRPr="00EF4250">
        <w:rPr>
          <w:rFonts w:cs="Times New Roman"/>
          <w:szCs w:val="20"/>
          <w:lang w:eastAsia="zh-CN"/>
        </w:rPr>
        <w:t xml:space="preserve"> the first month</w:t>
      </w:r>
      <w:r w:rsidRPr="00EF4250">
        <w:rPr>
          <w:rFonts w:cs="Times New Roman"/>
          <w:szCs w:val="20"/>
          <w:lang w:eastAsia="zh-CN"/>
        </w:rPr>
        <w:t xml:space="preserve">, were estimated from </w:t>
      </w:r>
      <w:r w:rsidR="00A264D8" w:rsidRPr="00EF4250">
        <w:rPr>
          <w:rFonts w:cs="Times New Roman"/>
          <w:szCs w:val="20"/>
          <w:lang w:eastAsia="zh-CN"/>
        </w:rPr>
        <w:t xml:space="preserve">a </w:t>
      </w:r>
      <w:r w:rsidRPr="00EF4250">
        <w:rPr>
          <w:rFonts w:cs="Times New Roman"/>
          <w:szCs w:val="20"/>
          <w:lang w:eastAsia="zh-CN"/>
        </w:rPr>
        <w:t>published systematic review and meta-analysis</w:t>
      </w:r>
      <w:r w:rsidR="007C3758" w:rsidRPr="00EF4250">
        <w:rPr>
          <w:rFonts w:cs="Times New Roman"/>
          <w:szCs w:val="20"/>
          <w:lang w:eastAsia="zh-CN"/>
        </w:rPr>
        <w:fldChar w:fldCharType="begin"/>
      </w:r>
      <w:r w:rsidR="002F7FE7" w:rsidRPr="00EF4250">
        <w:rPr>
          <w:rFonts w:cs="Times New Roman"/>
          <w:szCs w:val="20"/>
          <w:lang w:eastAsia="zh-CN"/>
        </w:rPr>
        <w:instrText xml:space="preserve"> ADDIN EN.CITE &lt;EndNote&gt;&lt;Cite&gt;&lt;Author&gt;Santo&lt;/Author&gt;&lt;Year&gt;2021&lt;/Year&gt;&lt;RecNum&gt;137&lt;/RecNum&gt;&lt;DisplayText&gt;&lt;style face="superscript"&gt;28&lt;/style&gt;&lt;/DisplayText&gt;&lt;record&gt;&lt;rec-number&gt;137&lt;/rec-number&gt;&lt;foreign-keys&gt;&lt;key app="EN" db-id="ffv9f0td1taf24ev0z1paazh2dx55xvtwsv9" timestamp="1713388380"&gt;137&lt;/key&gt;&lt;/foreign-keys&gt;&lt;ref-type name="Journal Article"&gt;17&lt;/ref-type&gt;&lt;contributors&gt;&lt;authors&gt;&lt;author&gt;Santo, Thomas&lt;/author&gt;&lt;author&gt;Clark, Brodie&lt;/author&gt;&lt;author&gt;Hickman, Matt&lt;/author&gt;&lt;author&gt;Grebely, Jason&lt;/author&gt;&lt;author&gt;Campbell, Gabrielle&lt;/author&gt;&lt;author&gt;Sordo, Luis&lt;/author&gt;&lt;author&gt;Chen, Aileen&lt;/author&gt;&lt;author&gt;Tran, Lucy Thi&lt;/author&gt;&lt;author&gt;Bharat, Chrianna&lt;/author&gt;&lt;author&gt;Padmanathan, Prianka&lt;/author&gt;&lt;/authors&gt;&lt;/contributors&gt;&lt;titles&gt;&lt;title&gt;Association of opioid agonist treatment with all-cause mortality and specific causes of death among people with opioid dependence: a systematic review and meta-analysis&lt;/title&gt;&lt;secondary-title&gt;JAMA psychiatry&lt;/secondary-title&gt;&lt;/titles&gt;&lt;periodical&gt;&lt;full-title&gt;JAMA Psychiatry&lt;/full-title&gt;&lt;/periodical&gt;&lt;pages&gt;979-993&lt;/pages&gt;&lt;volume&gt;78&lt;/volume&gt;&lt;number&gt;9&lt;/number&gt;&lt;dates&gt;&lt;year&gt;2021&lt;/year&gt;&lt;/dates&gt;&lt;isbn&gt;2168-622X&lt;/isbn&gt;&lt;urls&gt;&lt;/urls&gt;&lt;/record&gt;&lt;/Cite&gt;&lt;/EndNote&gt;</w:instrText>
      </w:r>
      <w:r w:rsidR="007C3758" w:rsidRPr="00EF4250">
        <w:rPr>
          <w:rFonts w:cs="Times New Roman"/>
          <w:szCs w:val="20"/>
          <w:lang w:eastAsia="zh-CN"/>
        </w:rPr>
        <w:fldChar w:fldCharType="separate"/>
      </w:r>
      <w:r w:rsidR="002F7FE7" w:rsidRPr="00EF4250">
        <w:rPr>
          <w:rFonts w:cs="Times New Roman"/>
          <w:noProof/>
          <w:szCs w:val="20"/>
          <w:vertAlign w:val="superscript"/>
          <w:lang w:eastAsia="zh-CN"/>
        </w:rPr>
        <w:t>28</w:t>
      </w:r>
      <w:r w:rsidR="007C3758" w:rsidRPr="00EF4250">
        <w:rPr>
          <w:rFonts w:cs="Times New Roman"/>
          <w:szCs w:val="20"/>
          <w:lang w:eastAsia="zh-CN"/>
        </w:rPr>
        <w:fldChar w:fldCharType="end"/>
      </w:r>
      <w:r w:rsidRPr="00EF4250">
        <w:rPr>
          <w:rFonts w:cs="Times New Roman"/>
          <w:szCs w:val="20"/>
          <w:lang w:eastAsia="zh-CN"/>
        </w:rPr>
        <w:t xml:space="preserve">. Due to </w:t>
      </w:r>
      <w:r w:rsidR="00A264D8" w:rsidRPr="00EF4250">
        <w:rPr>
          <w:rFonts w:cs="Times New Roman"/>
          <w:szCs w:val="20"/>
          <w:lang w:eastAsia="zh-CN"/>
        </w:rPr>
        <w:t xml:space="preserve">the </w:t>
      </w:r>
      <w:r w:rsidRPr="00EF4250">
        <w:rPr>
          <w:rFonts w:cs="Times New Roman"/>
          <w:szCs w:val="20"/>
          <w:lang w:eastAsia="zh-CN"/>
        </w:rPr>
        <w:t xml:space="preserve">lack of </w:t>
      </w:r>
      <w:r w:rsidR="005E4052" w:rsidRPr="00EF4250">
        <w:rPr>
          <w:rFonts w:cs="Times New Roman"/>
          <w:szCs w:val="20"/>
          <w:lang w:eastAsia="zh-CN"/>
        </w:rPr>
        <w:t xml:space="preserve">existing estimates for naltrexone, we </w:t>
      </w:r>
      <w:r w:rsidR="00A264D8" w:rsidRPr="00EF4250">
        <w:rPr>
          <w:rFonts w:cs="Times New Roman"/>
          <w:szCs w:val="20"/>
          <w:lang w:eastAsia="zh-CN"/>
        </w:rPr>
        <w:t xml:space="preserve">assumed </w:t>
      </w:r>
      <w:r w:rsidR="005E4052" w:rsidRPr="00EF4250">
        <w:rPr>
          <w:rFonts w:cs="Times New Roman"/>
          <w:szCs w:val="20"/>
          <w:lang w:eastAsia="zh-CN"/>
        </w:rPr>
        <w:t xml:space="preserve">the same relative risks as those for </w:t>
      </w:r>
      <w:r w:rsidR="00EC3631" w:rsidRPr="00EF4250">
        <w:rPr>
          <w:rFonts w:cs="Times New Roman"/>
          <w:szCs w:val="20"/>
          <w:lang w:eastAsia="zh-CN"/>
        </w:rPr>
        <w:t>buprenorphine</w:t>
      </w:r>
      <w:r w:rsidR="005E4052" w:rsidRPr="00EF4250">
        <w:rPr>
          <w:rFonts w:cs="Times New Roman"/>
          <w:szCs w:val="20"/>
          <w:lang w:eastAsia="zh-CN"/>
        </w:rPr>
        <w:t xml:space="preserve"> </w:t>
      </w:r>
      <w:r w:rsidR="00A264D8" w:rsidRPr="00EF4250">
        <w:rPr>
          <w:rFonts w:cs="Times New Roman"/>
          <w:szCs w:val="20"/>
          <w:lang w:eastAsia="zh-CN"/>
        </w:rPr>
        <w:t>(</w:t>
      </w:r>
      <w:r w:rsidR="005E4052" w:rsidRPr="00EF4250">
        <w:rPr>
          <w:rFonts w:cs="Times New Roman"/>
          <w:szCs w:val="20"/>
          <w:lang w:eastAsia="zh-CN"/>
        </w:rPr>
        <w:t>an optimistic assumption</w:t>
      </w:r>
      <w:r w:rsidR="00A264D8" w:rsidRPr="00EF4250">
        <w:rPr>
          <w:rFonts w:cs="Times New Roman"/>
          <w:szCs w:val="20"/>
          <w:lang w:eastAsia="zh-CN"/>
        </w:rPr>
        <w:t>)</w:t>
      </w:r>
      <w:r w:rsidR="005E4052" w:rsidRPr="00EF4250">
        <w:rPr>
          <w:rFonts w:cs="Times New Roman"/>
          <w:szCs w:val="20"/>
          <w:lang w:eastAsia="zh-CN"/>
        </w:rPr>
        <w:t xml:space="preserve">. </w:t>
      </w:r>
    </w:p>
    <w:p w14:paraId="4AA89E99" w14:textId="427844B0" w:rsidR="005E4052" w:rsidRPr="00EF4250" w:rsidRDefault="006212E8" w:rsidP="00754108">
      <w:pPr>
        <w:pStyle w:val="ListParagraph"/>
        <w:numPr>
          <w:ilvl w:val="0"/>
          <w:numId w:val="18"/>
        </w:numPr>
        <w:spacing w:after="0" w:line="276" w:lineRule="auto"/>
        <w:rPr>
          <w:rFonts w:cs="Times New Roman"/>
          <w:szCs w:val="20"/>
          <w:lang w:eastAsia="zh-CN"/>
        </w:rPr>
      </w:pPr>
      <w:r w:rsidRPr="00EF4250">
        <w:rPr>
          <w:rFonts w:cs="Times New Roman"/>
          <w:szCs w:val="20"/>
          <w:lang w:eastAsia="zh-CN"/>
        </w:rPr>
        <w:t xml:space="preserve">Within the first month of </w:t>
      </w:r>
      <w:r w:rsidR="008A1FB7" w:rsidRPr="00EF4250">
        <w:rPr>
          <w:rFonts w:cs="Times New Roman"/>
          <w:szCs w:val="20"/>
          <w:lang w:eastAsia="zh-CN"/>
        </w:rPr>
        <w:t xml:space="preserve">relapse </w:t>
      </w:r>
      <w:r w:rsidRPr="00EF4250">
        <w:rPr>
          <w:rFonts w:cs="Times New Roman"/>
          <w:szCs w:val="20"/>
          <w:lang w:eastAsia="zh-CN"/>
        </w:rPr>
        <w:t>from</w:t>
      </w:r>
      <w:r w:rsidR="00A264D8" w:rsidRPr="00EF4250">
        <w:rPr>
          <w:rFonts w:cs="Times New Roman"/>
          <w:szCs w:val="20"/>
          <w:lang w:eastAsia="zh-CN"/>
        </w:rPr>
        <w:t xml:space="preserve"> the</w:t>
      </w:r>
      <w:r w:rsidRPr="00EF4250">
        <w:rPr>
          <w:rFonts w:cs="Times New Roman"/>
          <w:szCs w:val="20"/>
          <w:lang w:eastAsia="zh-CN"/>
        </w:rPr>
        <w:t xml:space="preserve"> </w:t>
      </w:r>
      <w:r w:rsidR="00786D40" w:rsidRPr="00EF4250">
        <w:rPr>
          <w:rFonts w:cs="Times New Roman"/>
          <w:i/>
          <w:iCs/>
          <w:szCs w:val="20"/>
          <w:lang w:eastAsia="zh-CN"/>
        </w:rPr>
        <w:t>R</w:t>
      </w:r>
      <w:r w:rsidRPr="00EF4250">
        <w:rPr>
          <w:rFonts w:cs="Times New Roman"/>
          <w:i/>
          <w:iCs/>
          <w:szCs w:val="20"/>
          <w:lang w:eastAsia="zh-CN"/>
        </w:rPr>
        <w:t>ecovery</w:t>
      </w:r>
      <w:r w:rsidR="00A264D8" w:rsidRPr="00EF4250">
        <w:rPr>
          <w:rFonts w:cs="Times New Roman"/>
          <w:i/>
          <w:iCs/>
          <w:szCs w:val="20"/>
          <w:lang w:eastAsia="zh-CN"/>
        </w:rPr>
        <w:t xml:space="preserve"> (without MOUD)</w:t>
      </w:r>
      <w:r w:rsidR="00302405" w:rsidRPr="00EF4250">
        <w:rPr>
          <w:rFonts w:cs="Times New Roman"/>
          <w:i/>
          <w:iCs/>
          <w:szCs w:val="20"/>
          <w:lang w:eastAsia="zh-CN"/>
        </w:rPr>
        <w:t xml:space="preserve"> </w:t>
      </w:r>
      <w:r w:rsidR="00302405" w:rsidRPr="00EF4250">
        <w:rPr>
          <w:rFonts w:cs="Times New Roman"/>
          <w:szCs w:val="20"/>
          <w:lang w:eastAsia="zh-CN"/>
        </w:rPr>
        <w:t>state</w:t>
      </w:r>
      <w:r w:rsidRPr="00EF4250">
        <w:rPr>
          <w:rFonts w:cs="Times New Roman"/>
          <w:szCs w:val="20"/>
          <w:lang w:eastAsia="zh-CN"/>
        </w:rPr>
        <w:t xml:space="preserve">, we assumed the same relative risk as </w:t>
      </w:r>
      <w:r w:rsidR="00D76B6A" w:rsidRPr="00EF4250">
        <w:rPr>
          <w:rFonts w:cs="Times New Roman"/>
          <w:szCs w:val="20"/>
          <w:lang w:eastAsia="zh-CN"/>
        </w:rPr>
        <w:t>in</w:t>
      </w:r>
      <w:r w:rsidRPr="00EF4250">
        <w:rPr>
          <w:rFonts w:cs="Times New Roman"/>
          <w:szCs w:val="20"/>
          <w:lang w:eastAsia="zh-CN"/>
        </w:rPr>
        <w:t xml:space="preserve"> the first month of relapse from </w:t>
      </w:r>
      <w:r w:rsidR="006E09BF" w:rsidRPr="00EF4250">
        <w:rPr>
          <w:rFonts w:cs="Times New Roman"/>
          <w:szCs w:val="20"/>
          <w:lang w:eastAsia="zh-CN"/>
        </w:rPr>
        <w:t xml:space="preserve">MOUD with </w:t>
      </w:r>
      <w:r w:rsidR="00EC3631" w:rsidRPr="00EF4250">
        <w:rPr>
          <w:rFonts w:cs="Times New Roman"/>
          <w:szCs w:val="20"/>
          <w:lang w:eastAsia="zh-CN"/>
        </w:rPr>
        <w:t>buprenorphine</w:t>
      </w:r>
      <w:r w:rsidRPr="00EF4250">
        <w:rPr>
          <w:rFonts w:cs="Times New Roman"/>
          <w:szCs w:val="20"/>
          <w:lang w:eastAsia="zh-CN"/>
        </w:rPr>
        <w:t xml:space="preserve">. </w:t>
      </w:r>
    </w:p>
    <w:p w14:paraId="10DAF44D" w14:textId="77777777" w:rsidR="00193155" w:rsidRPr="00EF4250" w:rsidRDefault="00193155" w:rsidP="00754108">
      <w:pPr>
        <w:spacing w:after="0" w:line="276" w:lineRule="auto"/>
        <w:rPr>
          <w:rFonts w:cs="Times New Roman"/>
          <w:color w:val="385623" w:themeColor="accent6" w:themeShade="80"/>
          <w:szCs w:val="20"/>
          <w:lang w:eastAsia="zh-CN"/>
        </w:rPr>
      </w:pPr>
    </w:p>
    <w:p w14:paraId="4F16317B" w14:textId="1F2B0252" w:rsidR="004D029F" w:rsidRPr="00EF4250" w:rsidRDefault="003D6565" w:rsidP="00754108">
      <w:pPr>
        <w:spacing w:after="0" w:line="276" w:lineRule="auto"/>
        <w:rPr>
          <w:rFonts w:cs="Times New Roman"/>
          <w:szCs w:val="20"/>
          <w:lang w:eastAsia="zh-CN"/>
        </w:rPr>
      </w:pPr>
      <w:r w:rsidRPr="00EF4250">
        <w:rPr>
          <w:rFonts w:cs="Times New Roman"/>
          <w:szCs w:val="20"/>
          <w:lang w:eastAsia="zh-CN"/>
        </w:rPr>
        <w:t>If the overdose was not witnessed, the overall fatal probability after accounting for all adjustment</w:t>
      </w:r>
      <w:r w:rsidR="00D76B6A" w:rsidRPr="00EF4250">
        <w:rPr>
          <w:rFonts w:cs="Times New Roman"/>
          <w:szCs w:val="20"/>
          <w:lang w:eastAsia="zh-CN"/>
        </w:rPr>
        <w:t>s</w:t>
      </w:r>
      <w:r w:rsidRPr="00EF4250">
        <w:rPr>
          <w:rFonts w:cs="Times New Roman"/>
          <w:szCs w:val="20"/>
          <w:lang w:eastAsia="zh-CN"/>
        </w:rPr>
        <w:t xml:space="preserve"> was determined as</w:t>
      </w:r>
      <w:r w:rsidR="00D76B6A" w:rsidRPr="00EF4250">
        <w:rPr>
          <w:rFonts w:cs="Times New Roman"/>
          <w:szCs w:val="20"/>
          <w:lang w:eastAsia="zh-CN"/>
        </w:rPr>
        <w:t xml:space="preserve"> follows</w:t>
      </w:r>
      <w:r w:rsidRPr="00EF4250">
        <w:rPr>
          <w:rFonts w:cs="Times New Roman"/>
          <w:szCs w:val="20"/>
          <w:lang w:eastAsia="zh-CN"/>
        </w:rPr>
        <w:t>:</w:t>
      </w:r>
    </w:p>
    <w:p w14:paraId="3A3DC835" w14:textId="3A3ECDB7" w:rsidR="004D029F" w:rsidRPr="00EF4250" w:rsidRDefault="00000000" w:rsidP="00754108">
      <w:pPr>
        <w:spacing w:after="0" w:line="276" w:lineRule="auto"/>
        <w:rPr>
          <w:rFonts w:cs="Times New Roman"/>
          <w:b/>
          <w:bCs/>
          <w:szCs w:val="20"/>
          <w:lang w:eastAsia="zh-CN"/>
        </w:rPr>
      </w:pPr>
      <m:oMathPara>
        <m:oMath>
          <m:sSubSup>
            <m:sSubSupPr>
              <m:ctrlPr>
                <w:rPr>
                  <w:rFonts w:ascii="Cambria Math" w:hAnsi="Cambria Math" w:cs="Times New Roman"/>
                  <w:i/>
                  <w:szCs w:val="20"/>
                </w:rPr>
              </m:ctrlPr>
            </m:sSubSupPr>
            <m:e>
              <m:r>
                <w:rPr>
                  <w:rFonts w:ascii="Cambria Math" w:hAnsi="Cambria Math" w:cs="Times New Roman"/>
                  <w:szCs w:val="20"/>
                </w:rPr>
                <m:t>p</m:t>
              </m:r>
            </m:e>
            <m:sub>
              <m:r>
                <m:rPr>
                  <m:sty m:val="p"/>
                </m:rPr>
                <w:rPr>
                  <w:rFonts w:ascii="Cambria Math" w:hAnsi="Cambria Math" w:cs="Times New Roman"/>
                  <w:szCs w:val="20"/>
                </w:rPr>
                <m:t>fatal</m:t>
              </m:r>
              <m:ctrlPr>
                <w:rPr>
                  <w:rFonts w:ascii="Cambria Math" w:hAnsi="Cambria Math" w:cs="Times New Roman"/>
                  <w:iCs/>
                  <w:szCs w:val="20"/>
                </w:rPr>
              </m:ctrlPr>
            </m:sub>
            <m:sup>
              <m:r>
                <w:rPr>
                  <w:rFonts w:ascii="Cambria Math" w:hAnsi="Cambria Math" w:cs="Times New Roman"/>
                  <w:szCs w:val="20"/>
                </w:rPr>
                <m:t>unwit</m:t>
              </m:r>
            </m:sup>
          </m:sSubSup>
          <m:r>
            <w:rPr>
              <w:rFonts w:ascii="Cambria Math" w:hAnsi="Cambria Math" w:cs="Times New Roman"/>
              <w:szCs w:val="20"/>
            </w:rPr>
            <m:t>=</m:t>
          </m:r>
          <m:sSubSup>
            <m:sSubSupPr>
              <m:ctrlPr>
                <w:rPr>
                  <w:rFonts w:ascii="Cambria Math" w:hAnsi="Cambria Math" w:cs="Times New Roman"/>
                  <w:i/>
                  <w:szCs w:val="20"/>
                </w:rPr>
              </m:ctrlPr>
            </m:sSubSupPr>
            <m:e>
              <m:r>
                <w:rPr>
                  <w:rFonts w:ascii="Cambria Math" w:hAnsi="Cambria Math" w:cs="Times New Roman"/>
                  <w:szCs w:val="20"/>
                </w:rPr>
                <m:t>p</m:t>
              </m:r>
            </m:e>
            <m:sub>
              <m:r>
                <m:rPr>
                  <m:nor/>
                </m:rPr>
                <w:rPr>
                  <w:rFonts w:cs="Times New Roman"/>
                  <w:iCs/>
                  <w:szCs w:val="20"/>
                </w:rPr>
                <m:t>fatal</m:t>
              </m:r>
              <m:ctrlPr>
                <w:rPr>
                  <w:rFonts w:ascii="Cambria Math" w:hAnsi="Cambria Math" w:cs="Times New Roman"/>
                  <w:iCs/>
                  <w:szCs w:val="20"/>
                </w:rPr>
              </m:ctrlPr>
            </m:sub>
            <m:sup>
              <m:r>
                <m:rPr>
                  <m:sty m:val="p"/>
                </m:rPr>
                <w:rPr>
                  <w:rFonts w:ascii="Cambria Math" w:hAnsi="Cambria Math" w:cs="Times New Roman"/>
                  <w:szCs w:val="20"/>
                </w:rPr>
                <m:t>base</m:t>
              </m:r>
            </m:sup>
          </m:sSubSup>
          <m:r>
            <w:rPr>
              <w:rFonts w:ascii="Cambria Math" w:hAnsi="Cambria Math" w:cs="Times New Roman"/>
              <w:szCs w:val="20"/>
            </w:rPr>
            <m:t>⋅RR</m:t>
          </m:r>
          <m:d>
            <m:dPr>
              <m:ctrlPr>
                <w:rPr>
                  <w:rFonts w:ascii="Cambria Math" w:hAnsi="Cambria Math" w:cs="Times New Roman"/>
                  <w:i/>
                  <w:szCs w:val="20"/>
                </w:rPr>
              </m:ctrlPr>
            </m:dPr>
            <m:e>
              <m:r>
                <m:rPr>
                  <m:sty m:val="p"/>
                </m:rPr>
                <w:rPr>
                  <w:rFonts w:ascii="Cambria Math" w:hAnsi="Cambria Math" w:cs="Times New Roman"/>
                  <w:szCs w:val="20"/>
                </w:rPr>
                <m:t>state</m:t>
              </m:r>
            </m:e>
          </m:d>
          <m:r>
            <w:rPr>
              <w:rFonts w:ascii="Cambria Math" w:hAnsi="Cambria Math" w:cs="Times New Roman"/>
              <w:szCs w:val="20"/>
            </w:rPr>
            <m:t>.</m:t>
          </m:r>
        </m:oMath>
      </m:oMathPara>
    </w:p>
    <w:p w14:paraId="59E82770" w14:textId="77777777" w:rsidR="004D029F" w:rsidRPr="00EF4250" w:rsidRDefault="004D029F" w:rsidP="00754108">
      <w:pPr>
        <w:spacing w:after="0" w:line="276" w:lineRule="auto"/>
        <w:rPr>
          <w:rFonts w:cs="Times New Roman"/>
          <w:szCs w:val="20"/>
          <w:lang w:eastAsia="zh-CN"/>
        </w:rPr>
      </w:pPr>
    </w:p>
    <w:p w14:paraId="0E293D8C" w14:textId="51167720" w:rsidR="003D6565" w:rsidRPr="00EF4250" w:rsidRDefault="008F77CD" w:rsidP="00754108">
      <w:pPr>
        <w:spacing w:after="0" w:line="276" w:lineRule="auto"/>
        <w:rPr>
          <w:rFonts w:cs="Times New Roman"/>
          <w:szCs w:val="20"/>
          <w:lang w:eastAsia="zh-CN"/>
        </w:rPr>
      </w:pPr>
      <w:r w:rsidRPr="00EF4250">
        <w:rPr>
          <w:rFonts w:cs="Times New Roman"/>
          <w:szCs w:val="20"/>
          <w:lang w:eastAsia="zh-CN"/>
        </w:rPr>
        <w:t>A</w:t>
      </w:r>
      <w:r w:rsidR="00D76B6A" w:rsidRPr="00EF4250">
        <w:rPr>
          <w:rFonts w:cs="Times New Roman"/>
          <w:szCs w:val="20"/>
          <w:lang w:eastAsia="zh-CN"/>
        </w:rPr>
        <w:t xml:space="preserve"> death from </w:t>
      </w:r>
      <w:r w:rsidR="004213D6" w:rsidRPr="00EF4250">
        <w:rPr>
          <w:rFonts w:cs="Times New Roman"/>
          <w:szCs w:val="20"/>
          <w:lang w:eastAsia="zh-CN"/>
        </w:rPr>
        <w:t xml:space="preserve">overdose could potentially </w:t>
      </w:r>
      <w:r w:rsidR="00D76B6A" w:rsidRPr="00EF4250">
        <w:rPr>
          <w:rFonts w:cs="Times New Roman"/>
          <w:szCs w:val="20"/>
          <w:lang w:eastAsia="zh-CN"/>
        </w:rPr>
        <w:t xml:space="preserve">be </w:t>
      </w:r>
      <w:r w:rsidR="004213D6" w:rsidRPr="00EF4250">
        <w:rPr>
          <w:rFonts w:cs="Times New Roman"/>
          <w:szCs w:val="20"/>
          <w:lang w:eastAsia="zh-CN"/>
        </w:rPr>
        <w:t>averted</w:t>
      </w:r>
      <w:r w:rsidRPr="00EF4250">
        <w:rPr>
          <w:rFonts w:cs="Times New Roman"/>
          <w:szCs w:val="20"/>
          <w:lang w:eastAsia="zh-CN"/>
        </w:rPr>
        <w:t xml:space="preserve"> if naloxone was available at the overdose event</w:t>
      </w:r>
      <w:r w:rsidR="004213D6" w:rsidRPr="00EF4250">
        <w:rPr>
          <w:rFonts w:cs="Times New Roman"/>
          <w:szCs w:val="20"/>
          <w:lang w:eastAsia="zh-CN"/>
        </w:rPr>
        <w:t xml:space="preserve">. Therefore, we </w:t>
      </w:r>
      <w:r w:rsidR="00A264D8" w:rsidRPr="00EF4250">
        <w:rPr>
          <w:rFonts w:cs="Times New Roman"/>
          <w:szCs w:val="20"/>
          <w:lang w:eastAsia="zh-CN"/>
        </w:rPr>
        <w:t xml:space="preserve">allowed </w:t>
      </w:r>
      <w:r w:rsidR="004213D6" w:rsidRPr="00EF4250">
        <w:rPr>
          <w:rFonts w:cs="Times New Roman"/>
          <w:szCs w:val="20"/>
          <w:lang w:eastAsia="zh-CN"/>
        </w:rPr>
        <w:t xml:space="preserve">reduction in the </w:t>
      </w:r>
      <w:r w:rsidR="003D6565" w:rsidRPr="00EF4250">
        <w:rPr>
          <w:rFonts w:cs="Times New Roman"/>
          <w:szCs w:val="20"/>
          <w:lang w:eastAsia="zh-CN"/>
        </w:rPr>
        <w:t xml:space="preserve">fatal probability </w:t>
      </w:r>
      <w:r w:rsidR="004213D6" w:rsidRPr="00EF4250">
        <w:rPr>
          <w:rFonts w:cs="Times New Roman"/>
          <w:szCs w:val="20"/>
          <w:lang w:eastAsia="zh-CN"/>
        </w:rPr>
        <w:t xml:space="preserve">due to naloxone </w:t>
      </w:r>
      <w:r w:rsidR="00D76B6A" w:rsidRPr="00EF4250">
        <w:rPr>
          <w:rFonts w:cs="Times New Roman"/>
          <w:szCs w:val="20"/>
          <w:lang w:eastAsia="zh-CN"/>
        </w:rPr>
        <w:t xml:space="preserve">being </w:t>
      </w:r>
      <w:r w:rsidR="004213D6" w:rsidRPr="00EF4250">
        <w:rPr>
          <w:rFonts w:cs="Times New Roman"/>
          <w:szCs w:val="20"/>
          <w:lang w:eastAsia="zh-CN"/>
        </w:rPr>
        <w:t xml:space="preserve">distributed in the community. That is, we included a relative risk factor accounting for the naloxone availability in the community, </w:t>
      </w:r>
      <m:oMath>
        <m:r>
          <w:rPr>
            <w:rFonts w:ascii="Cambria Math" w:hAnsi="Cambria Math" w:cs="Times New Roman"/>
            <w:szCs w:val="20"/>
            <w:lang w:eastAsia="zh-CN"/>
          </w:rPr>
          <m:t>R</m:t>
        </m:r>
        <m:sSub>
          <m:sSubPr>
            <m:ctrlPr>
              <w:rPr>
                <w:rFonts w:ascii="Cambria Math" w:hAnsi="Cambria Math" w:cs="Times New Roman"/>
                <w:i/>
                <w:szCs w:val="20"/>
                <w:lang w:eastAsia="zh-CN"/>
              </w:rPr>
            </m:ctrlPr>
          </m:sSubPr>
          <m:e>
            <m:r>
              <w:rPr>
                <w:rFonts w:ascii="Cambria Math" w:hAnsi="Cambria Math" w:cs="Times New Roman"/>
                <w:szCs w:val="20"/>
                <w:lang w:eastAsia="zh-CN"/>
              </w:rPr>
              <m:t>R</m:t>
            </m:r>
          </m:e>
          <m:sub>
            <m:r>
              <w:rPr>
                <w:rFonts w:ascii="Cambria Math" w:hAnsi="Cambria Math" w:cs="Times New Roman"/>
                <w:szCs w:val="20"/>
                <w:lang w:eastAsia="zh-CN"/>
              </w:rPr>
              <m:t>naloxone</m:t>
            </m:r>
          </m:sub>
        </m:sSub>
      </m:oMath>
      <w:r w:rsidR="004213D6" w:rsidRPr="00EF4250">
        <w:rPr>
          <w:rFonts w:cs="Times New Roman"/>
          <w:szCs w:val="20"/>
          <w:lang w:eastAsia="zh-CN"/>
        </w:rPr>
        <w:t xml:space="preserve">, when determining the fatal probability </w:t>
      </w:r>
      <w:r w:rsidR="00D76B6A" w:rsidRPr="00EF4250">
        <w:rPr>
          <w:rFonts w:cs="Times New Roman"/>
          <w:szCs w:val="20"/>
          <w:lang w:eastAsia="zh-CN"/>
        </w:rPr>
        <w:t>in the event of a witnessed</w:t>
      </w:r>
      <w:r w:rsidR="004213D6" w:rsidRPr="00EF4250">
        <w:rPr>
          <w:rFonts w:cs="Times New Roman"/>
          <w:szCs w:val="20"/>
          <w:lang w:eastAsia="zh-CN"/>
        </w:rPr>
        <w:t xml:space="preserve"> overdose: </w:t>
      </w:r>
    </w:p>
    <w:p w14:paraId="5A983F75" w14:textId="6427681F" w:rsidR="00602824" w:rsidRPr="00EF4250" w:rsidRDefault="00000000" w:rsidP="00754108">
      <w:pPr>
        <w:spacing w:after="0" w:line="276" w:lineRule="auto"/>
        <w:rPr>
          <w:rFonts w:cs="Times New Roman"/>
          <w:b/>
          <w:bCs/>
          <w:szCs w:val="20"/>
          <w:lang w:eastAsia="zh-CN"/>
        </w:rPr>
      </w:pPr>
      <m:oMathPara>
        <m:oMath>
          <m:sSubSup>
            <m:sSubSupPr>
              <m:ctrlPr>
                <w:rPr>
                  <w:rFonts w:ascii="Cambria Math" w:hAnsi="Cambria Math" w:cs="Times New Roman"/>
                  <w:i/>
                  <w:szCs w:val="20"/>
                </w:rPr>
              </m:ctrlPr>
            </m:sSubSupPr>
            <m:e>
              <m:r>
                <w:rPr>
                  <w:rFonts w:ascii="Cambria Math" w:hAnsi="Cambria Math" w:cs="Times New Roman"/>
                  <w:szCs w:val="20"/>
                </w:rPr>
                <m:t>p</m:t>
              </m:r>
            </m:e>
            <m:sub>
              <m:r>
                <m:rPr>
                  <m:sty m:val="p"/>
                </m:rPr>
                <w:rPr>
                  <w:rFonts w:ascii="Cambria Math" w:hAnsi="Cambria Math" w:cs="Times New Roman"/>
                  <w:szCs w:val="20"/>
                </w:rPr>
                <m:t>fatal</m:t>
              </m:r>
              <m:ctrlPr>
                <w:rPr>
                  <w:rFonts w:ascii="Cambria Math" w:hAnsi="Cambria Math" w:cs="Times New Roman"/>
                  <w:iCs/>
                  <w:szCs w:val="20"/>
                </w:rPr>
              </m:ctrlPr>
            </m:sub>
            <m:sup>
              <m:r>
                <w:rPr>
                  <w:rFonts w:ascii="Cambria Math" w:hAnsi="Cambria Math" w:cs="Times New Roman"/>
                  <w:szCs w:val="20"/>
                </w:rPr>
                <m:t>wit</m:t>
              </m:r>
            </m:sup>
          </m:sSubSup>
          <m:r>
            <w:rPr>
              <w:rFonts w:ascii="Cambria Math" w:hAnsi="Cambria Math" w:cs="Times New Roman"/>
              <w:szCs w:val="20"/>
            </w:rPr>
            <m:t>=</m:t>
          </m:r>
          <m:sSubSup>
            <m:sSubSupPr>
              <m:ctrlPr>
                <w:rPr>
                  <w:rFonts w:ascii="Cambria Math" w:hAnsi="Cambria Math" w:cs="Times New Roman"/>
                  <w:i/>
                  <w:szCs w:val="20"/>
                </w:rPr>
              </m:ctrlPr>
            </m:sSubSupPr>
            <m:e>
              <m:r>
                <w:rPr>
                  <w:rFonts w:ascii="Cambria Math" w:hAnsi="Cambria Math" w:cs="Times New Roman"/>
                  <w:szCs w:val="20"/>
                </w:rPr>
                <m:t>p</m:t>
              </m:r>
            </m:e>
            <m:sub>
              <m:r>
                <m:rPr>
                  <m:nor/>
                </m:rPr>
                <w:rPr>
                  <w:rFonts w:cs="Times New Roman"/>
                  <w:iCs/>
                  <w:szCs w:val="20"/>
                </w:rPr>
                <m:t>fatal</m:t>
              </m:r>
              <m:ctrlPr>
                <w:rPr>
                  <w:rFonts w:ascii="Cambria Math" w:hAnsi="Cambria Math" w:cs="Times New Roman"/>
                  <w:iCs/>
                  <w:szCs w:val="20"/>
                </w:rPr>
              </m:ctrlPr>
            </m:sub>
            <m:sup>
              <m:r>
                <m:rPr>
                  <m:sty m:val="p"/>
                </m:rPr>
                <w:rPr>
                  <w:rFonts w:ascii="Cambria Math" w:hAnsi="Cambria Math" w:cs="Times New Roman"/>
                  <w:szCs w:val="20"/>
                </w:rPr>
                <m:t>base</m:t>
              </m:r>
            </m:sup>
          </m:sSubSup>
          <m:r>
            <w:rPr>
              <w:rFonts w:ascii="Cambria Math" w:hAnsi="Cambria Math" w:cs="Times New Roman"/>
              <w:szCs w:val="20"/>
            </w:rPr>
            <m:t>⋅RR</m:t>
          </m:r>
          <m:d>
            <m:dPr>
              <m:ctrlPr>
                <w:rPr>
                  <w:rFonts w:ascii="Cambria Math" w:hAnsi="Cambria Math" w:cs="Times New Roman"/>
                  <w:i/>
                  <w:szCs w:val="20"/>
                </w:rPr>
              </m:ctrlPr>
            </m:dPr>
            <m:e>
              <m:r>
                <m:rPr>
                  <m:sty m:val="p"/>
                </m:rPr>
                <w:rPr>
                  <w:rFonts w:ascii="Cambria Math" w:hAnsi="Cambria Math" w:cs="Times New Roman"/>
                  <w:szCs w:val="20"/>
                </w:rPr>
                <m:t>state</m:t>
              </m:r>
            </m:e>
          </m:d>
          <m:r>
            <m:rPr>
              <m:sty m:val="p"/>
            </m:rPr>
            <w:rPr>
              <w:rFonts w:ascii="Cambria Math" w:hAnsi="Cambria Math" w:cs="Times New Roman"/>
              <w:szCs w:val="20"/>
            </w:rPr>
            <m:t>⋅</m:t>
          </m:r>
          <m:r>
            <w:rPr>
              <w:rFonts w:ascii="Cambria Math" w:hAnsi="Cambria Math" w:cs="Times New Roman"/>
              <w:szCs w:val="20"/>
            </w:rPr>
            <m:t>R</m:t>
          </m:r>
          <m:sSub>
            <m:sSubPr>
              <m:ctrlPr>
                <w:rPr>
                  <w:rFonts w:ascii="Cambria Math" w:hAnsi="Cambria Math" w:cs="Times New Roman"/>
                  <w:i/>
                  <w:szCs w:val="20"/>
                </w:rPr>
              </m:ctrlPr>
            </m:sSubPr>
            <m:e>
              <m:r>
                <w:rPr>
                  <w:rFonts w:ascii="Cambria Math" w:hAnsi="Cambria Math" w:cs="Times New Roman"/>
                  <w:szCs w:val="20"/>
                </w:rPr>
                <m:t>R</m:t>
              </m:r>
            </m:e>
            <m:sub>
              <m:r>
                <w:rPr>
                  <w:rFonts w:ascii="Cambria Math" w:hAnsi="Cambria Math" w:cs="Times New Roman"/>
                  <w:szCs w:val="20"/>
                </w:rPr>
                <m:t>naloxone</m:t>
              </m:r>
            </m:sub>
          </m:sSub>
          <m:r>
            <w:rPr>
              <w:rFonts w:ascii="Cambria Math" w:hAnsi="Cambria Math" w:cs="Times New Roman"/>
              <w:szCs w:val="20"/>
            </w:rPr>
            <m:t>(t).</m:t>
          </m:r>
        </m:oMath>
      </m:oMathPara>
    </w:p>
    <w:p w14:paraId="02F2592B" w14:textId="77777777" w:rsidR="00602824" w:rsidRPr="00EF4250" w:rsidRDefault="00602824" w:rsidP="00754108">
      <w:pPr>
        <w:spacing w:after="0" w:line="276" w:lineRule="auto"/>
        <w:rPr>
          <w:rFonts w:cs="Times New Roman"/>
          <w:b/>
          <w:bCs/>
          <w:szCs w:val="20"/>
          <w:lang w:eastAsia="zh-CN"/>
        </w:rPr>
      </w:pPr>
    </w:p>
    <w:p w14:paraId="1E80D94E" w14:textId="6E2DDDD6" w:rsidR="00450492" w:rsidRPr="00EF4250" w:rsidRDefault="006D3480" w:rsidP="00754108">
      <w:pPr>
        <w:spacing w:after="0" w:line="276" w:lineRule="auto"/>
        <w:rPr>
          <w:rFonts w:cs="Times New Roman"/>
          <w:szCs w:val="20"/>
          <w:lang w:eastAsia="zh-CN"/>
        </w:rPr>
      </w:pPr>
      <w:r w:rsidRPr="00EF4250">
        <w:rPr>
          <w:rFonts w:cs="Times New Roman"/>
          <w:szCs w:val="20"/>
          <w:lang w:eastAsia="zh-CN"/>
        </w:rPr>
        <w:t>T</w:t>
      </w:r>
      <w:r w:rsidR="004213D6" w:rsidRPr="00EF4250">
        <w:rPr>
          <w:rFonts w:cs="Times New Roman"/>
          <w:szCs w:val="20"/>
          <w:lang w:eastAsia="zh-CN"/>
        </w:rPr>
        <w:t xml:space="preserve">he </w:t>
      </w:r>
      <w:r w:rsidRPr="00EF4250">
        <w:rPr>
          <w:rFonts w:cs="Times New Roman"/>
          <w:szCs w:val="20"/>
          <w:lang w:eastAsia="zh-CN"/>
        </w:rPr>
        <w:t>next</w:t>
      </w:r>
      <w:r w:rsidR="004213D6" w:rsidRPr="00EF4250">
        <w:rPr>
          <w:rFonts w:cs="Times New Roman"/>
          <w:szCs w:val="20"/>
          <w:lang w:eastAsia="zh-CN"/>
        </w:rPr>
        <w:t xml:space="preserve"> subsection </w:t>
      </w:r>
      <w:r w:rsidRPr="00EF4250">
        <w:rPr>
          <w:rFonts w:cs="Times New Roman"/>
          <w:szCs w:val="20"/>
          <w:lang w:eastAsia="zh-CN"/>
        </w:rPr>
        <w:t xml:space="preserve">describes the details of </w:t>
      </w:r>
      <w:r w:rsidR="00A264D8" w:rsidRPr="00EF4250">
        <w:rPr>
          <w:rFonts w:cs="Times New Roman"/>
          <w:szCs w:val="20"/>
          <w:lang w:eastAsia="zh-CN"/>
        </w:rPr>
        <w:t xml:space="preserve">the </w:t>
      </w:r>
      <w:r w:rsidRPr="00EF4250">
        <w:rPr>
          <w:rFonts w:cs="Times New Roman"/>
          <w:szCs w:val="20"/>
          <w:lang w:eastAsia="zh-CN"/>
        </w:rPr>
        <w:t xml:space="preserve">parameterization </w:t>
      </w:r>
      <w:r w:rsidR="00597524" w:rsidRPr="00EF4250">
        <w:rPr>
          <w:rFonts w:cs="Times New Roman"/>
          <w:szCs w:val="20"/>
          <w:lang w:eastAsia="zh-CN"/>
        </w:rPr>
        <w:t>for</w:t>
      </w:r>
      <w:r w:rsidRPr="00EF4250">
        <w:rPr>
          <w:rFonts w:cs="Times New Roman"/>
          <w:szCs w:val="20"/>
          <w:lang w:eastAsia="zh-CN"/>
        </w:rPr>
        <w:t xml:space="preserve"> </w:t>
      </w:r>
      <m:oMath>
        <m:r>
          <w:rPr>
            <w:rFonts w:ascii="Cambria Math" w:hAnsi="Cambria Math" w:cs="Times New Roman"/>
            <w:szCs w:val="20"/>
            <w:lang w:eastAsia="zh-CN"/>
          </w:rPr>
          <m:t>R</m:t>
        </m:r>
        <m:sSub>
          <m:sSubPr>
            <m:ctrlPr>
              <w:rPr>
                <w:rFonts w:ascii="Cambria Math" w:hAnsi="Cambria Math" w:cs="Times New Roman"/>
                <w:i/>
                <w:szCs w:val="20"/>
                <w:lang w:eastAsia="zh-CN"/>
              </w:rPr>
            </m:ctrlPr>
          </m:sSubPr>
          <m:e>
            <m:r>
              <w:rPr>
                <w:rFonts w:ascii="Cambria Math" w:hAnsi="Cambria Math" w:cs="Times New Roman"/>
                <w:szCs w:val="20"/>
                <w:lang w:eastAsia="zh-CN"/>
              </w:rPr>
              <m:t>R</m:t>
            </m:r>
          </m:e>
          <m:sub>
            <m:r>
              <w:rPr>
                <w:rFonts w:ascii="Cambria Math" w:hAnsi="Cambria Math" w:cs="Times New Roman"/>
                <w:szCs w:val="20"/>
                <w:lang w:eastAsia="zh-CN"/>
              </w:rPr>
              <m:t>naloxone</m:t>
            </m:r>
          </m:sub>
        </m:sSub>
      </m:oMath>
      <w:r w:rsidR="004213D6" w:rsidRPr="00EF4250">
        <w:rPr>
          <w:rFonts w:cs="Times New Roman"/>
          <w:szCs w:val="20"/>
          <w:lang w:eastAsia="zh-CN"/>
        </w:rPr>
        <w:t xml:space="preserve"> based on the number of naloxone kits </w:t>
      </w:r>
      <w:r w:rsidRPr="00EF4250">
        <w:rPr>
          <w:rFonts w:cs="Times New Roman"/>
          <w:szCs w:val="20"/>
          <w:lang w:eastAsia="zh-CN"/>
        </w:rPr>
        <w:t xml:space="preserve">circulated </w:t>
      </w:r>
      <w:r w:rsidR="004213D6" w:rsidRPr="00EF4250">
        <w:rPr>
          <w:rFonts w:cs="Times New Roman"/>
          <w:szCs w:val="20"/>
          <w:lang w:eastAsia="zh-CN"/>
        </w:rPr>
        <w:t>in the community.</w:t>
      </w:r>
    </w:p>
    <w:p w14:paraId="279C2879" w14:textId="7DB6F21B" w:rsidR="008D2CEC" w:rsidRPr="00D2239A" w:rsidRDefault="008D2CEC" w:rsidP="00D94C5E">
      <w:pPr>
        <w:pStyle w:val="Heading2"/>
        <w:rPr>
          <w:rFonts w:cs="Times New Roman"/>
        </w:rPr>
      </w:pPr>
      <w:bookmarkStart w:id="34" w:name="_Toc206680996"/>
      <w:bookmarkStart w:id="35" w:name="_Toc226020686"/>
      <w:r w:rsidRPr="00D2239A">
        <w:rPr>
          <w:rFonts w:cs="Times New Roman"/>
        </w:rPr>
        <w:t>S1.</w:t>
      </w:r>
      <w:r w:rsidR="008F590E" w:rsidRPr="00D2239A">
        <w:rPr>
          <w:rFonts w:cs="Times New Roman"/>
        </w:rPr>
        <w:t>4.2</w:t>
      </w:r>
      <w:r w:rsidR="00C10F10">
        <w:rPr>
          <w:rFonts w:cs="Times New Roman"/>
        </w:rPr>
        <w:t>.</w:t>
      </w:r>
      <w:r w:rsidRPr="00D2239A">
        <w:rPr>
          <w:rFonts w:cs="Times New Roman"/>
        </w:rPr>
        <w:t xml:space="preserve"> Modeling the impact of naloxone availability on overdose mortality</w:t>
      </w:r>
      <w:bookmarkEnd w:id="34"/>
      <w:bookmarkEnd w:id="35"/>
    </w:p>
    <w:p w14:paraId="0F373F6D" w14:textId="4CC765F0" w:rsidR="007C55C6" w:rsidRPr="00EF4250" w:rsidRDefault="008D2CEC" w:rsidP="00754108">
      <w:pPr>
        <w:spacing w:after="0" w:line="276" w:lineRule="auto"/>
        <w:rPr>
          <w:rFonts w:cs="Times New Roman"/>
          <w:szCs w:val="20"/>
        </w:rPr>
      </w:pPr>
      <w:r w:rsidRPr="00EF4250">
        <w:rPr>
          <w:rFonts w:cs="Times New Roman"/>
          <w:szCs w:val="20"/>
        </w:rPr>
        <w:t>We used data collected by</w:t>
      </w:r>
      <w:r w:rsidR="00D7721C" w:rsidRPr="00EF4250">
        <w:rPr>
          <w:rFonts w:cs="Times New Roman"/>
          <w:szCs w:val="20"/>
        </w:rPr>
        <w:t xml:space="preserve"> the</w:t>
      </w:r>
      <w:r w:rsidRPr="00EF4250">
        <w:rPr>
          <w:rFonts w:cs="Times New Roman"/>
          <w:szCs w:val="20"/>
        </w:rPr>
        <w:t xml:space="preserve"> HCS on the number of naloxone kits distributed in each community through pharmacies</w:t>
      </w:r>
      <w:r w:rsidR="00200014" w:rsidRPr="00EF4250">
        <w:rPr>
          <w:rFonts w:cs="Times New Roman"/>
          <w:szCs w:val="20"/>
        </w:rPr>
        <w:fldChar w:fldCharType="begin"/>
      </w:r>
      <w:r w:rsidR="009959E5">
        <w:rPr>
          <w:rFonts w:cs="Times New Roman"/>
          <w:szCs w:val="20"/>
        </w:rPr>
        <w:instrText xml:space="preserve"> ADDIN EN.CITE &lt;EndNote&gt;&lt;Cite&gt;&lt;Author&gt;IQVIA&lt;/Author&gt;&lt;Year&gt;2023&lt;/Year&gt;&lt;RecNum&gt;375&lt;/RecNum&gt;&lt;DisplayText&gt;&lt;style face="superscript"&gt;29&lt;/style&gt;&lt;/DisplayText&gt;&lt;record&gt;&lt;rec-number&gt;375&lt;/rec-number&gt;&lt;foreign-keys&gt;&lt;key app="EN" db-id="avtevdx5n99twqeadeupredtzeaatxdp5xsr" timestamp="1727801651"&gt;375&lt;/key&gt;&lt;/foreign-keys&gt;&lt;ref-type name="Journal Article"&gt;17&lt;/ref-type&gt;&lt;contributors&gt;&lt;authors&gt;&lt;author&gt;IQVIA&lt;/author&gt;&lt;/authors&gt;&lt;/contributors&gt;&lt;titles&gt;&lt;title&gt;IQVIA National Prescription Audit Available from: https://www.iqvia.com/solutions/real-world-evidence/real-world-data-and-insights&lt;/title&gt;&lt;/titles&gt;&lt;dates&gt;&lt;year&gt;2023&lt;/year&gt;&lt;/dates&gt;&lt;urls&gt;&lt;/urls&gt;&lt;/record&gt;&lt;/Cite&gt;&lt;/EndNote&gt;</w:instrText>
      </w:r>
      <w:r w:rsidR="00200014" w:rsidRPr="00EF4250">
        <w:rPr>
          <w:rFonts w:cs="Times New Roman"/>
          <w:szCs w:val="20"/>
        </w:rPr>
        <w:fldChar w:fldCharType="separate"/>
      </w:r>
      <w:r w:rsidR="00200014" w:rsidRPr="00EF4250">
        <w:rPr>
          <w:rFonts w:cs="Times New Roman"/>
          <w:noProof/>
          <w:szCs w:val="20"/>
          <w:vertAlign w:val="superscript"/>
        </w:rPr>
        <w:t>29</w:t>
      </w:r>
      <w:r w:rsidR="00200014" w:rsidRPr="00EF4250">
        <w:rPr>
          <w:rFonts w:cs="Times New Roman"/>
          <w:szCs w:val="20"/>
        </w:rPr>
        <w:fldChar w:fldCharType="end"/>
      </w:r>
      <w:r w:rsidRPr="00EF4250">
        <w:rPr>
          <w:rFonts w:cs="Times New Roman"/>
          <w:szCs w:val="20"/>
        </w:rPr>
        <w:t xml:space="preserve"> </w:t>
      </w:r>
      <w:r w:rsidR="00176527" w:rsidRPr="00EF4250">
        <w:rPr>
          <w:rFonts w:cs="Times New Roman"/>
          <w:szCs w:val="20"/>
        </w:rPr>
        <w:t xml:space="preserve">and </w:t>
      </w:r>
      <w:r w:rsidRPr="00EF4250">
        <w:rPr>
          <w:rFonts w:cs="Times New Roman"/>
          <w:szCs w:val="20"/>
        </w:rPr>
        <w:t>community-based programs</w:t>
      </w:r>
      <w:r w:rsidR="007E2272" w:rsidRPr="00EF4250">
        <w:rPr>
          <w:rFonts w:cs="Times New Roman"/>
          <w:szCs w:val="20"/>
        </w:rPr>
        <w:t>,</w:t>
      </w:r>
      <w:r w:rsidR="006F2101" w:rsidRPr="00EF4250">
        <w:rPr>
          <w:rFonts w:cs="Times New Roman"/>
          <w:szCs w:val="20"/>
        </w:rPr>
        <w:t xml:space="preserve"> </w:t>
      </w:r>
      <w:r w:rsidR="00262C78" w:rsidRPr="00EF4250">
        <w:rPr>
          <w:rFonts w:cs="Times New Roman"/>
          <w:szCs w:val="20"/>
        </w:rPr>
        <w:t>aggregated for</w:t>
      </w:r>
      <w:r w:rsidR="006F2101" w:rsidRPr="00EF4250">
        <w:rPr>
          <w:rFonts w:cs="Times New Roman"/>
          <w:szCs w:val="20"/>
        </w:rPr>
        <w:t xml:space="preserve"> each year</w:t>
      </w:r>
      <w:r w:rsidR="009871C9" w:rsidRPr="00EF4250">
        <w:rPr>
          <w:rFonts w:cs="Times New Roman"/>
          <w:szCs w:val="20"/>
        </w:rPr>
        <w:t xml:space="preserve"> (</w:t>
      </w:r>
      <w:r w:rsidR="00A87FBF" w:rsidRPr="00626C29">
        <w:rPr>
          <w:b/>
          <w:szCs w:val="20"/>
        </w:rPr>
        <w:t xml:space="preserve">Supplementary </w:t>
      </w:r>
      <w:r w:rsidR="009871C9" w:rsidRPr="00EF4250">
        <w:rPr>
          <w:rFonts w:cs="Times New Roman"/>
          <w:b/>
          <w:bCs/>
          <w:szCs w:val="20"/>
        </w:rPr>
        <w:t xml:space="preserve">Table </w:t>
      </w:r>
      <w:r w:rsidR="00F92FB6">
        <w:rPr>
          <w:rFonts w:cs="Times New Roman"/>
          <w:b/>
          <w:bCs/>
          <w:szCs w:val="20"/>
        </w:rPr>
        <w:t>12</w:t>
      </w:r>
      <w:r w:rsidR="009871C9" w:rsidRPr="00EF4250">
        <w:rPr>
          <w:rFonts w:cs="Times New Roman"/>
          <w:szCs w:val="20"/>
        </w:rPr>
        <w:t>)</w:t>
      </w:r>
      <w:r w:rsidR="006F2101" w:rsidRPr="00EF4250">
        <w:rPr>
          <w:rFonts w:cs="Times New Roman"/>
          <w:szCs w:val="20"/>
        </w:rPr>
        <w:t xml:space="preserve">. </w:t>
      </w:r>
      <w:r w:rsidRPr="00EF4250">
        <w:rPr>
          <w:rFonts w:cs="Times New Roman"/>
          <w:szCs w:val="20"/>
        </w:rPr>
        <w:t>Data on the number of kits distributed through community-based programs were missing for 2017</w:t>
      </w:r>
      <w:r w:rsidR="00262C78" w:rsidRPr="00EF4250">
        <w:rPr>
          <w:rFonts w:cs="Times New Roman"/>
          <w:szCs w:val="20"/>
        </w:rPr>
        <w:t xml:space="preserve"> and </w:t>
      </w:r>
      <w:r w:rsidRPr="00EF4250">
        <w:rPr>
          <w:rFonts w:cs="Times New Roman"/>
          <w:szCs w:val="20"/>
        </w:rPr>
        <w:t xml:space="preserve">2018. We therefore estimated the number </w:t>
      </w:r>
      <w:r w:rsidR="006F2101" w:rsidRPr="00EF4250">
        <w:rPr>
          <w:rFonts w:cs="Times New Roman"/>
          <w:szCs w:val="20"/>
        </w:rPr>
        <w:t>by extrapolating backward</w:t>
      </w:r>
      <w:r w:rsidR="00262C78" w:rsidRPr="00EF4250">
        <w:rPr>
          <w:rFonts w:cs="Times New Roman"/>
          <w:szCs w:val="20"/>
        </w:rPr>
        <w:t>s,</w:t>
      </w:r>
      <w:r w:rsidR="006F2101" w:rsidRPr="00EF4250">
        <w:rPr>
          <w:rFonts w:cs="Times New Roman"/>
          <w:szCs w:val="20"/>
        </w:rPr>
        <w:t xml:space="preserve"> following </w:t>
      </w:r>
      <w:r w:rsidRPr="00EF4250">
        <w:rPr>
          <w:rFonts w:cs="Times New Roman"/>
          <w:szCs w:val="20"/>
        </w:rPr>
        <w:t xml:space="preserve">the same </w:t>
      </w:r>
      <w:r w:rsidR="006F2101" w:rsidRPr="00EF4250">
        <w:rPr>
          <w:rFonts w:cs="Times New Roman"/>
          <w:szCs w:val="20"/>
        </w:rPr>
        <w:t xml:space="preserve">linear </w:t>
      </w:r>
      <w:r w:rsidRPr="00EF4250">
        <w:rPr>
          <w:rFonts w:cs="Times New Roman"/>
          <w:szCs w:val="20"/>
        </w:rPr>
        <w:t xml:space="preserve">trend </w:t>
      </w:r>
      <w:r w:rsidR="006F2101" w:rsidRPr="00EF4250">
        <w:rPr>
          <w:rFonts w:cs="Times New Roman"/>
          <w:szCs w:val="20"/>
        </w:rPr>
        <w:t xml:space="preserve">observed </w:t>
      </w:r>
      <w:r w:rsidRPr="00EF4250">
        <w:rPr>
          <w:rFonts w:cs="Times New Roman"/>
          <w:szCs w:val="20"/>
        </w:rPr>
        <w:t>over th</w:t>
      </w:r>
      <w:r w:rsidR="006F2101" w:rsidRPr="00EF4250">
        <w:rPr>
          <w:rFonts w:cs="Times New Roman"/>
          <w:szCs w:val="20"/>
        </w:rPr>
        <w:t>e</w:t>
      </w:r>
      <w:r w:rsidRPr="00EF4250">
        <w:rPr>
          <w:rFonts w:cs="Times New Roman"/>
          <w:szCs w:val="20"/>
        </w:rPr>
        <w:t xml:space="preserve"> period </w:t>
      </w:r>
      <w:r w:rsidR="00262C78" w:rsidRPr="00EF4250">
        <w:rPr>
          <w:rFonts w:cs="Times New Roman"/>
          <w:szCs w:val="20"/>
        </w:rPr>
        <w:t xml:space="preserve">for </w:t>
      </w:r>
      <w:r w:rsidR="006F2101" w:rsidRPr="00EF4250">
        <w:rPr>
          <w:rFonts w:cs="Times New Roman"/>
          <w:szCs w:val="20"/>
        </w:rPr>
        <w:t>which the data were available.</w:t>
      </w:r>
    </w:p>
    <w:p w14:paraId="03B6015E" w14:textId="77777777" w:rsidR="007C55C6" w:rsidRPr="00EF4250" w:rsidRDefault="007C55C6" w:rsidP="00754108">
      <w:pPr>
        <w:spacing w:after="0" w:line="276" w:lineRule="auto"/>
        <w:rPr>
          <w:rFonts w:cs="Times New Roman"/>
          <w:szCs w:val="20"/>
        </w:rPr>
      </w:pPr>
    </w:p>
    <w:p w14:paraId="74ACAAFC" w14:textId="7F245BD5" w:rsidR="006F2101" w:rsidRPr="00EF4250" w:rsidRDefault="006F2101" w:rsidP="00754108">
      <w:pPr>
        <w:spacing w:after="0" w:line="276" w:lineRule="auto"/>
        <w:rPr>
          <w:rFonts w:cs="Times New Roman"/>
          <w:szCs w:val="20"/>
        </w:rPr>
      </w:pPr>
      <w:r w:rsidRPr="00EF4250">
        <w:rPr>
          <w:rFonts w:cs="Times New Roman"/>
          <w:szCs w:val="20"/>
        </w:rPr>
        <w:t xml:space="preserve">As a harm reduction strategy, increasing </w:t>
      </w:r>
      <w:r w:rsidR="00262C78" w:rsidRPr="00EF4250">
        <w:rPr>
          <w:rFonts w:cs="Times New Roman"/>
          <w:szCs w:val="20"/>
        </w:rPr>
        <w:t xml:space="preserve">the </w:t>
      </w:r>
      <w:r w:rsidR="00EC3631" w:rsidRPr="00EF4250">
        <w:rPr>
          <w:rFonts w:cs="Times New Roman"/>
          <w:szCs w:val="20"/>
        </w:rPr>
        <w:t>availability</w:t>
      </w:r>
      <w:r w:rsidRPr="00EF4250">
        <w:rPr>
          <w:rFonts w:cs="Times New Roman"/>
          <w:szCs w:val="20"/>
        </w:rPr>
        <w:t xml:space="preserve"> of naloxone in the community can help reverse overdoses thus prevent overdose mortality. To capture </w:t>
      </w:r>
      <w:r w:rsidR="00A264D8" w:rsidRPr="00EF4250">
        <w:rPr>
          <w:rFonts w:cs="Times New Roman"/>
          <w:szCs w:val="20"/>
        </w:rPr>
        <w:t xml:space="preserve">the </w:t>
      </w:r>
      <w:r w:rsidRPr="00EF4250">
        <w:rPr>
          <w:rFonts w:cs="Times New Roman"/>
          <w:szCs w:val="20"/>
        </w:rPr>
        <w:t xml:space="preserve">impact </w:t>
      </w:r>
      <w:r w:rsidR="00A264D8" w:rsidRPr="00EF4250">
        <w:rPr>
          <w:rFonts w:cs="Times New Roman"/>
          <w:szCs w:val="20"/>
        </w:rPr>
        <w:t>of</w:t>
      </w:r>
      <w:r w:rsidRPr="00EF4250">
        <w:rPr>
          <w:rFonts w:cs="Times New Roman"/>
          <w:szCs w:val="20"/>
        </w:rPr>
        <w:t xml:space="preserve"> naloxone availability, we followed </w:t>
      </w:r>
      <w:r w:rsidR="00A937D8">
        <w:rPr>
          <w:rFonts w:cs="Times New Roman"/>
          <w:szCs w:val="20"/>
        </w:rPr>
        <w:t>a</w:t>
      </w:r>
      <w:r w:rsidRPr="00EF4250">
        <w:rPr>
          <w:rFonts w:cs="Times New Roman"/>
          <w:szCs w:val="20"/>
        </w:rPr>
        <w:t xml:space="preserve"> model </w:t>
      </w:r>
      <w:r w:rsidR="00A264D8" w:rsidRPr="00EF4250">
        <w:rPr>
          <w:rFonts w:cs="Times New Roman"/>
          <w:szCs w:val="20"/>
        </w:rPr>
        <w:t xml:space="preserve">used </w:t>
      </w:r>
      <w:r w:rsidRPr="00EF4250">
        <w:rPr>
          <w:rFonts w:cs="Times New Roman"/>
          <w:szCs w:val="20"/>
        </w:rPr>
        <w:t xml:space="preserve">in </w:t>
      </w:r>
      <w:r w:rsidR="00865EA3" w:rsidRPr="00EF4250">
        <w:rPr>
          <w:rFonts w:cs="Times New Roman"/>
          <w:szCs w:val="20"/>
        </w:rPr>
        <w:t>previous</w:t>
      </w:r>
      <w:r w:rsidR="00A264D8" w:rsidRPr="00EF4250">
        <w:rPr>
          <w:rFonts w:cs="Times New Roman"/>
          <w:szCs w:val="20"/>
        </w:rPr>
        <w:t>ly</w:t>
      </w:r>
      <w:r w:rsidRPr="00EF4250">
        <w:rPr>
          <w:rFonts w:cs="Times New Roman"/>
          <w:szCs w:val="20"/>
        </w:rPr>
        <w:t xml:space="preserve"> published stud</w:t>
      </w:r>
      <w:r w:rsidR="00865EA3" w:rsidRPr="00EF4250">
        <w:rPr>
          <w:rFonts w:cs="Times New Roman"/>
          <w:szCs w:val="20"/>
        </w:rPr>
        <w:t>ies</w:t>
      </w:r>
      <w:r w:rsidR="00867939" w:rsidRPr="00EF4250">
        <w:rPr>
          <w:rFonts w:cs="Times New Roman"/>
          <w:szCs w:val="20"/>
        </w:rPr>
        <w:fldChar w:fldCharType="begin">
          <w:fldData xml:space="preserve">PEVuZE5vdGU+PENpdGU+PEF1dGhvcj5aYW5nPC9BdXRob3I+PFllYXI+MjAyMjwvWWVhcj48UmVj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</w:fldData>
        </w:fldChar>
      </w:r>
      <w:r w:rsidR="00200014" w:rsidRPr="00EF4250">
        <w:rPr>
          <w:rFonts w:cs="Times New Roman"/>
          <w:szCs w:val="20"/>
        </w:rPr>
        <w:instrText xml:space="preserve"> ADDIN EN.CITE </w:instrText>
      </w:r>
      <w:r w:rsidR="00200014" w:rsidRPr="00EF4250">
        <w:rPr>
          <w:rFonts w:cs="Times New Roman"/>
          <w:szCs w:val="20"/>
        </w:rPr>
        <w:fldChar w:fldCharType="begin">
          <w:fldData xml:space="preserve">PEVuZE5vdGU+PENpdGU+PEF1dGhvcj5aYW5nPC9BdXRob3I+PFllYXI+MjAyMjwvWWVhcj48UmVj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</w:fldData>
        </w:fldChar>
      </w:r>
      <w:r w:rsidR="00200014" w:rsidRPr="00EF4250">
        <w:rPr>
          <w:rFonts w:cs="Times New Roman"/>
          <w:szCs w:val="20"/>
        </w:rPr>
        <w:instrText xml:space="preserve"> ADDIN EN.CITE.DATA </w:instrText>
      </w:r>
      <w:r w:rsidR="00200014" w:rsidRPr="00EF4250">
        <w:rPr>
          <w:rFonts w:cs="Times New Roman"/>
          <w:szCs w:val="20"/>
        </w:rPr>
      </w:r>
      <w:r w:rsidR="00200014" w:rsidRPr="00EF4250">
        <w:rPr>
          <w:rFonts w:cs="Times New Roman"/>
          <w:szCs w:val="20"/>
        </w:rPr>
        <w:fldChar w:fldCharType="end"/>
      </w:r>
      <w:r w:rsidR="00867939" w:rsidRPr="00EF4250">
        <w:rPr>
          <w:rFonts w:cs="Times New Roman"/>
          <w:szCs w:val="20"/>
        </w:rPr>
      </w:r>
      <w:r w:rsidR="00867939" w:rsidRPr="00EF4250">
        <w:rPr>
          <w:rFonts w:cs="Times New Roman"/>
          <w:szCs w:val="20"/>
        </w:rPr>
        <w:fldChar w:fldCharType="separate"/>
      </w:r>
      <w:r w:rsidR="00200014" w:rsidRPr="00EF4250">
        <w:rPr>
          <w:rFonts w:cs="Times New Roman"/>
          <w:noProof/>
          <w:szCs w:val="20"/>
          <w:vertAlign w:val="superscript"/>
        </w:rPr>
        <w:t>30,31</w:t>
      </w:r>
      <w:r w:rsidR="00867939" w:rsidRPr="00EF4250">
        <w:rPr>
          <w:rFonts w:cs="Times New Roman"/>
          <w:szCs w:val="20"/>
        </w:rPr>
        <w:fldChar w:fldCharType="end"/>
      </w:r>
      <w:r w:rsidRPr="00EF4250">
        <w:rPr>
          <w:rFonts w:cs="Times New Roman"/>
          <w:szCs w:val="20"/>
        </w:rPr>
        <w:t xml:space="preserve"> </w:t>
      </w:r>
      <w:r w:rsidR="00A264D8" w:rsidRPr="00EF4250">
        <w:rPr>
          <w:rFonts w:cs="Times New Roman"/>
          <w:szCs w:val="20"/>
        </w:rPr>
        <w:t xml:space="preserve">that </w:t>
      </w:r>
      <w:r w:rsidRPr="00EF4250">
        <w:rPr>
          <w:rFonts w:cs="Times New Roman"/>
          <w:szCs w:val="20"/>
        </w:rPr>
        <w:t xml:space="preserve">assumed </w:t>
      </w:r>
      <w:r w:rsidR="00865EA3" w:rsidRPr="00EF4250">
        <w:rPr>
          <w:rFonts w:cs="Times New Roman"/>
          <w:szCs w:val="20"/>
        </w:rPr>
        <w:t>the</w:t>
      </w:r>
      <w:r w:rsidRPr="00EF4250">
        <w:rPr>
          <w:rFonts w:cs="Times New Roman"/>
          <w:szCs w:val="20"/>
        </w:rPr>
        <w:t xml:space="preserve"> reduction in mortality</w:t>
      </w:r>
      <w:r w:rsidR="00237E56" w:rsidRPr="00EF4250">
        <w:rPr>
          <w:rFonts w:cs="Times New Roman"/>
          <w:szCs w:val="20"/>
        </w:rPr>
        <w:t>,</w:t>
      </w:r>
      <w:r w:rsidRPr="00EF4250">
        <w:rPr>
          <w:rFonts w:cs="Times New Roman"/>
          <w:szCs w:val="20"/>
        </w:rPr>
        <w:t xml:space="preserve"> </w:t>
      </w:r>
      <m:oMath>
        <m:r>
          <w:rPr>
            <w:rFonts w:ascii="Cambria Math" w:hAnsi="Cambria Math" w:cs="Times New Roman"/>
            <w:szCs w:val="20"/>
          </w:rPr>
          <m:t>δ(t)</m:t>
        </m:r>
      </m:oMath>
      <w:r w:rsidR="00237E56" w:rsidRPr="00EF4250">
        <w:rPr>
          <w:rFonts w:cs="Times New Roman"/>
          <w:szCs w:val="20"/>
        </w:rPr>
        <w:t>,</w:t>
      </w:r>
      <w:r w:rsidR="00865EA3" w:rsidRPr="00EF4250">
        <w:rPr>
          <w:rFonts w:cs="Times New Roman"/>
          <w:szCs w:val="20"/>
        </w:rPr>
        <w:t xml:space="preserve"> increas</w:t>
      </w:r>
      <w:r w:rsidR="00262C78" w:rsidRPr="00EF4250">
        <w:rPr>
          <w:rFonts w:cs="Times New Roman"/>
          <w:szCs w:val="20"/>
        </w:rPr>
        <w:t>ed</w:t>
      </w:r>
      <w:r w:rsidR="00865EA3" w:rsidRPr="00EF4250">
        <w:rPr>
          <w:rFonts w:cs="Times New Roman"/>
          <w:szCs w:val="20"/>
        </w:rPr>
        <w:t xml:space="preserve"> </w:t>
      </w:r>
      <w:r w:rsidRPr="00EF4250">
        <w:rPr>
          <w:rFonts w:cs="Times New Roman"/>
          <w:szCs w:val="20"/>
        </w:rPr>
        <w:t xml:space="preserve">with </w:t>
      </w:r>
      <w:r w:rsidR="00A264D8" w:rsidRPr="00EF4250">
        <w:rPr>
          <w:rFonts w:cs="Times New Roman"/>
          <w:szCs w:val="20"/>
        </w:rPr>
        <w:t xml:space="preserve">the number of </w:t>
      </w:r>
      <w:r w:rsidRPr="00EF4250">
        <w:rPr>
          <w:rFonts w:cs="Times New Roman"/>
          <w:szCs w:val="20"/>
        </w:rPr>
        <w:t xml:space="preserve">naloxone </w:t>
      </w:r>
      <w:r w:rsidR="00A264D8" w:rsidRPr="00EF4250">
        <w:rPr>
          <w:rFonts w:cs="Times New Roman"/>
          <w:szCs w:val="20"/>
        </w:rPr>
        <w:t xml:space="preserve">kits </w:t>
      </w:r>
      <w:r w:rsidR="00865EA3" w:rsidRPr="00EF4250">
        <w:rPr>
          <w:rFonts w:cs="Times New Roman"/>
          <w:szCs w:val="20"/>
        </w:rPr>
        <w:t>available in the community</w:t>
      </w:r>
      <w:r w:rsidR="00237E56" w:rsidRPr="00EF4250">
        <w:rPr>
          <w:rFonts w:cs="Times New Roman"/>
          <w:szCs w:val="20"/>
        </w:rPr>
        <w:t xml:space="preserve">, </w:t>
      </w:r>
      <m:oMath>
        <m:sSub>
          <m:sSubPr>
            <m:ctrlPr>
              <w:rPr>
                <w:rFonts w:ascii="Cambria Math" w:hAnsi="Cambria Math" w:cs="Times New Roman"/>
                <w:i/>
                <w:szCs w:val="20"/>
              </w:rPr>
            </m:ctrlPr>
          </m:sSubPr>
          <m:e>
            <m:r>
              <w:rPr>
                <w:rFonts w:ascii="Cambria Math" w:hAnsi="Cambria Math" w:cs="Times New Roman"/>
                <w:szCs w:val="20"/>
              </w:rPr>
              <m:t>N</m:t>
            </m:r>
          </m:e>
          <m:sub>
            <m:r>
              <m:rPr>
                <m:nor/>
              </m:rPr>
              <w:rPr>
                <w:rFonts w:cs="Times New Roman"/>
                <w:szCs w:val="20"/>
              </w:rPr>
              <m:t>naloxone</m:t>
            </m:r>
          </m:sub>
        </m:sSub>
        <m:r>
          <w:rPr>
            <w:rFonts w:ascii="Cambria Math" w:hAnsi="Cambria Math" w:cs="Times New Roman"/>
            <w:szCs w:val="20"/>
          </w:rPr>
          <m:t>(t)</m:t>
        </m:r>
      </m:oMath>
      <w:r w:rsidR="00237E56" w:rsidRPr="00EF4250">
        <w:rPr>
          <w:rFonts w:cs="Times New Roman"/>
          <w:szCs w:val="20"/>
        </w:rPr>
        <w:t>,</w:t>
      </w:r>
      <w:r w:rsidR="00865EA3" w:rsidRPr="00EF4250">
        <w:rPr>
          <w:rFonts w:cs="Times New Roman"/>
          <w:szCs w:val="20"/>
        </w:rPr>
        <w:t xml:space="preserve"> </w:t>
      </w:r>
      <w:r w:rsidRPr="00EF4250">
        <w:rPr>
          <w:rFonts w:cs="Times New Roman"/>
          <w:szCs w:val="20"/>
        </w:rPr>
        <w:t xml:space="preserve">and </w:t>
      </w:r>
      <w:r w:rsidR="00301A4F" w:rsidRPr="00EF4250">
        <w:rPr>
          <w:rFonts w:cs="Times New Roman"/>
          <w:szCs w:val="20"/>
        </w:rPr>
        <w:t>has</w:t>
      </w:r>
      <w:r w:rsidRPr="00EF4250">
        <w:rPr>
          <w:rFonts w:cs="Times New Roman"/>
          <w:szCs w:val="20"/>
        </w:rPr>
        <w:t xml:space="preserve"> the following mathematical </w:t>
      </w:r>
      <w:r w:rsidR="00865EA3" w:rsidRPr="00EF4250">
        <w:rPr>
          <w:rFonts w:cs="Times New Roman"/>
          <w:szCs w:val="20"/>
        </w:rPr>
        <w:t>form</w:t>
      </w:r>
      <w:r w:rsidRPr="00EF4250">
        <w:rPr>
          <w:rFonts w:cs="Times New Roman"/>
          <w:szCs w:val="20"/>
        </w:rPr>
        <w:t>:</w:t>
      </w:r>
    </w:p>
    <w:p w14:paraId="66E257F8" w14:textId="2A7A1432" w:rsidR="00BC66E9" w:rsidRPr="00EF4250" w:rsidRDefault="00D76B6A" w:rsidP="00754108">
      <w:pPr>
        <w:spacing w:after="0" w:line="276" w:lineRule="auto"/>
        <w:rPr>
          <w:rFonts w:cs="Times New Roman"/>
          <w:szCs w:val="20"/>
        </w:rPr>
      </w:pPr>
      <m:oMathPara>
        <m:oMath>
          <m:r>
            <w:rPr>
              <w:rFonts w:ascii="Cambria Math" w:hAnsi="Cambria Math" w:cs="Times New Roman"/>
              <w:szCs w:val="20"/>
            </w:rPr>
            <m:t>δ(t)=c</m:t>
          </m:r>
          <m:d>
            <m:dPr>
              <m:ctrlPr>
                <w:rPr>
                  <w:rFonts w:ascii="Cambria Math" w:hAnsi="Cambria Math" w:cs="Times New Roman"/>
                  <w:i/>
                  <w:szCs w:val="20"/>
                </w:rPr>
              </m:ctrlPr>
            </m:dPr>
            <m:e>
              <m:r>
                <w:rPr>
                  <w:rFonts w:ascii="Cambria Math" w:hAnsi="Cambria Math" w:cs="Times New Roman"/>
                  <w:szCs w:val="20"/>
                </w:rPr>
                <m:t>1-</m:t>
              </m:r>
              <m:func>
                <m:funcPr>
                  <m:ctrlPr>
                    <w:rPr>
                      <w:rFonts w:ascii="Cambria Math" w:hAnsi="Cambria Math" w:cs="Times New Roman"/>
                      <w:szCs w:val="20"/>
                    </w:rPr>
                  </m:ctrlPr>
                </m:funcPr>
                <m:fName>
                  <m:r>
                    <m:rPr>
                      <m:sty m:val="p"/>
                    </m:rPr>
                    <w:rPr>
                      <w:rFonts w:ascii="Cambria Math" w:hAnsi="Cambria Math" w:cs="Times New Roman"/>
                      <w:szCs w:val="20"/>
                    </w:rPr>
                    <m:t>exp</m:t>
                  </m:r>
                  <m:ctrlPr>
                    <w:rPr>
                      <w:rFonts w:ascii="Cambria Math" w:hAnsi="Cambria Math" w:cs="Times New Roman"/>
                      <w:i/>
                      <w:szCs w:val="20"/>
                    </w:rPr>
                  </m:ctrlPr>
                </m:fName>
                <m:e>
                  <m:d>
                    <m:dPr>
                      <m:ctrlPr>
                        <w:rPr>
                          <w:rFonts w:ascii="Cambria Math" w:hAnsi="Cambria Math" w:cs="Times New Roman"/>
                          <w:i/>
                          <w:szCs w:val="20"/>
                        </w:rPr>
                      </m:ctrlPr>
                    </m:dPr>
                    <m:e>
                      <m:r>
                        <w:rPr>
                          <w:rFonts w:ascii="Cambria Math" w:hAnsi="Cambria Math" w:cs="Times New Roman"/>
                          <w:szCs w:val="20"/>
                        </w:rPr>
                        <m:t>-</m:t>
                      </m:r>
                      <m:f>
                        <m:fPr>
                          <m:ctrlPr>
                            <w:rPr>
                              <w:rFonts w:ascii="Cambria Math" w:hAnsi="Cambria Math" w:cs="Times New Roman"/>
                              <w:i/>
                              <w:szCs w:val="20"/>
                            </w:rPr>
                          </m:ctrlPr>
                        </m:fPr>
                        <m:num>
                          <m:r>
                            <w:rPr>
                              <w:rFonts w:ascii="Cambria Math" w:hAnsi="Cambria Math" w:cs="Times New Roman"/>
                              <w:szCs w:val="20"/>
                            </w:rPr>
                            <m:t>m</m:t>
                          </m:r>
                        </m:num>
                        <m:den>
                          <m:r>
                            <w:rPr>
                              <w:rFonts w:ascii="Cambria Math" w:hAnsi="Cambria Math" w:cs="Times New Roman"/>
                              <w:szCs w:val="20"/>
                            </w:rPr>
                            <m:t>c</m:t>
                          </m:r>
                        </m:den>
                      </m:f>
                      <m:r>
                        <w:rPr>
                          <w:rFonts w:ascii="Cambria Math" w:hAnsi="Cambria Math" w:cs="Times New Roman"/>
                          <w:szCs w:val="20"/>
                        </w:rPr>
                        <m:t>⋅</m:t>
                      </m:r>
                      <m:f>
                        <m:fPr>
                          <m:ctrlPr>
                            <w:rPr>
                              <w:rFonts w:ascii="Cambria Math" w:hAnsi="Cambria Math" w:cs="Times New Roman"/>
                              <w:i/>
                              <w:szCs w:val="20"/>
                            </w:rPr>
                          </m:ctrlPr>
                        </m:fPr>
                        <m:num>
                          <m:sSub>
                            <m:sSubPr>
                              <m:ctrlPr>
                                <w:rPr>
                                  <w:rFonts w:ascii="Cambria Math" w:hAnsi="Cambria Math" w:cs="Times New Roman"/>
                                  <w:i/>
                                  <w:szCs w:val="20"/>
                                </w:rPr>
                              </m:ctrlPr>
                            </m:sSubPr>
                            <m:e>
                              <m:r>
                                <w:rPr>
                                  <w:rFonts w:ascii="Cambria Math" w:hAnsi="Cambria Math" w:cs="Times New Roman"/>
                                  <w:szCs w:val="20"/>
                                </w:rPr>
                                <m:t>N</m:t>
                              </m:r>
                            </m:e>
                            <m:sub>
                              <m:r>
                                <m:rPr>
                                  <m:nor/>
                                </m:rPr>
                                <w:rPr>
                                  <w:rFonts w:cs="Times New Roman"/>
                                  <w:iCs/>
                                  <w:szCs w:val="20"/>
                                </w:rPr>
                                <m:t>naloxone</m:t>
                              </m:r>
                            </m:sub>
                          </m:sSub>
                          <m:r>
                            <w:rPr>
                              <w:rFonts w:ascii="Cambria Math" w:hAnsi="Cambria Math" w:cs="Times New Roman"/>
                              <w:szCs w:val="20"/>
                            </w:rPr>
                            <m:t>(t)</m:t>
                          </m:r>
                        </m:num>
                        <m:den>
                          <m:r>
                            <w:rPr>
                              <w:rFonts w:ascii="Cambria Math" w:hAnsi="Cambria Math" w:cs="Times New Roman"/>
                              <w:szCs w:val="20"/>
                            </w:rPr>
                            <m:t>N(t)</m:t>
                          </m:r>
                        </m:den>
                      </m:f>
                    </m:e>
                  </m:d>
                </m:e>
              </m:func>
            </m:e>
          </m:d>
          <m:r>
            <w:rPr>
              <w:rFonts w:ascii="Cambria Math" w:hAnsi="Cambria Math" w:cs="Times New Roman"/>
              <w:szCs w:val="20"/>
            </w:rPr>
            <m:t>,</m:t>
          </m:r>
        </m:oMath>
      </m:oMathPara>
    </w:p>
    <w:p w14:paraId="1AF8C575" w14:textId="65637DCD" w:rsidR="00865EA3" w:rsidRPr="00EF4250" w:rsidRDefault="00865EA3" w:rsidP="00754108">
      <w:pPr>
        <w:spacing w:after="0" w:line="276" w:lineRule="auto"/>
        <w:rPr>
          <w:rFonts w:cs="Times New Roman"/>
          <w:szCs w:val="20"/>
        </w:rPr>
      </w:pPr>
      <w:r w:rsidRPr="00EF4250">
        <w:rPr>
          <w:rFonts w:cs="Times New Roman"/>
          <w:szCs w:val="20"/>
        </w:rPr>
        <w:t xml:space="preserve">where </w:t>
      </w:r>
      <m:oMath>
        <m:r>
          <w:rPr>
            <w:rFonts w:ascii="Cambria Math" w:hAnsi="Cambria Math" w:cs="Times New Roman"/>
            <w:szCs w:val="20"/>
          </w:rPr>
          <m:t>m</m:t>
        </m:r>
      </m:oMath>
      <w:r w:rsidRPr="00EF4250">
        <w:rPr>
          <w:rFonts w:cs="Times New Roman"/>
          <w:szCs w:val="20"/>
        </w:rPr>
        <w:t xml:space="preserve"> is a scaling coefficient</w:t>
      </w:r>
      <w:r w:rsidR="00DF4D39" w:rsidRPr="00EF4250">
        <w:rPr>
          <w:rFonts w:cs="Times New Roman"/>
          <w:szCs w:val="20"/>
        </w:rPr>
        <w:t>,</w:t>
      </w:r>
      <w:r w:rsidRPr="00EF4250">
        <w:rPr>
          <w:rFonts w:cs="Times New Roman"/>
          <w:szCs w:val="20"/>
        </w:rPr>
        <w:t xml:space="preserve"> </w:t>
      </w:r>
      <m:oMath>
        <m:r>
          <w:rPr>
            <w:rFonts w:ascii="Cambria Math" w:hAnsi="Cambria Math" w:cs="Times New Roman"/>
            <w:szCs w:val="20"/>
          </w:rPr>
          <m:t>N(t)</m:t>
        </m:r>
      </m:oMath>
      <w:r w:rsidRPr="00EF4250">
        <w:rPr>
          <w:rFonts w:cs="Times New Roman"/>
          <w:szCs w:val="20"/>
        </w:rPr>
        <w:t xml:space="preserve"> represents the total population in the community at time </w:t>
      </w:r>
      <m:oMath>
        <m:r>
          <w:rPr>
            <w:rFonts w:ascii="Cambria Math" w:hAnsi="Cambria Math" w:cs="Times New Roman"/>
            <w:szCs w:val="20"/>
          </w:rPr>
          <m:t>t</m:t>
        </m:r>
      </m:oMath>
      <w:r w:rsidR="005F7493" w:rsidRPr="00EF4250">
        <w:rPr>
          <w:rFonts w:cs="Times New Roman"/>
          <w:szCs w:val="20"/>
        </w:rPr>
        <w:t xml:space="preserve">, and </w:t>
      </w:r>
      <m:oMath>
        <m:r>
          <w:rPr>
            <w:rFonts w:ascii="Cambria Math" w:hAnsi="Cambria Math" w:cs="Times New Roman"/>
            <w:szCs w:val="20"/>
          </w:rPr>
          <m:t>c</m:t>
        </m:r>
      </m:oMath>
      <w:r w:rsidR="005F7493" w:rsidRPr="00EF4250">
        <w:rPr>
          <w:rFonts w:cs="Times New Roman"/>
          <w:szCs w:val="20"/>
        </w:rPr>
        <w:t xml:space="preserve"> </w:t>
      </w:r>
      <w:r w:rsidR="00DC4151" w:rsidRPr="00EF4250">
        <w:rPr>
          <w:rFonts w:cs="Times New Roman"/>
          <w:szCs w:val="20"/>
        </w:rPr>
        <w:t xml:space="preserve">represents the saturation (or ceiling) effect </w:t>
      </w:r>
      <w:r w:rsidR="009B00C0" w:rsidRPr="00EF4250">
        <w:rPr>
          <w:rFonts w:cs="Times New Roman"/>
          <w:szCs w:val="20"/>
        </w:rPr>
        <w:t xml:space="preserve">for </w:t>
      </w:r>
      <w:r w:rsidR="005F7493" w:rsidRPr="00EF4250">
        <w:rPr>
          <w:rFonts w:cs="Times New Roman"/>
          <w:szCs w:val="20"/>
        </w:rPr>
        <w:t xml:space="preserve">the maximum level of reduction </w:t>
      </w:r>
      <w:r w:rsidR="009B00C0" w:rsidRPr="00EF4250">
        <w:rPr>
          <w:rFonts w:cs="Times New Roman"/>
          <w:szCs w:val="20"/>
        </w:rPr>
        <w:t xml:space="preserve">in overdose mortality </w:t>
      </w:r>
      <w:r w:rsidR="005F7493" w:rsidRPr="00EF4250">
        <w:rPr>
          <w:rFonts w:cs="Times New Roman"/>
          <w:szCs w:val="20"/>
        </w:rPr>
        <w:t>that c</w:t>
      </w:r>
      <w:r w:rsidR="009B00C0" w:rsidRPr="00EF4250">
        <w:rPr>
          <w:rFonts w:cs="Times New Roman"/>
          <w:szCs w:val="20"/>
        </w:rPr>
        <w:t xml:space="preserve">ould </w:t>
      </w:r>
      <w:r w:rsidR="005F7493" w:rsidRPr="00EF4250">
        <w:rPr>
          <w:rFonts w:cs="Times New Roman"/>
          <w:szCs w:val="20"/>
        </w:rPr>
        <w:t>be achieved</w:t>
      </w:r>
      <w:r w:rsidR="008D7E58" w:rsidRPr="00EF4250">
        <w:rPr>
          <w:rFonts w:cs="Times New Roman"/>
          <w:szCs w:val="20"/>
        </w:rPr>
        <w:t xml:space="preserve"> </w:t>
      </w:r>
      <w:r w:rsidR="008D7E58" w:rsidRPr="00EF4250">
        <w:rPr>
          <w:rFonts w:cs="Times New Roman"/>
          <w:szCs w:val="20"/>
        </w:rPr>
        <w:lastRenderedPageBreak/>
        <w:t xml:space="preserve">(with </w:t>
      </w:r>
      <m:oMath>
        <m:r>
          <w:rPr>
            <w:rFonts w:ascii="Cambria Math" w:hAnsi="Cambria Math" w:cs="Times New Roman"/>
            <w:szCs w:val="20"/>
          </w:rPr>
          <m:t>c≤1</m:t>
        </m:r>
      </m:oMath>
      <w:r w:rsidR="008D7E58" w:rsidRPr="00EF4250">
        <w:rPr>
          <w:rFonts w:cs="Times New Roman"/>
          <w:szCs w:val="20"/>
        </w:rPr>
        <w:t>)</w:t>
      </w:r>
      <w:r w:rsidRPr="00EF4250">
        <w:rPr>
          <w:rFonts w:cs="Times New Roman"/>
          <w:szCs w:val="20"/>
        </w:rPr>
        <w:t xml:space="preserve">. </w:t>
      </w:r>
      <w:r w:rsidR="00EF743A" w:rsidRPr="00EF4250">
        <w:rPr>
          <w:rFonts w:cs="Times New Roman"/>
          <w:szCs w:val="20"/>
        </w:rPr>
        <w:t xml:space="preserve">Considering </w:t>
      </w:r>
      <w:r w:rsidR="00E73AD7" w:rsidRPr="00EF4250">
        <w:rPr>
          <w:rFonts w:cs="Times New Roman"/>
          <w:szCs w:val="20"/>
        </w:rPr>
        <w:t xml:space="preserve">that </w:t>
      </w:r>
      <w:r w:rsidR="00EF743A" w:rsidRPr="00EF4250">
        <w:rPr>
          <w:rFonts w:cs="Times New Roman"/>
          <w:szCs w:val="20"/>
        </w:rPr>
        <w:t>the amount</w:t>
      </w:r>
      <w:r w:rsidR="00EC3631" w:rsidRPr="00EF4250">
        <w:rPr>
          <w:rFonts w:cs="Times New Roman"/>
          <w:szCs w:val="20"/>
        </w:rPr>
        <w:t>s of use</w:t>
      </w:r>
      <w:r w:rsidR="00EF743A" w:rsidRPr="00EF4250">
        <w:rPr>
          <w:rFonts w:cs="Times New Roman"/>
          <w:szCs w:val="20"/>
        </w:rPr>
        <w:t xml:space="preserve"> </w:t>
      </w:r>
      <w:r w:rsidR="00594E88" w:rsidRPr="00EF4250">
        <w:rPr>
          <w:rFonts w:cs="Times New Roman"/>
          <w:szCs w:val="20"/>
        </w:rPr>
        <w:t xml:space="preserve">or </w:t>
      </w:r>
      <w:r w:rsidR="00EF743A" w:rsidRPr="00EF4250">
        <w:rPr>
          <w:rFonts w:cs="Times New Roman"/>
          <w:szCs w:val="20"/>
        </w:rPr>
        <w:t xml:space="preserve">attrition of naloxone kits </w:t>
      </w:r>
      <w:r w:rsidR="00EC3631" w:rsidRPr="00EF4250">
        <w:rPr>
          <w:rFonts w:cs="Times New Roman"/>
          <w:szCs w:val="20"/>
        </w:rPr>
        <w:t xml:space="preserve">are relatively small </w:t>
      </w:r>
      <w:r w:rsidR="00EF743A" w:rsidRPr="00EF4250">
        <w:rPr>
          <w:rFonts w:cs="Times New Roman"/>
          <w:szCs w:val="20"/>
        </w:rPr>
        <w:t xml:space="preserve">compared </w:t>
      </w:r>
      <w:r w:rsidR="00EC3631" w:rsidRPr="00EF4250">
        <w:rPr>
          <w:rFonts w:cs="Times New Roman"/>
          <w:szCs w:val="20"/>
        </w:rPr>
        <w:t>to</w:t>
      </w:r>
      <w:r w:rsidR="00EF743A" w:rsidRPr="00EF4250">
        <w:rPr>
          <w:rFonts w:cs="Times New Roman"/>
          <w:szCs w:val="20"/>
        </w:rPr>
        <w:t xml:space="preserve"> the total amount </w:t>
      </w:r>
      <w:r w:rsidR="00594E88" w:rsidRPr="00EF4250">
        <w:rPr>
          <w:rFonts w:cs="Times New Roman"/>
          <w:szCs w:val="20"/>
        </w:rPr>
        <w:t xml:space="preserve">distributed in the community, we </w:t>
      </w:r>
      <w:r w:rsidR="008B7E40" w:rsidRPr="00EF4250">
        <w:rPr>
          <w:rFonts w:cs="Times New Roman"/>
          <w:szCs w:val="20"/>
        </w:rPr>
        <w:t>approximate</w:t>
      </w:r>
      <w:r w:rsidR="006425F8" w:rsidRPr="00EF4250">
        <w:rPr>
          <w:rFonts w:cs="Times New Roman"/>
          <w:szCs w:val="20"/>
        </w:rPr>
        <w:t>d</w:t>
      </w:r>
      <w:r w:rsidR="008B7E40" w:rsidRPr="00EF4250">
        <w:rPr>
          <w:rFonts w:cs="Times New Roman"/>
          <w:szCs w:val="20"/>
        </w:rPr>
        <w:t xml:space="preserve"> t</w:t>
      </w:r>
      <w:r w:rsidR="008203E0" w:rsidRPr="00EF4250">
        <w:rPr>
          <w:rFonts w:cs="Times New Roman"/>
          <w:szCs w:val="20"/>
        </w:rPr>
        <w:t xml:space="preserve">he </w:t>
      </w:r>
      <w:r w:rsidR="009E07DD" w:rsidRPr="00EF4250">
        <w:rPr>
          <w:rFonts w:cs="Times New Roman"/>
          <w:szCs w:val="20"/>
        </w:rPr>
        <w:t>value of</w:t>
      </w:r>
      <w:r w:rsidR="00AC6906" w:rsidRPr="00EF4250">
        <w:rPr>
          <w:rFonts w:cs="Times New Roman"/>
          <w:szCs w:val="20"/>
        </w:rPr>
        <w:t xml:space="preserve"> </w:t>
      </w:r>
      <m:oMath>
        <m:sSub>
          <m:sSubPr>
            <m:ctrlPr>
              <w:rPr>
                <w:rFonts w:ascii="Cambria Math" w:hAnsi="Cambria Math" w:cs="Times New Roman"/>
                <w:i/>
                <w:szCs w:val="20"/>
              </w:rPr>
            </m:ctrlPr>
          </m:sSubPr>
          <m:e>
            <m:r>
              <w:rPr>
                <w:rFonts w:ascii="Cambria Math" w:hAnsi="Cambria Math" w:cs="Times New Roman"/>
                <w:szCs w:val="20"/>
              </w:rPr>
              <m:t>N</m:t>
            </m:r>
          </m:e>
          <m:sub>
            <m:r>
              <w:rPr>
                <w:rFonts w:ascii="Cambria Math" w:hAnsi="Cambria Math" w:cs="Times New Roman"/>
                <w:szCs w:val="20"/>
              </w:rPr>
              <m:t>naloxone</m:t>
            </m:r>
          </m:sub>
        </m:sSub>
        <m:r>
          <w:rPr>
            <w:rFonts w:ascii="Cambria Math" w:hAnsi="Cambria Math" w:cs="Times New Roman"/>
            <w:szCs w:val="20"/>
          </w:rPr>
          <m:t>(t)</m:t>
        </m:r>
      </m:oMath>
      <w:r w:rsidR="00AC6906" w:rsidRPr="00EF4250">
        <w:rPr>
          <w:rFonts w:cs="Times New Roman"/>
          <w:szCs w:val="20"/>
        </w:rPr>
        <w:t xml:space="preserve"> </w:t>
      </w:r>
      <w:r w:rsidR="008B7E40" w:rsidRPr="00EF4250">
        <w:rPr>
          <w:rFonts w:cs="Times New Roman"/>
          <w:szCs w:val="20"/>
        </w:rPr>
        <w:t xml:space="preserve">by accumulating the </w:t>
      </w:r>
      <w:r w:rsidR="003D2CD5" w:rsidRPr="00EF4250">
        <w:rPr>
          <w:rFonts w:cs="Times New Roman"/>
          <w:szCs w:val="20"/>
        </w:rPr>
        <w:t xml:space="preserve">total </w:t>
      </w:r>
      <w:r w:rsidR="008B7E40" w:rsidRPr="00EF4250">
        <w:rPr>
          <w:rFonts w:cs="Times New Roman"/>
          <w:szCs w:val="20"/>
        </w:rPr>
        <w:t xml:space="preserve">number of </w:t>
      </w:r>
      <w:r w:rsidR="00E84EF8" w:rsidRPr="00EF4250">
        <w:rPr>
          <w:rFonts w:cs="Times New Roman"/>
          <w:szCs w:val="20"/>
        </w:rPr>
        <w:t xml:space="preserve">naloxone </w:t>
      </w:r>
      <w:r w:rsidR="003D2CD5" w:rsidRPr="00EF4250">
        <w:rPr>
          <w:rFonts w:cs="Times New Roman"/>
          <w:szCs w:val="20"/>
        </w:rPr>
        <w:t xml:space="preserve">kits </w:t>
      </w:r>
      <w:r w:rsidR="00E84EF8" w:rsidRPr="00EF4250">
        <w:rPr>
          <w:rFonts w:cs="Times New Roman"/>
          <w:szCs w:val="20"/>
        </w:rPr>
        <w:t xml:space="preserve">distributed in the past 3 years </w:t>
      </w:r>
      <w:r w:rsidR="00E73AD7" w:rsidRPr="00EF4250">
        <w:rPr>
          <w:rFonts w:cs="Times New Roman"/>
          <w:szCs w:val="20"/>
        </w:rPr>
        <w:t>given</w:t>
      </w:r>
      <w:r w:rsidR="006F3577" w:rsidRPr="00EF4250">
        <w:rPr>
          <w:rFonts w:cs="Times New Roman"/>
          <w:szCs w:val="20"/>
        </w:rPr>
        <w:t xml:space="preserve"> that </w:t>
      </w:r>
      <w:r w:rsidR="00EC3631" w:rsidRPr="00EF4250">
        <w:rPr>
          <w:rFonts w:cs="Times New Roman"/>
          <w:szCs w:val="20"/>
        </w:rPr>
        <w:t>the</w:t>
      </w:r>
      <w:r w:rsidR="006F3577" w:rsidRPr="00EF4250">
        <w:rPr>
          <w:rFonts w:cs="Times New Roman"/>
          <w:szCs w:val="20"/>
        </w:rPr>
        <w:t xml:space="preserve"> expiration </w:t>
      </w:r>
      <w:r w:rsidR="00332B2F" w:rsidRPr="00EF4250">
        <w:rPr>
          <w:rFonts w:cs="Times New Roman"/>
          <w:szCs w:val="20"/>
        </w:rPr>
        <w:t>period</w:t>
      </w:r>
      <w:r w:rsidR="006F3577" w:rsidRPr="00EF4250">
        <w:rPr>
          <w:rFonts w:cs="Times New Roman"/>
          <w:szCs w:val="20"/>
        </w:rPr>
        <w:t xml:space="preserve"> </w:t>
      </w:r>
      <w:r w:rsidR="00EC3631" w:rsidRPr="00EF4250">
        <w:rPr>
          <w:rFonts w:cs="Times New Roman"/>
          <w:szCs w:val="20"/>
        </w:rPr>
        <w:t>for naloxone is</w:t>
      </w:r>
      <w:r w:rsidR="00C636C3" w:rsidRPr="00EF4250">
        <w:rPr>
          <w:rFonts w:cs="Times New Roman"/>
          <w:szCs w:val="20"/>
        </w:rPr>
        <w:t xml:space="preserve"> </w:t>
      </w:r>
      <w:r w:rsidR="006F3577" w:rsidRPr="00EF4250">
        <w:rPr>
          <w:rFonts w:cs="Times New Roman"/>
          <w:szCs w:val="20"/>
        </w:rPr>
        <w:t>3 years</w:t>
      </w:r>
      <w:r w:rsidR="00943883" w:rsidRPr="00EF4250">
        <w:rPr>
          <w:rFonts w:cs="Times New Roman"/>
          <w:szCs w:val="20"/>
        </w:rPr>
        <w:t xml:space="preserve">. </w:t>
      </w:r>
      <w:r w:rsidR="00D94A59" w:rsidRPr="00EF4250">
        <w:rPr>
          <w:rFonts w:cs="Times New Roman"/>
          <w:szCs w:val="20"/>
        </w:rPr>
        <w:t>The value of parameter</w:t>
      </w:r>
      <w:r w:rsidR="009B00C0" w:rsidRPr="00EF4250">
        <w:rPr>
          <w:rFonts w:cs="Times New Roman"/>
          <w:szCs w:val="20"/>
        </w:rPr>
        <w:t>s</w:t>
      </w:r>
      <w:r w:rsidR="00D94A59" w:rsidRPr="00EF4250">
        <w:rPr>
          <w:rFonts w:cs="Times New Roman"/>
          <w:szCs w:val="20"/>
        </w:rPr>
        <w:t xml:space="preserve"> </w:t>
      </w:r>
      <m:oMath>
        <m:r>
          <w:rPr>
            <w:rFonts w:ascii="Cambria Math" w:hAnsi="Cambria Math" w:cs="Times New Roman"/>
            <w:szCs w:val="20"/>
          </w:rPr>
          <m:t>m</m:t>
        </m:r>
      </m:oMath>
      <w:r w:rsidR="00D94A59" w:rsidRPr="00EF4250">
        <w:rPr>
          <w:rFonts w:cs="Times New Roman"/>
          <w:szCs w:val="20"/>
        </w:rPr>
        <w:t xml:space="preserve"> </w:t>
      </w:r>
      <w:r w:rsidR="009B00C0" w:rsidRPr="00EF4250">
        <w:rPr>
          <w:rFonts w:cs="Times New Roman"/>
          <w:szCs w:val="20"/>
        </w:rPr>
        <w:t xml:space="preserve">and </w:t>
      </w:r>
      <m:oMath>
        <m:r>
          <w:rPr>
            <w:rFonts w:ascii="Cambria Math" w:hAnsi="Cambria Math" w:cs="Times New Roman"/>
            <w:szCs w:val="20"/>
          </w:rPr>
          <m:t>c</m:t>
        </m:r>
      </m:oMath>
      <w:r w:rsidR="009B00C0" w:rsidRPr="00EF4250">
        <w:rPr>
          <w:rFonts w:cs="Times New Roman"/>
          <w:szCs w:val="20"/>
        </w:rPr>
        <w:t xml:space="preserve"> </w:t>
      </w:r>
      <w:r w:rsidR="00D94A59" w:rsidRPr="00EF4250">
        <w:rPr>
          <w:rFonts w:cs="Times New Roman"/>
          <w:szCs w:val="20"/>
        </w:rPr>
        <w:t>w</w:t>
      </w:r>
      <w:r w:rsidR="009B00C0" w:rsidRPr="00EF4250">
        <w:rPr>
          <w:rFonts w:cs="Times New Roman"/>
          <w:szCs w:val="20"/>
        </w:rPr>
        <w:t>ere</w:t>
      </w:r>
      <w:r w:rsidR="00D94A59" w:rsidRPr="00EF4250">
        <w:rPr>
          <w:rFonts w:cs="Times New Roman"/>
          <w:szCs w:val="20"/>
        </w:rPr>
        <w:t xml:space="preserve"> </w:t>
      </w:r>
      <w:r w:rsidRPr="00EF4250">
        <w:rPr>
          <w:rFonts w:cs="Times New Roman"/>
          <w:szCs w:val="20"/>
        </w:rPr>
        <w:t xml:space="preserve">calibrated </w:t>
      </w:r>
      <w:r w:rsidR="00262C78" w:rsidRPr="00EF4250">
        <w:rPr>
          <w:rFonts w:cs="Times New Roman"/>
          <w:szCs w:val="20"/>
        </w:rPr>
        <w:t xml:space="preserve">specifically </w:t>
      </w:r>
      <w:r w:rsidRPr="00EF4250">
        <w:rPr>
          <w:rFonts w:cs="Times New Roman"/>
          <w:szCs w:val="20"/>
        </w:rPr>
        <w:t>for each county</w:t>
      </w:r>
      <w:r w:rsidR="00A858D8" w:rsidRPr="00EF4250">
        <w:rPr>
          <w:rFonts w:cs="Times New Roman"/>
          <w:szCs w:val="20"/>
        </w:rPr>
        <w:t xml:space="preserve">. </w:t>
      </w:r>
      <w:r w:rsidRPr="00EF4250">
        <w:rPr>
          <w:rFonts w:cs="Times New Roman"/>
          <w:szCs w:val="20"/>
        </w:rPr>
        <w:t xml:space="preserve">We then applied the reduction in overdose </w:t>
      </w:r>
      <w:r w:rsidR="00262C78" w:rsidRPr="00EF4250">
        <w:rPr>
          <w:rFonts w:cs="Times New Roman"/>
          <w:szCs w:val="20"/>
        </w:rPr>
        <w:t xml:space="preserve">mortality </w:t>
      </w:r>
      <w:r w:rsidRPr="00EF4250">
        <w:rPr>
          <w:rFonts w:cs="Times New Roman"/>
          <w:szCs w:val="20"/>
        </w:rPr>
        <w:t xml:space="preserve">to the </w:t>
      </w:r>
      <w:r w:rsidR="00D94A59" w:rsidRPr="00EF4250">
        <w:rPr>
          <w:rFonts w:cs="Times New Roman"/>
          <w:szCs w:val="20"/>
        </w:rPr>
        <w:t xml:space="preserve">probability of </w:t>
      </w:r>
      <w:r w:rsidR="00262C78" w:rsidRPr="00EF4250">
        <w:rPr>
          <w:rFonts w:cs="Times New Roman"/>
          <w:szCs w:val="20"/>
        </w:rPr>
        <w:t xml:space="preserve">witnessed overdose death </w:t>
      </w:r>
      <w:r w:rsidR="00D94A59" w:rsidRPr="00EF4250">
        <w:rPr>
          <w:rFonts w:cs="Times New Roman"/>
          <w:szCs w:val="20"/>
        </w:rPr>
        <w:t>with possible administration of naloxone:</w:t>
      </w:r>
    </w:p>
    <w:p w14:paraId="529C3A3F" w14:textId="0CFF3373" w:rsidR="003D09A2" w:rsidRPr="00EF4250" w:rsidRDefault="00D42F07" w:rsidP="00754108">
      <w:pPr>
        <w:pStyle w:val="ListParagraph"/>
        <w:spacing w:line="276" w:lineRule="auto"/>
        <w:jc w:val="center"/>
        <w:rPr>
          <w:rFonts w:cs="Times New Roman"/>
          <w:szCs w:val="20"/>
        </w:rPr>
      </w:pPr>
      <m:oMathPara>
        <m:oMath>
          <m:r>
            <w:rPr>
              <w:rFonts w:ascii="Cambria Math" w:hAnsi="Cambria Math" w:cs="Times New Roman"/>
              <w:szCs w:val="20"/>
            </w:rPr>
            <m:t>R</m:t>
          </m:r>
          <m:sSub>
            <m:sSubPr>
              <m:ctrlPr>
                <w:rPr>
                  <w:rFonts w:ascii="Cambria Math" w:hAnsi="Cambria Math" w:cs="Times New Roman"/>
                  <w:i/>
                  <w:szCs w:val="20"/>
                </w:rPr>
              </m:ctrlPr>
            </m:sSubPr>
            <m:e>
              <m:r>
                <w:rPr>
                  <w:rFonts w:ascii="Cambria Math" w:hAnsi="Cambria Math" w:cs="Times New Roman"/>
                  <w:szCs w:val="20"/>
                </w:rPr>
                <m:t>R</m:t>
              </m:r>
            </m:e>
            <m:sub>
              <m:r>
                <m:rPr>
                  <m:sty m:val="p"/>
                </m:rPr>
                <w:rPr>
                  <w:rFonts w:ascii="Cambria Math" w:hAnsi="Cambria Math" w:cs="Times New Roman"/>
                  <w:szCs w:val="20"/>
                </w:rPr>
                <m:t>naloxone</m:t>
              </m:r>
            </m:sub>
          </m:sSub>
          <m:d>
            <m:dPr>
              <m:ctrlPr>
                <w:rPr>
                  <w:rFonts w:ascii="Cambria Math" w:hAnsi="Cambria Math" w:cs="Times New Roman"/>
                  <w:i/>
                  <w:szCs w:val="20"/>
                </w:rPr>
              </m:ctrlPr>
            </m:dPr>
            <m:e>
              <m:r>
                <w:rPr>
                  <w:rFonts w:ascii="Cambria Math" w:hAnsi="Cambria Math" w:cs="Times New Roman"/>
                  <w:szCs w:val="20"/>
                </w:rPr>
                <m:t>t</m:t>
              </m:r>
            </m:e>
          </m:d>
          <m:r>
            <w:rPr>
              <w:rFonts w:ascii="Cambria Math" w:hAnsi="Cambria Math" w:cs="Times New Roman"/>
              <w:szCs w:val="20"/>
            </w:rPr>
            <m:t>=1-δ</m:t>
          </m:r>
          <m:d>
            <m:dPr>
              <m:ctrlPr>
                <w:rPr>
                  <w:rFonts w:ascii="Cambria Math" w:hAnsi="Cambria Math" w:cs="Times New Roman"/>
                  <w:i/>
                  <w:szCs w:val="20"/>
                </w:rPr>
              </m:ctrlPr>
            </m:dPr>
            <m:e>
              <m:r>
                <w:rPr>
                  <w:rFonts w:ascii="Cambria Math" w:hAnsi="Cambria Math" w:cs="Times New Roman"/>
                  <w:szCs w:val="20"/>
                </w:rPr>
                <m:t>t</m:t>
              </m:r>
            </m:e>
          </m:d>
          <m:r>
            <w:rPr>
              <w:rFonts w:ascii="Cambria Math" w:hAnsi="Cambria Math" w:cs="Times New Roman"/>
              <w:szCs w:val="20"/>
            </w:rPr>
            <m:t>=1-c</m:t>
          </m:r>
          <m:d>
            <m:dPr>
              <m:ctrlPr>
                <w:rPr>
                  <w:rFonts w:ascii="Cambria Math" w:hAnsi="Cambria Math" w:cs="Times New Roman"/>
                  <w:i/>
                  <w:szCs w:val="20"/>
                </w:rPr>
              </m:ctrlPr>
            </m:dPr>
            <m:e>
              <m:r>
                <w:rPr>
                  <w:rFonts w:ascii="Cambria Math" w:hAnsi="Cambria Math" w:cs="Times New Roman"/>
                  <w:szCs w:val="20"/>
                </w:rPr>
                <m:t>1-</m:t>
              </m:r>
              <m:func>
                <m:funcPr>
                  <m:ctrlPr>
                    <w:rPr>
                      <w:rFonts w:ascii="Cambria Math" w:hAnsi="Cambria Math" w:cs="Times New Roman"/>
                      <w:szCs w:val="20"/>
                    </w:rPr>
                  </m:ctrlPr>
                </m:funcPr>
                <m:fName>
                  <m:r>
                    <m:rPr>
                      <m:sty m:val="p"/>
                    </m:rPr>
                    <w:rPr>
                      <w:rFonts w:ascii="Cambria Math" w:hAnsi="Cambria Math" w:cs="Times New Roman"/>
                      <w:szCs w:val="20"/>
                    </w:rPr>
                    <m:t>exp</m:t>
                  </m:r>
                  <m:ctrlPr>
                    <w:rPr>
                      <w:rFonts w:ascii="Cambria Math" w:hAnsi="Cambria Math" w:cs="Times New Roman"/>
                      <w:i/>
                      <w:szCs w:val="20"/>
                    </w:rPr>
                  </m:ctrlPr>
                </m:fName>
                <m:e>
                  <m:d>
                    <m:dPr>
                      <m:ctrlPr>
                        <w:rPr>
                          <w:rFonts w:ascii="Cambria Math" w:hAnsi="Cambria Math" w:cs="Times New Roman"/>
                          <w:i/>
                          <w:szCs w:val="20"/>
                        </w:rPr>
                      </m:ctrlPr>
                    </m:dPr>
                    <m:e>
                      <m:r>
                        <w:rPr>
                          <w:rFonts w:ascii="Cambria Math" w:hAnsi="Cambria Math" w:cs="Times New Roman"/>
                          <w:szCs w:val="20"/>
                        </w:rPr>
                        <m:t>-</m:t>
                      </m:r>
                      <m:f>
                        <m:fPr>
                          <m:ctrlPr>
                            <w:rPr>
                              <w:rFonts w:ascii="Cambria Math" w:hAnsi="Cambria Math" w:cs="Times New Roman"/>
                              <w:i/>
                              <w:szCs w:val="20"/>
                            </w:rPr>
                          </m:ctrlPr>
                        </m:fPr>
                        <m:num>
                          <m:r>
                            <w:rPr>
                              <w:rFonts w:ascii="Cambria Math" w:hAnsi="Cambria Math" w:cs="Times New Roman"/>
                              <w:szCs w:val="20"/>
                            </w:rPr>
                            <m:t>m</m:t>
                          </m:r>
                        </m:num>
                        <m:den>
                          <m:r>
                            <w:rPr>
                              <w:rFonts w:ascii="Cambria Math" w:hAnsi="Cambria Math" w:cs="Times New Roman"/>
                              <w:szCs w:val="20"/>
                            </w:rPr>
                            <m:t>c</m:t>
                          </m:r>
                        </m:den>
                      </m:f>
                      <m:r>
                        <w:rPr>
                          <w:rFonts w:ascii="Cambria Math" w:hAnsi="Cambria Math" w:cs="Times New Roman"/>
                          <w:szCs w:val="20"/>
                        </w:rPr>
                        <m:t>⋅</m:t>
                      </m:r>
                      <m:f>
                        <m:fPr>
                          <m:ctrlPr>
                            <w:rPr>
                              <w:rFonts w:ascii="Cambria Math" w:hAnsi="Cambria Math" w:cs="Times New Roman"/>
                              <w:i/>
                              <w:szCs w:val="20"/>
                            </w:rPr>
                          </m:ctrlPr>
                        </m:fPr>
                        <m:num>
                          <m:sSub>
                            <m:sSubPr>
                              <m:ctrlPr>
                                <w:rPr>
                                  <w:rFonts w:ascii="Cambria Math" w:hAnsi="Cambria Math" w:cs="Times New Roman"/>
                                  <w:i/>
                                  <w:szCs w:val="20"/>
                                </w:rPr>
                              </m:ctrlPr>
                            </m:sSubPr>
                            <m:e>
                              <m:r>
                                <w:rPr>
                                  <w:rFonts w:ascii="Cambria Math" w:hAnsi="Cambria Math" w:cs="Times New Roman"/>
                                  <w:szCs w:val="20"/>
                                </w:rPr>
                                <m:t>N</m:t>
                              </m:r>
                            </m:e>
                            <m:sub>
                              <m:r>
                                <m:rPr>
                                  <m:nor/>
                                </m:rPr>
                                <w:rPr>
                                  <w:rFonts w:cs="Times New Roman"/>
                                  <w:iCs/>
                                  <w:szCs w:val="20"/>
                                </w:rPr>
                                <m:t>naloxone</m:t>
                              </m:r>
                            </m:sub>
                          </m:sSub>
                          <m:r>
                            <w:rPr>
                              <w:rFonts w:ascii="Cambria Math" w:hAnsi="Cambria Math" w:cs="Times New Roman"/>
                              <w:szCs w:val="20"/>
                            </w:rPr>
                            <m:t>(t)</m:t>
                          </m:r>
                        </m:num>
                        <m:den>
                          <m:r>
                            <w:rPr>
                              <w:rFonts w:ascii="Cambria Math" w:hAnsi="Cambria Math" w:cs="Times New Roman"/>
                              <w:szCs w:val="20"/>
                            </w:rPr>
                            <m:t>N(t)</m:t>
                          </m:r>
                        </m:den>
                      </m:f>
                    </m:e>
                  </m:d>
                </m:e>
              </m:func>
            </m:e>
          </m:d>
          <m:r>
            <w:rPr>
              <w:rFonts w:ascii="Cambria Math" w:hAnsi="Cambria Math" w:cs="Times New Roman"/>
              <w:szCs w:val="20"/>
            </w:rPr>
            <m:t xml:space="preserve">. </m:t>
          </m:r>
        </m:oMath>
      </m:oMathPara>
    </w:p>
    <w:p w14:paraId="19F148E1" w14:textId="36F29617" w:rsidR="00DC388D" w:rsidRPr="00EF4250" w:rsidRDefault="00A87FBF" w:rsidP="006622EC">
      <w:pPr>
        <w:pStyle w:val="table-title"/>
        <w:rPr>
          <w:rFonts w:ascii="Times New Roman" w:hAnsi="Times New Roman"/>
          <w:szCs w:val="20"/>
        </w:rPr>
      </w:pPr>
      <w:r w:rsidRPr="00626C29">
        <w:rPr>
          <w:rFonts w:ascii="Times New Roman" w:hAnsi="Times New Roman"/>
          <w:b/>
          <w:szCs w:val="20"/>
        </w:rPr>
        <w:t xml:space="preserve">Supplementary </w:t>
      </w:r>
      <w:r w:rsidR="00DC388D" w:rsidRPr="00EF4250">
        <w:rPr>
          <w:rFonts w:ascii="Times New Roman" w:hAnsi="Times New Roman"/>
          <w:b/>
          <w:szCs w:val="20"/>
        </w:rPr>
        <w:t xml:space="preserve">Table </w:t>
      </w:r>
      <w:r w:rsidR="00F92FB6">
        <w:rPr>
          <w:rFonts w:ascii="Times New Roman" w:hAnsi="Times New Roman"/>
          <w:b/>
          <w:szCs w:val="20"/>
        </w:rPr>
        <w:t>12</w:t>
      </w:r>
      <w:r w:rsidR="00DC388D" w:rsidRPr="00EF4250">
        <w:rPr>
          <w:rFonts w:ascii="Times New Roman" w:hAnsi="Times New Roman"/>
          <w:szCs w:val="20"/>
        </w:rPr>
        <w:t xml:space="preserve">. Naloxone </w:t>
      </w:r>
      <w:r w:rsidR="00C14A68" w:rsidRPr="00EF4250">
        <w:rPr>
          <w:rFonts w:ascii="Times New Roman" w:hAnsi="Times New Roman"/>
          <w:szCs w:val="20"/>
        </w:rPr>
        <w:t>ki</w:t>
      </w:r>
      <w:r w:rsidR="00875269" w:rsidRPr="00EF4250">
        <w:rPr>
          <w:rFonts w:ascii="Times New Roman" w:hAnsi="Times New Roman"/>
          <w:szCs w:val="20"/>
        </w:rPr>
        <w:t>t</w:t>
      </w:r>
      <w:r w:rsidR="00C14A68" w:rsidRPr="00EF4250">
        <w:rPr>
          <w:rFonts w:ascii="Times New Roman" w:hAnsi="Times New Roman"/>
          <w:szCs w:val="20"/>
        </w:rPr>
        <w:t xml:space="preserve">s </w:t>
      </w:r>
      <w:r w:rsidR="00DC388D" w:rsidRPr="00EF4250">
        <w:rPr>
          <w:rFonts w:ascii="Times New Roman" w:hAnsi="Times New Roman"/>
          <w:szCs w:val="20"/>
        </w:rPr>
        <w:t xml:space="preserve">distributed in </w:t>
      </w:r>
      <w:r w:rsidR="00C14A68" w:rsidRPr="00EF4250">
        <w:rPr>
          <w:rFonts w:ascii="Times New Roman" w:hAnsi="Times New Roman"/>
          <w:szCs w:val="20"/>
        </w:rPr>
        <w:t xml:space="preserve">simulated urban and rural </w:t>
      </w:r>
      <w:r w:rsidR="00DC388D" w:rsidRPr="00EF4250">
        <w:rPr>
          <w:rFonts w:ascii="Times New Roman" w:hAnsi="Times New Roman"/>
          <w:szCs w:val="20"/>
        </w:rPr>
        <w:t>communities</w:t>
      </w:r>
      <w:r w:rsidR="00D26704" w:rsidRPr="00EF4250">
        <w:rPr>
          <w:rFonts w:ascii="Times New Roman" w:hAnsi="Times New Roman"/>
          <w:szCs w:val="20"/>
        </w:rPr>
        <w:t xml:space="preserve">, </w:t>
      </w:r>
      <w:r w:rsidR="00BB1712" w:rsidRPr="00EF4250">
        <w:rPr>
          <w:rFonts w:ascii="Times New Roman" w:hAnsi="Times New Roman"/>
          <w:szCs w:val="20"/>
        </w:rPr>
        <w:t>from 2017</w:t>
      </w:r>
      <w:r w:rsidR="00EC3631" w:rsidRPr="00EF4250">
        <w:rPr>
          <w:rFonts w:ascii="Times New Roman" w:hAnsi="Times New Roman"/>
          <w:szCs w:val="20"/>
        </w:rPr>
        <w:t xml:space="preserve"> </w:t>
      </w:r>
      <w:r w:rsidR="00DC388D" w:rsidRPr="00EF4250">
        <w:rPr>
          <w:rFonts w:ascii="Times New Roman" w:hAnsi="Times New Roman"/>
          <w:szCs w:val="20"/>
        </w:rPr>
        <w:t xml:space="preserve">to </w:t>
      </w:r>
      <w:r w:rsidR="00F92FB6">
        <w:rPr>
          <w:rFonts w:ascii="Times New Roman" w:hAnsi="Times New Roman"/>
          <w:szCs w:val="20"/>
        </w:rPr>
        <w:t>2023</w:t>
      </w:r>
      <w:r w:rsidR="00DC388D" w:rsidRPr="00EF4250">
        <w:rPr>
          <w:rFonts w:ascii="Times New Roman" w:hAnsi="Times New Roman"/>
          <w:szCs w:val="20"/>
        </w:rPr>
        <w:t>.</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2970"/>
        <w:gridCol w:w="2970"/>
      </w:tblGrid>
      <w:tr w:rsidR="00072623" w:rsidRPr="00D2239A" w14:paraId="1986948D" w14:textId="77777777" w:rsidTr="00435936">
        <w:trPr>
          <w:trHeight w:val="319"/>
        </w:trPr>
        <w:tc>
          <w:tcPr>
            <w:tcW w:w="810" w:type="dxa"/>
            <w:tcBorders>
              <w:bottom w:val="nil"/>
            </w:tcBorders>
            <w:vAlign w:val="center"/>
          </w:tcPr>
          <w:p w14:paraId="2F0461A7" w14:textId="77777777" w:rsidR="00072623" w:rsidRPr="00D2239A" w:rsidDel="00C14A68" w:rsidRDefault="00072623" w:rsidP="00435936">
            <w:pPr>
              <w:spacing w:line="276" w:lineRule="auto"/>
              <w:rPr>
                <w:rFonts w:cs="Times New Roman"/>
                <w:b/>
                <w:bCs/>
                <w:sz w:val="18"/>
                <w:szCs w:val="18"/>
              </w:rPr>
            </w:pPr>
          </w:p>
        </w:tc>
        <w:tc>
          <w:tcPr>
            <w:tcW w:w="5940" w:type="dxa"/>
            <w:gridSpan w:val="2"/>
            <w:tcBorders>
              <w:top w:val="single" w:sz="4" w:space="0" w:color="auto"/>
              <w:bottom w:val="single" w:sz="4" w:space="0" w:color="auto"/>
            </w:tcBorders>
            <w:vAlign w:val="center"/>
          </w:tcPr>
          <w:p w14:paraId="56230BBF" w14:textId="77777777" w:rsidR="00072623" w:rsidRPr="00D2239A" w:rsidRDefault="00072623" w:rsidP="00435936">
            <w:pPr>
              <w:spacing w:line="276" w:lineRule="auto"/>
              <w:jc w:val="center"/>
              <w:rPr>
                <w:rFonts w:cs="Times New Roman"/>
                <w:b/>
                <w:bCs/>
                <w:sz w:val="18"/>
                <w:szCs w:val="18"/>
              </w:rPr>
            </w:pPr>
            <w:r w:rsidRPr="00D2239A">
              <w:rPr>
                <w:rFonts w:cs="Times New Roman"/>
                <w:b/>
                <w:bCs/>
                <w:sz w:val="18"/>
                <w:szCs w:val="18"/>
              </w:rPr>
              <w:t>Mean (min − max) naloxone kits distributed per 100,000 population</w:t>
            </w:r>
          </w:p>
        </w:tc>
      </w:tr>
      <w:tr w:rsidR="00072623" w:rsidRPr="00D2239A" w14:paraId="6F39CD87" w14:textId="77777777" w:rsidTr="00435936">
        <w:trPr>
          <w:trHeight w:val="319"/>
        </w:trPr>
        <w:tc>
          <w:tcPr>
            <w:tcW w:w="810" w:type="dxa"/>
            <w:tcBorders>
              <w:top w:val="nil"/>
              <w:bottom w:val="single" w:sz="4" w:space="0" w:color="auto"/>
            </w:tcBorders>
            <w:vAlign w:val="center"/>
          </w:tcPr>
          <w:p w14:paraId="5AFDA9DB" w14:textId="77777777" w:rsidR="00072623" w:rsidRPr="00D2239A" w:rsidRDefault="00072623" w:rsidP="00435936">
            <w:pPr>
              <w:spacing w:line="276" w:lineRule="auto"/>
              <w:jc w:val="center"/>
              <w:rPr>
                <w:rFonts w:cs="Times New Roman"/>
                <w:b/>
                <w:bCs/>
                <w:sz w:val="18"/>
                <w:szCs w:val="18"/>
              </w:rPr>
            </w:pPr>
            <w:r w:rsidRPr="00D2239A">
              <w:rPr>
                <w:rFonts w:cs="Times New Roman"/>
                <w:b/>
                <w:bCs/>
                <w:sz w:val="18"/>
                <w:szCs w:val="18"/>
              </w:rPr>
              <w:t>Year</w:t>
            </w:r>
          </w:p>
        </w:tc>
        <w:tc>
          <w:tcPr>
            <w:tcW w:w="2970" w:type="dxa"/>
            <w:tcBorders>
              <w:top w:val="single" w:sz="4" w:space="0" w:color="auto"/>
              <w:bottom w:val="single" w:sz="4" w:space="0" w:color="auto"/>
            </w:tcBorders>
            <w:vAlign w:val="center"/>
          </w:tcPr>
          <w:p w14:paraId="506A1F15" w14:textId="5BE7174E" w:rsidR="00072623" w:rsidRPr="00D2239A" w:rsidRDefault="00072623" w:rsidP="00435936">
            <w:pPr>
              <w:spacing w:line="276" w:lineRule="auto"/>
              <w:jc w:val="center"/>
              <w:rPr>
                <w:rFonts w:cs="Times New Roman"/>
                <w:b/>
                <w:bCs/>
                <w:sz w:val="18"/>
                <w:szCs w:val="18"/>
              </w:rPr>
            </w:pPr>
            <w:r w:rsidRPr="00D2239A">
              <w:rPr>
                <w:rFonts w:cs="Times New Roman"/>
                <w:b/>
                <w:bCs/>
                <w:sz w:val="18"/>
                <w:szCs w:val="18"/>
              </w:rPr>
              <w:t xml:space="preserve">Urban, N = </w:t>
            </w:r>
            <w:r w:rsidR="00F92FB6">
              <w:rPr>
                <w:rFonts w:cs="Times New Roman"/>
                <w:b/>
                <w:bCs/>
                <w:sz w:val="18"/>
                <w:szCs w:val="18"/>
              </w:rPr>
              <w:t>18</w:t>
            </w:r>
          </w:p>
        </w:tc>
        <w:tc>
          <w:tcPr>
            <w:tcW w:w="2970" w:type="dxa"/>
            <w:tcBorders>
              <w:top w:val="single" w:sz="4" w:space="0" w:color="auto"/>
              <w:bottom w:val="single" w:sz="4" w:space="0" w:color="auto"/>
            </w:tcBorders>
            <w:vAlign w:val="center"/>
          </w:tcPr>
          <w:p w14:paraId="12375162" w14:textId="77777777" w:rsidR="00072623" w:rsidRPr="00D2239A" w:rsidRDefault="00072623" w:rsidP="00435936">
            <w:pPr>
              <w:spacing w:line="276" w:lineRule="auto"/>
              <w:jc w:val="center"/>
              <w:rPr>
                <w:rFonts w:cs="Times New Roman"/>
                <w:b/>
                <w:bCs/>
                <w:sz w:val="18"/>
                <w:szCs w:val="18"/>
              </w:rPr>
            </w:pPr>
            <w:r w:rsidRPr="00D2239A">
              <w:rPr>
                <w:rFonts w:cs="Times New Roman"/>
                <w:b/>
                <w:bCs/>
                <w:sz w:val="18"/>
                <w:szCs w:val="18"/>
              </w:rPr>
              <w:t>Rural, N = 8</w:t>
            </w:r>
          </w:p>
        </w:tc>
      </w:tr>
      <w:tr w:rsidR="00F92FB6" w:rsidRPr="00D2239A" w14:paraId="3C62A07B" w14:textId="77777777" w:rsidTr="00BB1712">
        <w:trPr>
          <w:trHeight w:val="319"/>
        </w:trPr>
        <w:tc>
          <w:tcPr>
            <w:tcW w:w="810" w:type="dxa"/>
            <w:tcBorders>
              <w:top w:val="single" w:sz="4" w:space="0" w:color="auto"/>
            </w:tcBorders>
            <w:vAlign w:val="center"/>
          </w:tcPr>
          <w:p w14:paraId="178EA556" w14:textId="4B75F2E3" w:rsidR="00F92FB6" w:rsidRPr="00D2239A" w:rsidRDefault="00F92FB6" w:rsidP="00F92FB6">
            <w:pPr>
              <w:spacing w:line="276" w:lineRule="auto"/>
              <w:jc w:val="center"/>
              <w:rPr>
                <w:rFonts w:cs="Times New Roman"/>
                <w:sz w:val="18"/>
                <w:szCs w:val="18"/>
              </w:rPr>
            </w:pPr>
            <w:r w:rsidRPr="00D2239A">
              <w:rPr>
                <w:rFonts w:cs="Times New Roman"/>
                <w:sz w:val="18"/>
                <w:szCs w:val="18"/>
              </w:rPr>
              <w:t>2017</w:t>
            </w:r>
          </w:p>
        </w:tc>
        <w:tc>
          <w:tcPr>
            <w:tcW w:w="2970" w:type="dxa"/>
            <w:tcBorders>
              <w:top w:val="single" w:sz="4" w:space="0" w:color="auto"/>
            </w:tcBorders>
            <w:vAlign w:val="bottom"/>
          </w:tcPr>
          <w:p w14:paraId="5669A04B" w14:textId="06F3C95B" w:rsidR="00F92FB6" w:rsidRPr="00D2239A" w:rsidRDefault="00F92FB6" w:rsidP="00F92FB6">
            <w:pPr>
              <w:spacing w:line="276" w:lineRule="auto"/>
              <w:jc w:val="center"/>
              <w:rPr>
                <w:rFonts w:cs="Times New Roman"/>
                <w:sz w:val="18"/>
                <w:szCs w:val="18"/>
              </w:rPr>
            </w:pPr>
            <w:r w:rsidRPr="009832E5">
              <w:rPr>
                <w:rFonts w:cs="Times New Roman"/>
                <w:color w:val="000000"/>
                <w:sz w:val="18"/>
                <w:szCs w:val="18"/>
              </w:rPr>
              <w:t>940 (192 – 2691)</w:t>
            </w:r>
          </w:p>
        </w:tc>
        <w:tc>
          <w:tcPr>
            <w:tcW w:w="2970" w:type="dxa"/>
            <w:tcBorders>
              <w:top w:val="single" w:sz="4" w:space="0" w:color="auto"/>
            </w:tcBorders>
            <w:vAlign w:val="bottom"/>
          </w:tcPr>
          <w:p w14:paraId="2D374519" w14:textId="51806832" w:rsidR="00F92FB6" w:rsidRPr="00D2239A" w:rsidRDefault="00F92FB6" w:rsidP="00F92FB6">
            <w:pPr>
              <w:spacing w:line="276" w:lineRule="auto"/>
              <w:jc w:val="center"/>
              <w:rPr>
                <w:rFonts w:cs="Times New Roman"/>
                <w:sz w:val="18"/>
                <w:szCs w:val="18"/>
              </w:rPr>
            </w:pPr>
            <w:r w:rsidRPr="002C266E">
              <w:rPr>
                <w:rFonts w:cs="Times New Roman"/>
                <w:color w:val="000000"/>
                <w:sz w:val="18"/>
                <w:szCs w:val="18"/>
              </w:rPr>
              <w:t>1340 (87 – 4949)</w:t>
            </w:r>
          </w:p>
        </w:tc>
      </w:tr>
      <w:tr w:rsidR="00F92FB6" w:rsidRPr="00D2239A" w14:paraId="2F94FBE1" w14:textId="77777777" w:rsidTr="00BB1712">
        <w:trPr>
          <w:trHeight w:val="319"/>
        </w:trPr>
        <w:tc>
          <w:tcPr>
            <w:tcW w:w="810" w:type="dxa"/>
            <w:vAlign w:val="center"/>
          </w:tcPr>
          <w:p w14:paraId="2EB364B4" w14:textId="462A3296" w:rsidR="00F92FB6" w:rsidRPr="00D2239A" w:rsidRDefault="00F92FB6" w:rsidP="00F92FB6">
            <w:pPr>
              <w:spacing w:line="276" w:lineRule="auto"/>
              <w:jc w:val="center"/>
              <w:rPr>
                <w:rFonts w:cs="Times New Roman"/>
                <w:sz w:val="18"/>
                <w:szCs w:val="18"/>
              </w:rPr>
            </w:pPr>
            <w:r w:rsidRPr="00D2239A">
              <w:rPr>
                <w:rFonts w:cs="Times New Roman"/>
                <w:sz w:val="18"/>
                <w:szCs w:val="18"/>
              </w:rPr>
              <w:t>2018</w:t>
            </w:r>
          </w:p>
        </w:tc>
        <w:tc>
          <w:tcPr>
            <w:tcW w:w="2970" w:type="dxa"/>
            <w:vAlign w:val="bottom"/>
          </w:tcPr>
          <w:p w14:paraId="332B14F3" w14:textId="5BE377F6" w:rsidR="00F92FB6" w:rsidRPr="00D2239A" w:rsidRDefault="00F92FB6" w:rsidP="00F92FB6">
            <w:pPr>
              <w:spacing w:line="276" w:lineRule="auto"/>
              <w:jc w:val="center"/>
              <w:rPr>
                <w:rFonts w:cs="Times New Roman"/>
                <w:sz w:val="18"/>
                <w:szCs w:val="18"/>
              </w:rPr>
            </w:pPr>
            <w:r w:rsidRPr="009832E5">
              <w:rPr>
                <w:rFonts w:cs="Times New Roman"/>
                <w:color w:val="000000"/>
                <w:sz w:val="18"/>
                <w:szCs w:val="18"/>
              </w:rPr>
              <w:t>985 (289 – 2691)</w:t>
            </w:r>
          </w:p>
        </w:tc>
        <w:tc>
          <w:tcPr>
            <w:tcW w:w="2970" w:type="dxa"/>
            <w:vAlign w:val="bottom"/>
          </w:tcPr>
          <w:p w14:paraId="16CF73AA" w14:textId="407DFF8B" w:rsidR="00F92FB6" w:rsidRPr="00D2239A" w:rsidRDefault="00F92FB6" w:rsidP="00F92FB6">
            <w:pPr>
              <w:spacing w:line="276" w:lineRule="auto"/>
              <w:jc w:val="center"/>
              <w:rPr>
                <w:rFonts w:cs="Times New Roman"/>
                <w:sz w:val="18"/>
                <w:szCs w:val="18"/>
              </w:rPr>
            </w:pPr>
            <w:r w:rsidRPr="002C266E">
              <w:rPr>
                <w:rFonts w:cs="Times New Roman"/>
                <w:color w:val="000000"/>
                <w:sz w:val="18"/>
                <w:szCs w:val="18"/>
              </w:rPr>
              <w:t>1404 (101 – 4949)</w:t>
            </w:r>
          </w:p>
        </w:tc>
      </w:tr>
      <w:tr w:rsidR="00F92FB6" w:rsidRPr="00D2239A" w14:paraId="50C9B2DC" w14:textId="77777777" w:rsidTr="00BB1712">
        <w:trPr>
          <w:trHeight w:val="319"/>
        </w:trPr>
        <w:tc>
          <w:tcPr>
            <w:tcW w:w="810" w:type="dxa"/>
            <w:vAlign w:val="center"/>
          </w:tcPr>
          <w:p w14:paraId="018FA648" w14:textId="3CC155E8" w:rsidR="00F92FB6" w:rsidRPr="00D2239A" w:rsidRDefault="00F92FB6" w:rsidP="00F92FB6">
            <w:pPr>
              <w:spacing w:line="276" w:lineRule="auto"/>
              <w:jc w:val="center"/>
              <w:rPr>
                <w:rFonts w:cs="Times New Roman"/>
                <w:sz w:val="18"/>
                <w:szCs w:val="18"/>
              </w:rPr>
            </w:pPr>
            <w:r w:rsidRPr="00D2239A">
              <w:rPr>
                <w:rFonts w:cs="Times New Roman"/>
                <w:sz w:val="18"/>
                <w:szCs w:val="18"/>
              </w:rPr>
              <w:t>2019</w:t>
            </w:r>
          </w:p>
        </w:tc>
        <w:tc>
          <w:tcPr>
            <w:tcW w:w="2970" w:type="dxa"/>
            <w:vAlign w:val="bottom"/>
          </w:tcPr>
          <w:p w14:paraId="7EEACCD4" w14:textId="60097A06" w:rsidR="00F92FB6" w:rsidRPr="00D2239A" w:rsidRDefault="00F92FB6" w:rsidP="00F92FB6">
            <w:pPr>
              <w:spacing w:line="276" w:lineRule="auto"/>
              <w:jc w:val="center"/>
              <w:rPr>
                <w:rFonts w:cs="Times New Roman"/>
                <w:sz w:val="18"/>
                <w:szCs w:val="18"/>
              </w:rPr>
            </w:pPr>
            <w:r w:rsidRPr="009832E5">
              <w:rPr>
                <w:rFonts w:cs="Times New Roman"/>
                <w:color w:val="000000"/>
                <w:sz w:val="18"/>
                <w:szCs w:val="18"/>
              </w:rPr>
              <w:t>1251 (532 – 3088)</w:t>
            </w:r>
          </w:p>
        </w:tc>
        <w:tc>
          <w:tcPr>
            <w:tcW w:w="2970" w:type="dxa"/>
            <w:vAlign w:val="bottom"/>
          </w:tcPr>
          <w:p w14:paraId="10C0D575" w14:textId="669B22BA" w:rsidR="00F92FB6" w:rsidRPr="00D2239A" w:rsidRDefault="00F92FB6" w:rsidP="00F92FB6">
            <w:pPr>
              <w:spacing w:line="276" w:lineRule="auto"/>
              <w:jc w:val="center"/>
              <w:rPr>
                <w:rFonts w:cs="Times New Roman"/>
                <w:sz w:val="18"/>
                <w:szCs w:val="18"/>
              </w:rPr>
            </w:pPr>
            <w:r w:rsidRPr="002C266E">
              <w:rPr>
                <w:rFonts w:cs="Times New Roman"/>
                <w:color w:val="000000"/>
                <w:sz w:val="18"/>
                <w:szCs w:val="18"/>
              </w:rPr>
              <w:t>1772 (153 – 5421)</w:t>
            </w:r>
          </w:p>
        </w:tc>
      </w:tr>
      <w:tr w:rsidR="00F92FB6" w:rsidRPr="00D2239A" w14:paraId="676C1C5C" w14:textId="77777777" w:rsidTr="00BB1712">
        <w:trPr>
          <w:trHeight w:val="319"/>
        </w:trPr>
        <w:tc>
          <w:tcPr>
            <w:tcW w:w="810" w:type="dxa"/>
            <w:vAlign w:val="center"/>
          </w:tcPr>
          <w:p w14:paraId="64DF7517" w14:textId="68901EA5" w:rsidR="00F92FB6" w:rsidRPr="00D2239A" w:rsidRDefault="00F92FB6" w:rsidP="00F92FB6">
            <w:pPr>
              <w:spacing w:line="276" w:lineRule="auto"/>
              <w:jc w:val="center"/>
              <w:rPr>
                <w:rFonts w:cs="Times New Roman"/>
                <w:sz w:val="18"/>
                <w:szCs w:val="18"/>
              </w:rPr>
            </w:pPr>
            <w:r w:rsidRPr="00D2239A">
              <w:rPr>
                <w:rFonts w:cs="Times New Roman"/>
                <w:sz w:val="18"/>
                <w:szCs w:val="18"/>
              </w:rPr>
              <w:t>2020</w:t>
            </w:r>
          </w:p>
        </w:tc>
        <w:tc>
          <w:tcPr>
            <w:tcW w:w="2970" w:type="dxa"/>
            <w:vAlign w:val="bottom"/>
          </w:tcPr>
          <w:p w14:paraId="6B9BE505" w14:textId="7BF4A16A" w:rsidR="00F92FB6" w:rsidRPr="00D2239A" w:rsidRDefault="00F92FB6" w:rsidP="00F92FB6">
            <w:pPr>
              <w:spacing w:line="276" w:lineRule="auto"/>
              <w:jc w:val="center"/>
              <w:rPr>
                <w:rFonts w:cs="Times New Roman"/>
                <w:sz w:val="18"/>
                <w:szCs w:val="18"/>
              </w:rPr>
            </w:pPr>
            <w:r w:rsidRPr="009832E5">
              <w:rPr>
                <w:rFonts w:cs="Times New Roman"/>
                <w:color w:val="000000"/>
                <w:sz w:val="18"/>
                <w:szCs w:val="18"/>
              </w:rPr>
              <w:t>1570 (660 – 3491)</w:t>
            </w:r>
          </w:p>
        </w:tc>
        <w:tc>
          <w:tcPr>
            <w:tcW w:w="2970" w:type="dxa"/>
            <w:vAlign w:val="bottom"/>
          </w:tcPr>
          <w:p w14:paraId="56ADDFB6" w14:textId="72E15AE9" w:rsidR="00F92FB6" w:rsidRPr="00D2239A" w:rsidRDefault="00F92FB6" w:rsidP="00F92FB6">
            <w:pPr>
              <w:spacing w:line="276" w:lineRule="auto"/>
              <w:jc w:val="center"/>
              <w:rPr>
                <w:rFonts w:cs="Times New Roman"/>
                <w:sz w:val="18"/>
                <w:szCs w:val="18"/>
              </w:rPr>
            </w:pPr>
            <w:r w:rsidRPr="002C266E">
              <w:rPr>
                <w:rFonts w:cs="Times New Roman"/>
                <w:color w:val="000000"/>
                <w:sz w:val="18"/>
                <w:szCs w:val="18"/>
              </w:rPr>
              <w:t>2275 (148 – 6061)</w:t>
            </w:r>
          </w:p>
        </w:tc>
      </w:tr>
      <w:tr w:rsidR="00F92FB6" w:rsidRPr="00D2239A" w14:paraId="1B836340" w14:textId="77777777" w:rsidTr="00BB1712">
        <w:trPr>
          <w:trHeight w:val="319"/>
        </w:trPr>
        <w:tc>
          <w:tcPr>
            <w:tcW w:w="810" w:type="dxa"/>
            <w:vAlign w:val="center"/>
          </w:tcPr>
          <w:p w14:paraId="3988EE0F" w14:textId="4A69A324" w:rsidR="00F92FB6" w:rsidRPr="00D2239A" w:rsidRDefault="00F92FB6" w:rsidP="00F92FB6">
            <w:pPr>
              <w:spacing w:line="276" w:lineRule="auto"/>
              <w:jc w:val="center"/>
              <w:rPr>
                <w:rFonts w:cs="Times New Roman"/>
                <w:sz w:val="18"/>
                <w:szCs w:val="18"/>
              </w:rPr>
            </w:pPr>
            <w:r w:rsidRPr="00D2239A">
              <w:rPr>
                <w:rFonts w:cs="Times New Roman"/>
                <w:sz w:val="18"/>
                <w:szCs w:val="18"/>
              </w:rPr>
              <w:t>2021</w:t>
            </w:r>
          </w:p>
        </w:tc>
        <w:tc>
          <w:tcPr>
            <w:tcW w:w="2970" w:type="dxa"/>
            <w:vAlign w:val="bottom"/>
          </w:tcPr>
          <w:p w14:paraId="552179DC" w14:textId="51A477B7" w:rsidR="00F92FB6" w:rsidRPr="00D2239A" w:rsidRDefault="00F92FB6" w:rsidP="00F92FB6">
            <w:pPr>
              <w:spacing w:line="276" w:lineRule="auto"/>
              <w:jc w:val="center"/>
              <w:rPr>
                <w:rFonts w:cs="Times New Roman"/>
                <w:sz w:val="18"/>
                <w:szCs w:val="18"/>
              </w:rPr>
            </w:pPr>
            <w:r w:rsidRPr="009832E5">
              <w:rPr>
                <w:rFonts w:cs="Times New Roman"/>
                <w:color w:val="000000"/>
                <w:sz w:val="18"/>
                <w:szCs w:val="18"/>
              </w:rPr>
              <w:t>2054 (757 – 5264)</w:t>
            </w:r>
          </w:p>
        </w:tc>
        <w:tc>
          <w:tcPr>
            <w:tcW w:w="2970" w:type="dxa"/>
            <w:vAlign w:val="bottom"/>
          </w:tcPr>
          <w:p w14:paraId="004CC08C" w14:textId="2D9186F1" w:rsidR="00F92FB6" w:rsidRPr="00D2239A" w:rsidRDefault="00F92FB6" w:rsidP="00F92FB6">
            <w:pPr>
              <w:spacing w:line="276" w:lineRule="auto"/>
              <w:jc w:val="center"/>
              <w:rPr>
                <w:rFonts w:cs="Times New Roman"/>
                <w:sz w:val="18"/>
                <w:szCs w:val="18"/>
              </w:rPr>
            </w:pPr>
            <w:r w:rsidRPr="002C266E">
              <w:rPr>
                <w:rFonts w:cs="Times New Roman"/>
                <w:color w:val="000000"/>
                <w:sz w:val="18"/>
                <w:szCs w:val="18"/>
              </w:rPr>
              <w:t>2750 (283 – 7402)</w:t>
            </w:r>
          </w:p>
        </w:tc>
      </w:tr>
      <w:tr w:rsidR="00F92FB6" w:rsidRPr="00D2239A" w14:paraId="5D98E54E" w14:textId="77777777" w:rsidTr="00BB1712">
        <w:trPr>
          <w:trHeight w:val="319"/>
        </w:trPr>
        <w:tc>
          <w:tcPr>
            <w:tcW w:w="810" w:type="dxa"/>
            <w:vAlign w:val="center"/>
          </w:tcPr>
          <w:p w14:paraId="1A833E0F" w14:textId="42F28EC3" w:rsidR="00F92FB6" w:rsidRPr="00D2239A" w:rsidRDefault="00F92FB6" w:rsidP="00F92FB6">
            <w:pPr>
              <w:spacing w:line="276" w:lineRule="auto"/>
              <w:jc w:val="center"/>
              <w:rPr>
                <w:rFonts w:cs="Times New Roman"/>
                <w:sz w:val="18"/>
                <w:szCs w:val="18"/>
              </w:rPr>
            </w:pPr>
            <w:r w:rsidRPr="00D2239A">
              <w:rPr>
                <w:rFonts w:cs="Times New Roman"/>
                <w:sz w:val="18"/>
                <w:szCs w:val="18"/>
              </w:rPr>
              <w:t>2022</w:t>
            </w:r>
          </w:p>
        </w:tc>
        <w:tc>
          <w:tcPr>
            <w:tcW w:w="2970" w:type="dxa"/>
            <w:vAlign w:val="bottom"/>
          </w:tcPr>
          <w:p w14:paraId="37F082F7" w14:textId="6E5BA60E" w:rsidR="00F92FB6" w:rsidRPr="00D2239A" w:rsidRDefault="00F92FB6" w:rsidP="00F92FB6">
            <w:pPr>
              <w:spacing w:line="276" w:lineRule="auto"/>
              <w:jc w:val="center"/>
              <w:rPr>
                <w:rFonts w:cs="Times New Roman"/>
                <w:sz w:val="18"/>
                <w:szCs w:val="18"/>
              </w:rPr>
            </w:pPr>
            <w:r w:rsidRPr="009832E5">
              <w:rPr>
                <w:rFonts w:cs="Times New Roman"/>
                <w:color w:val="000000"/>
                <w:sz w:val="18"/>
                <w:szCs w:val="18"/>
              </w:rPr>
              <w:t>2760 (899 – 7122)</w:t>
            </w:r>
          </w:p>
        </w:tc>
        <w:tc>
          <w:tcPr>
            <w:tcW w:w="2970" w:type="dxa"/>
            <w:vAlign w:val="bottom"/>
          </w:tcPr>
          <w:p w14:paraId="20DD1C71" w14:textId="4CFE5169" w:rsidR="00F92FB6" w:rsidRPr="00D2239A" w:rsidRDefault="00F92FB6" w:rsidP="00F92FB6">
            <w:pPr>
              <w:spacing w:line="276" w:lineRule="auto"/>
              <w:jc w:val="center"/>
              <w:rPr>
                <w:rFonts w:cs="Times New Roman"/>
                <w:sz w:val="18"/>
                <w:szCs w:val="18"/>
              </w:rPr>
            </w:pPr>
            <w:r w:rsidRPr="002C266E">
              <w:rPr>
                <w:rFonts w:cs="Times New Roman"/>
                <w:color w:val="000000"/>
                <w:sz w:val="18"/>
                <w:szCs w:val="18"/>
              </w:rPr>
              <w:t>3062 (394 – 8882)</w:t>
            </w:r>
          </w:p>
        </w:tc>
      </w:tr>
      <w:tr w:rsidR="00F92FB6" w:rsidRPr="00D2239A" w14:paraId="0BEFA9D4" w14:textId="77777777" w:rsidTr="00BB1712">
        <w:trPr>
          <w:trHeight w:val="319"/>
        </w:trPr>
        <w:tc>
          <w:tcPr>
            <w:tcW w:w="810" w:type="dxa"/>
            <w:vAlign w:val="center"/>
          </w:tcPr>
          <w:p w14:paraId="52A77903" w14:textId="0C27BE71" w:rsidR="00F92FB6" w:rsidRPr="00D2239A" w:rsidRDefault="00F92FB6" w:rsidP="00F92FB6">
            <w:pPr>
              <w:spacing w:line="276" w:lineRule="auto"/>
              <w:jc w:val="center"/>
              <w:rPr>
                <w:rFonts w:cs="Times New Roman"/>
                <w:sz w:val="18"/>
                <w:szCs w:val="18"/>
              </w:rPr>
            </w:pPr>
            <w:r>
              <w:rPr>
                <w:rFonts w:cs="Times New Roman"/>
                <w:sz w:val="18"/>
                <w:szCs w:val="18"/>
              </w:rPr>
              <w:t>2023</w:t>
            </w:r>
          </w:p>
        </w:tc>
        <w:tc>
          <w:tcPr>
            <w:tcW w:w="2970" w:type="dxa"/>
            <w:vAlign w:val="bottom"/>
          </w:tcPr>
          <w:p w14:paraId="7DDA3A6F" w14:textId="6BC1B483" w:rsidR="00F92FB6" w:rsidRPr="00D2239A" w:rsidRDefault="00F92FB6" w:rsidP="00F92FB6">
            <w:pPr>
              <w:spacing w:line="276" w:lineRule="auto"/>
              <w:jc w:val="center"/>
              <w:rPr>
                <w:rFonts w:cs="Times New Roman"/>
                <w:sz w:val="18"/>
                <w:szCs w:val="18"/>
              </w:rPr>
            </w:pPr>
            <w:r w:rsidRPr="009832E5">
              <w:rPr>
                <w:rFonts w:cs="Times New Roman"/>
                <w:color w:val="000000"/>
                <w:sz w:val="18"/>
                <w:szCs w:val="18"/>
              </w:rPr>
              <w:t>4626 (1560 – 13065)</w:t>
            </w:r>
          </w:p>
        </w:tc>
        <w:tc>
          <w:tcPr>
            <w:tcW w:w="2970" w:type="dxa"/>
            <w:vAlign w:val="bottom"/>
          </w:tcPr>
          <w:p w14:paraId="3800A611" w14:textId="01370007" w:rsidR="00F92FB6" w:rsidRPr="00D2239A" w:rsidRDefault="00F92FB6" w:rsidP="00F92FB6">
            <w:pPr>
              <w:spacing w:line="276" w:lineRule="auto"/>
              <w:jc w:val="center"/>
              <w:rPr>
                <w:rFonts w:cs="Times New Roman"/>
                <w:sz w:val="18"/>
                <w:szCs w:val="18"/>
              </w:rPr>
            </w:pPr>
            <w:r w:rsidRPr="002C266E">
              <w:rPr>
                <w:rFonts w:cs="Times New Roman"/>
                <w:color w:val="000000"/>
                <w:sz w:val="18"/>
                <w:szCs w:val="18"/>
              </w:rPr>
              <w:t>3726 (1175 – 8933)</w:t>
            </w:r>
          </w:p>
        </w:tc>
      </w:tr>
    </w:tbl>
    <w:p w14:paraId="0E1A9503" w14:textId="77777777" w:rsidR="003170CC" w:rsidRDefault="003170CC" w:rsidP="00D94C5E">
      <w:pPr>
        <w:pStyle w:val="Heading2"/>
        <w:rPr>
          <w:rFonts w:cs="Times New Roman"/>
        </w:rPr>
      </w:pPr>
    </w:p>
    <w:p w14:paraId="5E2EBC03" w14:textId="6E72FF13" w:rsidR="008F590E" w:rsidRPr="00D2239A" w:rsidRDefault="008F590E" w:rsidP="00D94C5E">
      <w:pPr>
        <w:pStyle w:val="Heading2"/>
        <w:rPr>
          <w:rFonts w:cs="Times New Roman"/>
        </w:rPr>
      </w:pPr>
      <w:bookmarkStart w:id="36" w:name="_Toc206680997"/>
      <w:bookmarkStart w:id="37" w:name="_Toc226020687"/>
      <w:r w:rsidRPr="00D2239A">
        <w:rPr>
          <w:rFonts w:cs="Times New Roman"/>
        </w:rPr>
        <w:t>S1.4.3</w:t>
      </w:r>
      <w:r w:rsidR="00C10F10">
        <w:rPr>
          <w:rFonts w:cs="Times New Roman"/>
        </w:rPr>
        <w:t>.</w:t>
      </w:r>
      <w:r w:rsidRPr="00D2239A">
        <w:rPr>
          <w:rFonts w:cs="Times New Roman"/>
        </w:rPr>
        <w:t xml:space="preserve"> Opioid-related non-overdose mortality and other-cause mortality</w:t>
      </w:r>
      <w:bookmarkEnd w:id="36"/>
      <w:bookmarkEnd w:id="37"/>
    </w:p>
    <w:p w14:paraId="611A9BFC" w14:textId="1BA48C73" w:rsidR="006B5FFD" w:rsidRPr="00EF4250" w:rsidRDefault="00752172" w:rsidP="00754108">
      <w:pPr>
        <w:spacing w:after="0" w:line="276" w:lineRule="auto"/>
        <w:rPr>
          <w:rFonts w:cs="Times New Roman"/>
          <w:szCs w:val="20"/>
        </w:rPr>
      </w:pPr>
      <w:r w:rsidRPr="00EF4250">
        <w:rPr>
          <w:rFonts w:cs="Times New Roman"/>
          <w:szCs w:val="20"/>
        </w:rPr>
        <w:t>OPSiM</w:t>
      </w:r>
      <w:r w:rsidR="00D26704" w:rsidRPr="00EF4250">
        <w:rPr>
          <w:rFonts w:cs="Times New Roman"/>
          <w:szCs w:val="20"/>
        </w:rPr>
        <w:t xml:space="preserve"> </w:t>
      </w:r>
      <w:r w:rsidR="00795969" w:rsidRPr="00EF4250">
        <w:rPr>
          <w:rFonts w:cs="Times New Roman"/>
          <w:szCs w:val="20"/>
        </w:rPr>
        <w:t>accounts for three mutually exclusive types of mortality</w:t>
      </w:r>
      <w:r w:rsidR="00EC35FE" w:rsidRPr="00EF4250">
        <w:rPr>
          <w:rFonts w:cs="Times New Roman"/>
          <w:szCs w:val="20"/>
        </w:rPr>
        <w:t xml:space="preserve"> risks</w:t>
      </w:r>
      <w:r w:rsidR="00795969" w:rsidRPr="00EF4250">
        <w:rPr>
          <w:rFonts w:cs="Times New Roman"/>
          <w:szCs w:val="20"/>
        </w:rPr>
        <w:t xml:space="preserve">: </w:t>
      </w:r>
      <w:r w:rsidR="00EC35FE" w:rsidRPr="00EF4250">
        <w:rPr>
          <w:rFonts w:cs="Times New Roman"/>
          <w:szCs w:val="20"/>
        </w:rPr>
        <w:t xml:space="preserve">(A) </w:t>
      </w:r>
      <w:r w:rsidR="00795969" w:rsidRPr="00EF4250">
        <w:rPr>
          <w:rFonts w:cs="Times New Roman"/>
          <w:szCs w:val="20"/>
        </w:rPr>
        <w:t xml:space="preserve">opioid overdose mortality, </w:t>
      </w:r>
      <w:r w:rsidR="00EC35FE" w:rsidRPr="00EF4250">
        <w:rPr>
          <w:rFonts w:cs="Times New Roman"/>
          <w:szCs w:val="20"/>
        </w:rPr>
        <w:t>(B)</w:t>
      </w:r>
      <w:r w:rsidR="00D26704" w:rsidRPr="00EF4250">
        <w:rPr>
          <w:rFonts w:cs="Times New Roman"/>
          <w:szCs w:val="20"/>
        </w:rPr>
        <w:t> </w:t>
      </w:r>
      <w:r w:rsidR="00795969" w:rsidRPr="00EF4250">
        <w:rPr>
          <w:rFonts w:cs="Times New Roman"/>
          <w:szCs w:val="20"/>
        </w:rPr>
        <w:t>opioid-related non-overdose mortality</w:t>
      </w:r>
      <w:r w:rsidR="00EC35FE" w:rsidRPr="00EF4250">
        <w:rPr>
          <w:rFonts w:cs="Times New Roman"/>
          <w:szCs w:val="20"/>
        </w:rPr>
        <w:t>,</w:t>
      </w:r>
      <w:r w:rsidR="00795969" w:rsidRPr="00EF4250">
        <w:rPr>
          <w:rFonts w:cs="Times New Roman"/>
          <w:szCs w:val="20"/>
        </w:rPr>
        <w:t xml:space="preserve"> and </w:t>
      </w:r>
      <w:r w:rsidR="00EC35FE" w:rsidRPr="00EF4250">
        <w:rPr>
          <w:rFonts w:cs="Times New Roman"/>
          <w:szCs w:val="20"/>
        </w:rPr>
        <w:t xml:space="preserve">(C) </w:t>
      </w:r>
      <w:r w:rsidR="00795969" w:rsidRPr="00EF4250">
        <w:rPr>
          <w:rFonts w:cs="Times New Roman"/>
          <w:szCs w:val="20"/>
        </w:rPr>
        <w:t>other-cause mortality. Opioid overdose mortality (A) is handled in the overdose pathway as described above</w:t>
      </w:r>
      <w:r w:rsidR="00866C59" w:rsidRPr="00EF4250">
        <w:rPr>
          <w:rFonts w:cs="Times New Roman"/>
          <w:szCs w:val="20"/>
        </w:rPr>
        <w:t xml:space="preserve"> </w:t>
      </w:r>
      <w:r w:rsidR="00A264D8" w:rsidRPr="00EF4250">
        <w:rPr>
          <w:rFonts w:cs="Times New Roman"/>
          <w:szCs w:val="20"/>
        </w:rPr>
        <w:t xml:space="preserve">in </w:t>
      </w:r>
      <w:r w:rsidR="00A87FBF" w:rsidRPr="00626C29">
        <w:rPr>
          <w:b/>
          <w:szCs w:val="20"/>
        </w:rPr>
        <w:t>Supplement</w:t>
      </w:r>
      <w:r w:rsidR="00A87FBF">
        <w:rPr>
          <w:b/>
          <w:szCs w:val="20"/>
        </w:rPr>
        <w:t xml:space="preserve">s </w:t>
      </w:r>
      <w:r w:rsidR="00866C59" w:rsidRPr="00752172">
        <w:rPr>
          <w:rFonts w:cs="Times New Roman"/>
          <w:b/>
          <w:bCs/>
          <w:szCs w:val="20"/>
        </w:rPr>
        <w:t>S1</w:t>
      </w:r>
      <w:r w:rsidR="00866C59" w:rsidRPr="00EF4250">
        <w:rPr>
          <w:rFonts w:cs="Times New Roman"/>
          <w:b/>
          <w:bCs/>
          <w:szCs w:val="20"/>
        </w:rPr>
        <w:t>.4.1</w:t>
      </w:r>
      <w:r w:rsidR="00A87FBF">
        <w:rPr>
          <w:rFonts w:cs="Times New Roman"/>
          <w:b/>
          <w:bCs/>
          <w:szCs w:val="20"/>
        </w:rPr>
        <w:t xml:space="preserve"> </w:t>
      </w:r>
      <w:r w:rsidR="00A87FBF" w:rsidRPr="00A87FBF">
        <w:rPr>
          <w:rFonts w:cs="Times New Roman"/>
          <w:szCs w:val="20"/>
        </w:rPr>
        <w:t>and</w:t>
      </w:r>
      <w:r w:rsidR="00A87FBF">
        <w:rPr>
          <w:rFonts w:cs="Times New Roman"/>
          <w:b/>
          <w:bCs/>
          <w:szCs w:val="20"/>
        </w:rPr>
        <w:t xml:space="preserve"> S</w:t>
      </w:r>
      <w:r w:rsidR="00866C59" w:rsidRPr="00EF4250">
        <w:rPr>
          <w:rFonts w:cs="Times New Roman"/>
          <w:b/>
          <w:bCs/>
          <w:szCs w:val="20"/>
        </w:rPr>
        <w:t>1.4.2</w:t>
      </w:r>
      <w:r w:rsidR="00795969" w:rsidRPr="00EF4250">
        <w:rPr>
          <w:rFonts w:cs="Times New Roman"/>
          <w:szCs w:val="20"/>
        </w:rPr>
        <w:t xml:space="preserve">. </w:t>
      </w:r>
      <w:r w:rsidR="00FD1B26" w:rsidRPr="00EF4250">
        <w:rPr>
          <w:rFonts w:cs="Times New Roman"/>
          <w:szCs w:val="20"/>
        </w:rPr>
        <w:t xml:space="preserve">We </w:t>
      </w:r>
      <w:r w:rsidR="00D26704" w:rsidRPr="00EF4250">
        <w:rPr>
          <w:rFonts w:cs="Times New Roman"/>
          <w:szCs w:val="20"/>
        </w:rPr>
        <w:t xml:space="preserve">included </w:t>
      </w:r>
      <w:r w:rsidR="00FD1B26" w:rsidRPr="00EF4250">
        <w:rPr>
          <w:rFonts w:cs="Times New Roman"/>
          <w:szCs w:val="20"/>
        </w:rPr>
        <w:t xml:space="preserve">the other opioid-related non-overdose mortality </w:t>
      </w:r>
      <w:r w:rsidR="00863205" w:rsidRPr="00EF4250">
        <w:rPr>
          <w:rFonts w:cs="Times New Roman"/>
          <w:szCs w:val="20"/>
        </w:rPr>
        <w:t xml:space="preserve">(B) </w:t>
      </w:r>
      <w:r w:rsidR="00FD1B26" w:rsidRPr="00EF4250">
        <w:rPr>
          <w:rFonts w:cs="Times New Roman"/>
          <w:szCs w:val="20"/>
        </w:rPr>
        <w:t>a</w:t>
      </w:r>
      <w:r w:rsidR="00863205" w:rsidRPr="00EF4250">
        <w:rPr>
          <w:rFonts w:cs="Times New Roman"/>
          <w:szCs w:val="20"/>
        </w:rPr>
        <w:t xml:space="preserve">s prior </w:t>
      </w:r>
      <w:r w:rsidR="00FD1B26" w:rsidRPr="00EF4250">
        <w:rPr>
          <w:rFonts w:cs="Times New Roman"/>
          <w:szCs w:val="20"/>
        </w:rPr>
        <w:t xml:space="preserve">studies have shown </w:t>
      </w:r>
      <w:r w:rsidR="00863205" w:rsidRPr="00EF4250">
        <w:rPr>
          <w:rFonts w:cs="Times New Roman"/>
          <w:szCs w:val="20"/>
        </w:rPr>
        <w:t xml:space="preserve">that </w:t>
      </w:r>
      <w:r w:rsidR="00FD1B26" w:rsidRPr="00EF4250">
        <w:rPr>
          <w:rFonts w:cs="Times New Roman"/>
          <w:szCs w:val="20"/>
        </w:rPr>
        <w:t xml:space="preserve">the population with </w:t>
      </w:r>
      <w:proofErr w:type="spellStart"/>
      <w:r w:rsidR="00FD1B26" w:rsidRPr="00EF4250">
        <w:rPr>
          <w:rFonts w:cs="Times New Roman"/>
          <w:szCs w:val="20"/>
        </w:rPr>
        <w:t>extramedical</w:t>
      </w:r>
      <w:proofErr w:type="spellEnd"/>
      <w:r w:rsidR="00FD1B26" w:rsidRPr="00EF4250">
        <w:rPr>
          <w:rFonts w:cs="Times New Roman"/>
          <w:szCs w:val="20"/>
        </w:rPr>
        <w:t xml:space="preserve"> opioid use experience</w:t>
      </w:r>
      <w:r w:rsidR="00CB61D1" w:rsidRPr="00EF4250">
        <w:rPr>
          <w:rFonts w:cs="Times New Roman"/>
          <w:szCs w:val="20"/>
        </w:rPr>
        <w:t>s</w:t>
      </w:r>
      <w:r w:rsidR="00FD1B26" w:rsidRPr="00EF4250">
        <w:rPr>
          <w:rFonts w:cs="Times New Roman"/>
          <w:szCs w:val="20"/>
        </w:rPr>
        <w:t xml:space="preserve"> significant excess mortality, not only due to overdose deaths, but also other co-</w:t>
      </w:r>
      <w:r w:rsidR="00EC3631" w:rsidRPr="00EF4250">
        <w:rPr>
          <w:rFonts w:cs="Times New Roman"/>
          <w:szCs w:val="20"/>
        </w:rPr>
        <w:t>occurring</w:t>
      </w:r>
      <w:r w:rsidR="00FD1B26" w:rsidRPr="00EF4250">
        <w:rPr>
          <w:rFonts w:cs="Times New Roman"/>
          <w:szCs w:val="20"/>
        </w:rPr>
        <w:t xml:space="preserve"> medical issues such as injuries, infectious diseases (e.g., HIV, hepatitis C), and other non-communicable diseases</w:t>
      </w:r>
      <w:r w:rsidR="001E2923" w:rsidRPr="00EF4250">
        <w:rPr>
          <w:rFonts w:cs="Times New Roman"/>
          <w:szCs w:val="20"/>
        </w:rPr>
        <w:t>.</w:t>
      </w:r>
      <w:r w:rsidR="00D2313B" w:rsidRPr="00EF4250">
        <w:rPr>
          <w:rFonts w:cs="Times New Roman"/>
          <w:szCs w:val="20"/>
        </w:rPr>
        <w:fldChar w:fldCharType="begin"/>
      </w:r>
      <w:r w:rsidR="00200014" w:rsidRPr="00EF4250">
        <w:rPr>
          <w:rFonts w:cs="Times New Roman"/>
          <w:szCs w:val="20"/>
        </w:rPr>
        <w:instrText xml:space="preserve"> ADDIN EN.CITE &lt;EndNote&gt;&lt;Cite&gt;&lt;Author&gt;Larney&lt;/Author&gt;&lt;Year&gt;2020&lt;/Year&gt;&lt;RecNum&gt;20&lt;/RecNum&gt;&lt;DisplayText&gt;&lt;style face="superscript"&gt;32&lt;/style&gt;&lt;/DisplayText&gt;&lt;record&gt;&lt;rec-number&gt;20&lt;/rec-number&gt;&lt;foreign-keys&gt;&lt;key app="EN" db-id="xxft2ztdi9wf0qee0zovvtvrpefvetvvad02" timestamp="1691429504" guid="cc387aa5-9f2d-4c1a-9401-1af995357f1b"&gt;20&lt;/key&gt;&lt;/foreign-keys&gt;&lt;ref-type name="Journal Article"&gt;17&lt;/ref-type&gt;&lt;contributors&gt;&lt;authors&gt;&lt;author&gt;Larney, Sarah&lt;/author&gt;&lt;author&gt;Tran, Lucy Thi&lt;/author&gt;&lt;author&gt;Leung, Janni&lt;/author&gt;&lt;author&gt;Santo, Thomas&lt;/author&gt;&lt;author&gt;Santomauro, Damian&lt;/author&gt;&lt;author&gt;Hickman, Matt&lt;/author&gt;&lt;author&gt;Peacock, Amy&lt;/author&gt;&lt;author&gt;Stockings, Emily&lt;/author&gt;&lt;author&gt;Degenhardt, Louisa&lt;/author&gt;&lt;/authors&gt;&lt;/contributors&gt;&lt;titles&gt;&lt;title&gt;All-cause and cause-specific mortality among people using extramedical opioids: a systematic review and meta-analysis&lt;/title&gt;&lt;secondary-title&gt;JAMA psychiatry&lt;/secondary-title&gt;&lt;/titles&gt;&lt;periodical&gt;&lt;full-title&gt;JAMA psychiatry&lt;/full-title&gt;&lt;/periodical&gt;&lt;pages&gt;493-502&lt;/pages&gt;&lt;volume&gt;77&lt;/volume&gt;&lt;number&gt;5&lt;/number&gt;&lt;dates&gt;&lt;year&gt;2020&lt;/year&gt;&lt;/dates&gt;&lt;isbn&gt;2168-622X&lt;/isbn&gt;&lt;urls&gt;&lt;/urls&gt;&lt;/record&gt;&lt;/Cite&gt;&lt;/EndNote&gt;</w:instrText>
      </w:r>
      <w:r w:rsidR="00D2313B" w:rsidRPr="00EF4250">
        <w:rPr>
          <w:rFonts w:cs="Times New Roman"/>
          <w:szCs w:val="20"/>
        </w:rPr>
        <w:fldChar w:fldCharType="separate"/>
      </w:r>
      <w:r w:rsidR="00200014" w:rsidRPr="00EF4250">
        <w:rPr>
          <w:rFonts w:cs="Times New Roman"/>
          <w:noProof/>
          <w:szCs w:val="20"/>
          <w:vertAlign w:val="superscript"/>
        </w:rPr>
        <w:t>32</w:t>
      </w:r>
      <w:r w:rsidR="00D2313B" w:rsidRPr="00EF4250">
        <w:rPr>
          <w:rFonts w:cs="Times New Roman"/>
          <w:szCs w:val="20"/>
        </w:rPr>
        <w:fldChar w:fldCharType="end"/>
      </w:r>
      <w:r w:rsidR="00FD1B26" w:rsidRPr="00EF4250">
        <w:rPr>
          <w:rFonts w:cs="Times New Roman"/>
          <w:szCs w:val="20"/>
        </w:rPr>
        <w:t xml:space="preserve"> </w:t>
      </w:r>
      <w:r w:rsidR="006B5FFD" w:rsidRPr="00EF4250">
        <w:rPr>
          <w:rFonts w:cs="Times New Roman"/>
          <w:szCs w:val="20"/>
        </w:rPr>
        <w:t>In the following, w</w:t>
      </w:r>
      <w:r w:rsidR="00795969" w:rsidRPr="00EF4250">
        <w:rPr>
          <w:rFonts w:cs="Times New Roman"/>
          <w:szCs w:val="20"/>
        </w:rPr>
        <w:t>e</w:t>
      </w:r>
      <w:r w:rsidR="00BD7D71" w:rsidRPr="00EF4250">
        <w:rPr>
          <w:rFonts w:cs="Times New Roman"/>
          <w:szCs w:val="20"/>
        </w:rPr>
        <w:t xml:space="preserve"> first</w:t>
      </w:r>
      <w:r w:rsidR="00795969" w:rsidRPr="00EF4250">
        <w:rPr>
          <w:rFonts w:cs="Times New Roman"/>
          <w:szCs w:val="20"/>
        </w:rPr>
        <w:t xml:space="preserve"> introduce our approach for estimating the other two types of mortality (i.e., B and C) for the </w:t>
      </w:r>
      <w:r w:rsidR="00795969" w:rsidRPr="00EF4250">
        <w:rPr>
          <w:rFonts w:cs="Times New Roman"/>
          <w:i/>
          <w:iCs/>
          <w:szCs w:val="20"/>
        </w:rPr>
        <w:t>OUD</w:t>
      </w:r>
      <w:r w:rsidR="00795969" w:rsidRPr="00EF4250">
        <w:rPr>
          <w:rFonts w:cs="Times New Roman"/>
          <w:szCs w:val="20"/>
        </w:rPr>
        <w:t xml:space="preserve"> state, followed by a detailed working example for a 30-year-old male in the </w:t>
      </w:r>
      <w:r w:rsidR="00795969" w:rsidRPr="00EF4250">
        <w:rPr>
          <w:rFonts w:cs="Times New Roman"/>
          <w:i/>
          <w:iCs/>
          <w:szCs w:val="20"/>
        </w:rPr>
        <w:t>OUD</w:t>
      </w:r>
      <w:r w:rsidR="00795969" w:rsidRPr="00EF4250">
        <w:rPr>
          <w:rFonts w:cs="Times New Roman"/>
          <w:szCs w:val="20"/>
        </w:rPr>
        <w:t xml:space="preserve"> state</w:t>
      </w:r>
      <w:r w:rsidR="00327675">
        <w:rPr>
          <w:rFonts w:cs="Times New Roman"/>
          <w:szCs w:val="20"/>
        </w:rPr>
        <w:t xml:space="preserve"> (</w:t>
      </w:r>
      <w:r w:rsidR="00A87FBF" w:rsidRPr="00626C29">
        <w:rPr>
          <w:b/>
          <w:szCs w:val="20"/>
        </w:rPr>
        <w:t xml:space="preserve">Supplementary </w:t>
      </w:r>
      <w:r w:rsidR="00327675" w:rsidRPr="00EF4250">
        <w:rPr>
          <w:b/>
          <w:szCs w:val="20"/>
        </w:rPr>
        <w:t xml:space="preserve">Table </w:t>
      </w:r>
      <w:r w:rsidR="00327675">
        <w:rPr>
          <w:b/>
          <w:szCs w:val="20"/>
        </w:rPr>
        <w:t>13</w:t>
      </w:r>
      <w:r w:rsidR="00327675" w:rsidRPr="00327675">
        <w:rPr>
          <w:bCs/>
          <w:szCs w:val="20"/>
        </w:rPr>
        <w:t>)</w:t>
      </w:r>
      <w:r w:rsidR="00795969" w:rsidRPr="00EF4250">
        <w:rPr>
          <w:rFonts w:cs="Times New Roman"/>
          <w:szCs w:val="20"/>
        </w:rPr>
        <w:t xml:space="preserve">. We then describe our estimation </w:t>
      </w:r>
      <w:r w:rsidR="00D26704" w:rsidRPr="00EF4250">
        <w:rPr>
          <w:rFonts w:cs="Times New Roman"/>
          <w:szCs w:val="20"/>
        </w:rPr>
        <w:t xml:space="preserve">of non-overdose mortality risks </w:t>
      </w:r>
      <w:r w:rsidR="00795969" w:rsidRPr="00EF4250">
        <w:rPr>
          <w:rFonts w:cs="Times New Roman"/>
          <w:szCs w:val="20"/>
        </w:rPr>
        <w:t>for other health states (</w:t>
      </w:r>
      <w:r w:rsidR="00D26704" w:rsidRPr="00EF4250">
        <w:rPr>
          <w:rFonts w:cs="Times New Roman"/>
          <w:szCs w:val="20"/>
        </w:rPr>
        <w:t xml:space="preserve">i.e., the </w:t>
      </w:r>
      <w:r w:rsidR="00CB61D1" w:rsidRPr="00EF4250">
        <w:rPr>
          <w:rFonts w:cs="Times New Roman"/>
          <w:i/>
          <w:iCs/>
          <w:szCs w:val="20"/>
        </w:rPr>
        <w:t>P</w:t>
      </w:r>
      <w:r w:rsidR="00795969" w:rsidRPr="00EF4250">
        <w:rPr>
          <w:rFonts w:cs="Times New Roman"/>
          <w:i/>
          <w:iCs/>
          <w:szCs w:val="20"/>
        </w:rPr>
        <w:t xml:space="preserve">rescription </w:t>
      </w:r>
      <w:r w:rsidR="00CB61D1" w:rsidRPr="00EF4250">
        <w:rPr>
          <w:rFonts w:cs="Times New Roman"/>
          <w:i/>
          <w:iCs/>
          <w:szCs w:val="20"/>
        </w:rPr>
        <w:t>O</w:t>
      </w:r>
      <w:r w:rsidR="00795969" w:rsidRPr="00EF4250">
        <w:rPr>
          <w:rFonts w:cs="Times New Roman"/>
          <w:i/>
          <w:iCs/>
          <w:szCs w:val="20"/>
        </w:rPr>
        <w:t xml:space="preserve">pioid </w:t>
      </w:r>
      <w:r w:rsidR="00CB61D1" w:rsidRPr="00EF4250">
        <w:rPr>
          <w:rFonts w:cs="Times New Roman"/>
          <w:i/>
          <w:iCs/>
          <w:szCs w:val="20"/>
        </w:rPr>
        <w:t>M</w:t>
      </w:r>
      <w:r w:rsidR="00795969" w:rsidRPr="00EF4250">
        <w:rPr>
          <w:rFonts w:cs="Times New Roman"/>
          <w:i/>
          <w:iCs/>
          <w:szCs w:val="20"/>
        </w:rPr>
        <w:t>isuse</w:t>
      </w:r>
      <w:r w:rsidR="00795969" w:rsidRPr="00EF4250">
        <w:rPr>
          <w:rFonts w:cs="Times New Roman"/>
          <w:szCs w:val="20"/>
        </w:rPr>
        <w:t xml:space="preserve">, </w:t>
      </w:r>
      <w:r w:rsidR="00795969" w:rsidRPr="00EF4250">
        <w:rPr>
          <w:rFonts w:cs="Times New Roman"/>
          <w:i/>
          <w:iCs/>
          <w:szCs w:val="20"/>
        </w:rPr>
        <w:t>illicit opioid use</w:t>
      </w:r>
      <w:r w:rsidR="00795969" w:rsidRPr="00EF4250">
        <w:rPr>
          <w:rFonts w:cs="Times New Roman"/>
          <w:szCs w:val="20"/>
        </w:rPr>
        <w:t xml:space="preserve">, and </w:t>
      </w:r>
      <w:r w:rsidR="00795969" w:rsidRPr="00EF4250">
        <w:rPr>
          <w:rFonts w:cs="Times New Roman"/>
          <w:i/>
          <w:iCs/>
          <w:szCs w:val="20"/>
        </w:rPr>
        <w:t>MOUD</w:t>
      </w:r>
      <w:r w:rsidR="00795969" w:rsidRPr="00EF4250">
        <w:rPr>
          <w:rFonts w:cs="Times New Roman"/>
          <w:szCs w:val="20"/>
        </w:rPr>
        <w:t xml:space="preserve"> states). </w:t>
      </w:r>
    </w:p>
    <w:p w14:paraId="08C8D080" w14:textId="77777777" w:rsidR="006B5FFD" w:rsidRPr="00EF4250" w:rsidRDefault="006B5FFD" w:rsidP="00754108">
      <w:pPr>
        <w:spacing w:after="0" w:line="276" w:lineRule="auto"/>
        <w:rPr>
          <w:rFonts w:cs="Times New Roman"/>
          <w:szCs w:val="20"/>
        </w:rPr>
      </w:pPr>
    </w:p>
    <w:p w14:paraId="7F676EE3" w14:textId="479C8B99" w:rsidR="00E42C6C" w:rsidRPr="00EF4250" w:rsidRDefault="009E6BEE" w:rsidP="00754108">
      <w:pPr>
        <w:spacing w:after="0" w:line="276" w:lineRule="auto"/>
        <w:rPr>
          <w:rFonts w:cs="Times New Roman"/>
          <w:szCs w:val="20"/>
        </w:rPr>
      </w:pPr>
      <w:r w:rsidRPr="00EF4250">
        <w:rPr>
          <w:rFonts w:cs="Times New Roman"/>
          <w:szCs w:val="20"/>
          <w:u w:val="single"/>
        </w:rPr>
        <w:t>Notations</w:t>
      </w:r>
      <w:r w:rsidRPr="00EF4250">
        <w:rPr>
          <w:rFonts w:cs="Times New Roman"/>
          <w:szCs w:val="20"/>
        </w:rPr>
        <w:t xml:space="preserve">: </w:t>
      </w:r>
      <w:r w:rsidR="006B5FFD" w:rsidRPr="00EF4250">
        <w:rPr>
          <w:rFonts w:cs="Times New Roman"/>
          <w:szCs w:val="20"/>
        </w:rPr>
        <w:t>W</w:t>
      </w:r>
      <w:r w:rsidR="005A03C4" w:rsidRPr="00EF4250">
        <w:rPr>
          <w:rFonts w:cs="Times New Roman"/>
          <w:szCs w:val="20"/>
        </w:rPr>
        <w:t xml:space="preserve">e denote </w:t>
      </w:r>
      <m:oMath>
        <m:r>
          <w:rPr>
            <w:rFonts w:ascii="Cambria Math" w:hAnsi="Cambria Math" w:cs="Times New Roman"/>
            <w:szCs w:val="20"/>
          </w:rPr>
          <m:t>G</m:t>
        </m:r>
      </m:oMath>
      <w:r w:rsidR="005A03C4" w:rsidRPr="00EF4250">
        <w:rPr>
          <w:rFonts w:cs="Times New Roman"/>
          <w:szCs w:val="20"/>
        </w:rPr>
        <w:t xml:space="preserve"> for the general population, </w:t>
      </w:r>
      <m:oMath>
        <m:r>
          <w:rPr>
            <w:rFonts w:ascii="Cambria Math" w:hAnsi="Cambria Math" w:cs="Times New Roman"/>
            <w:szCs w:val="20"/>
          </w:rPr>
          <m:t>O</m:t>
        </m:r>
      </m:oMath>
      <w:r w:rsidR="005A03C4" w:rsidRPr="00EF4250">
        <w:rPr>
          <w:rFonts w:cs="Times New Roman"/>
          <w:szCs w:val="20"/>
        </w:rPr>
        <w:t xml:space="preserve"> for the opioid use population, </w:t>
      </w:r>
      <w:r w:rsidR="00727989" w:rsidRPr="00EF4250">
        <w:rPr>
          <w:rFonts w:cs="Times New Roman"/>
          <w:szCs w:val="20"/>
        </w:rPr>
        <w:t>and</w:t>
      </w:r>
      <w:r w:rsidR="005A03C4" w:rsidRPr="00EF4250">
        <w:rPr>
          <w:rFonts w:cs="Times New Roman"/>
          <w:szCs w:val="20"/>
        </w:rPr>
        <w:t xml:space="preserve"> </w:t>
      </w:r>
      <m:oMath>
        <m:r>
          <w:rPr>
            <w:rFonts w:ascii="Cambria Math" w:hAnsi="Cambria Math" w:cs="Times New Roman"/>
            <w:szCs w:val="20"/>
          </w:rPr>
          <m:t>G\O</m:t>
        </m:r>
      </m:oMath>
      <w:r w:rsidR="005A03C4" w:rsidRPr="00EF4250">
        <w:rPr>
          <w:rFonts w:cs="Times New Roman"/>
          <w:szCs w:val="20"/>
        </w:rPr>
        <w:t xml:space="preserve"> for the non-opioid use population</w:t>
      </w:r>
      <w:r w:rsidR="00E42C6C" w:rsidRPr="00EF4250">
        <w:rPr>
          <w:rFonts w:cs="Times New Roman"/>
          <w:szCs w:val="20"/>
        </w:rPr>
        <w:t xml:space="preserve">. With the notation of </w:t>
      </w:r>
      <m:oMath>
        <m:r>
          <w:rPr>
            <w:rFonts w:ascii="Cambria Math" w:hAnsi="Cambria Math" w:cs="Times New Roman"/>
            <w:szCs w:val="20"/>
          </w:rPr>
          <m:t xml:space="preserve">A, B, </m:t>
        </m:r>
      </m:oMath>
      <w:r w:rsidR="00E42C6C" w:rsidRPr="00EF4250">
        <w:rPr>
          <w:rFonts w:cs="Times New Roman"/>
          <w:szCs w:val="20"/>
        </w:rPr>
        <w:t xml:space="preserve">and </w:t>
      </w:r>
      <m:oMath>
        <m:r>
          <w:rPr>
            <w:rFonts w:ascii="Cambria Math" w:hAnsi="Cambria Math" w:cs="Times New Roman"/>
            <w:szCs w:val="20"/>
          </w:rPr>
          <m:t>C</m:t>
        </m:r>
      </m:oMath>
      <w:r w:rsidR="00E42C6C" w:rsidRPr="00EF4250">
        <w:rPr>
          <w:rFonts w:cs="Times New Roman"/>
          <w:szCs w:val="20"/>
        </w:rPr>
        <w:t xml:space="preserve"> representing each type of mortality, we use </w:t>
      </w:r>
      <m:oMath>
        <m:r>
          <w:rPr>
            <w:rFonts w:ascii="Cambria Math" w:hAnsi="Cambria Math" w:cs="Times New Roman"/>
            <w:szCs w:val="20"/>
          </w:rPr>
          <m:t>ABC</m:t>
        </m:r>
      </m:oMath>
      <w:r w:rsidR="00E42C6C" w:rsidRPr="00EF4250">
        <w:rPr>
          <w:rFonts w:cs="Times New Roman"/>
          <w:szCs w:val="20"/>
        </w:rPr>
        <w:t xml:space="preserve"> to </w:t>
      </w:r>
      <w:r w:rsidR="002F05BC" w:rsidRPr="00EF4250">
        <w:rPr>
          <w:rFonts w:cs="Times New Roman"/>
          <w:szCs w:val="20"/>
        </w:rPr>
        <w:t>denote</w:t>
      </w:r>
      <w:r w:rsidR="00E42C6C" w:rsidRPr="00EF4250">
        <w:rPr>
          <w:rFonts w:cs="Times New Roman"/>
          <w:szCs w:val="20"/>
        </w:rPr>
        <w:t xml:space="preserve"> all-cause mortality. </w:t>
      </w:r>
    </w:p>
    <w:p w14:paraId="67D02333" w14:textId="77777777" w:rsidR="00BD7D71" w:rsidRPr="00EF4250" w:rsidRDefault="00BD7D71" w:rsidP="00754108">
      <w:pPr>
        <w:spacing w:after="0" w:line="276" w:lineRule="auto"/>
        <w:rPr>
          <w:rFonts w:cs="Times New Roman"/>
          <w:szCs w:val="20"/>
        </w:rPr>
      </w:pPr>
    </w:p>
    <w:p w14:paraId="3FDAD78B" w14:textId="2D52DC05" w:rsidR="009E6BEE" w:rsidRPr="00EF4250" w:rsidRDefault="00C826A8" w:rsidP="00754108">
      <w:pPr>
        <w:spacing w:after="0" w:line="276" w:lineRule="auto"/>
        <w:rPr>
          <w:rFonts w:cs="Times New Roman"/>
          <w:szCs w:val="20"/>
          <w:u w:val="single"/>
        </w:rPr>
      </w:pPr>
      <w:r w:rsidRPr="00EF4250">
        <w:rPr>
          <w:rFonts w:cs="Times New Roman"/>
          <w:i/>
          <w:iCs/>
          <w:szCs w:val="20"/>
          <w:u w:val="single"/>
        </w:rPr>
        <w:t>OUD</w:t>
      </w:r>
      <w:r w:rsidRPr="00EF4250">
        <w:rPr>
          <w:rFonts w:cs="Times New Roman"/>
          <w:szCs w:val="20"/>
          <w:u w:val="single"/>
        </w:rPr>
        <w:t xml:space="preserve"> state:</w:t>
      </w:r>
    </w:p>
    <w:p w14:paraId="0B212B6D" w14:textId="16CA2B89" w:rsidR="00575F97" w:rsidRPr="00EF4250" w:rsidRDefault="00575F97" w:rsidP="00754108">
      <w:pPr>
        <w:pStyle w:val="ListParagraph"/>
        <w:numPr>
          <w:ilvl w:val="0"/>
          <w:numId w:val="19"/>
        </w:numPr>
        <w:spacing w:after="0" w:line="276" w:lineRule="auto"/>
        <w:rPr>
          <w:rFonts w:cs="Times New Roman"/>
          <w:szCs w:val="20"/>
        </w:rPr>
      </w:pPr>
      <w:r w:rsidRPr="00EF4250">
        <w:rPr>
          <w:rFonts w:cs="Times New Roman"/>
          <w:szCs w:val="20"/>
        </w:rPr>
        <w:t>We started with the age</w:t>
      </w:r>
      <w:r w:rsidR="00D26704" w:rsidRPr="00EF4250">
        <w:rPr>
          <w:rFonts w:cs="Times New Roman"/>
          <w:szCs w:val="20"/>
        </w:rPr>
        <w:t>-</w:t>
      </w:r>
      <w:r w:rsidRPr="00EF4250">
        <w:rPr>
          <w:rFonts w:cs="Times New Roman"/>
          <w:szCs w:val="20"/>
        </w:rPr>
        <w:t xml:space="preserve"> and sex-specific all-cause mortality for the general US population from the US </w:t>
      </w:r>
      <w:r w:rsidR="00D26704" w:rsidRPr="00EF4250">
        <w:rPr>
          <w:rFonts w:cs="Times New Roman"/>
          <w:szCs w:val="20"/>
        </w:rPr>
        <w:t>l</w:t>
      </w:r>
      <w:r w:rsidRPr="00EF4250">
        <w:rPr>
          <w:rFonts w:cs="Times New Roman"/>
          <w:szCs w:val="20"/>
        </w:rPr>
        <w:t xml:space="preserve">ife </w:t>
      </w:r>
      <w:r w:rsidR="00D26704" w:rsidRPr="00EF4250">
        <w:rPr>
          <w:rFonts w:cs="Times New Roman"/>
          <w:szCs w:val="20"/>
        </w:rPr>
        <w:t>t</w:t>
      </w:r>
      <w:r w:rsidRPr="00EF4250">
        <w:rPr>
          <w:rFonts w:cs="Times New Roman"/>
          <w:szCs w:val="20"/>
        </w:rPr>
        <w:t>able.</w:t>
      </w:r>
      <w:r w:rsidR="00661D37" w:rsidRPr="00EF4250">
        <w:rPr>
          <w:rFonts w:cs="Times New Roman"/>
          <w:szCs w:val="20"/>
        </w:rPr>
        <w:fldChar w:fldCharType="begin"/>
      </w:r>
      <w:r w:rsidR="0037266D">
        <w:rPr>
          <w:rFonts w:cs="Times New Roman"/>
          <w:szCs w:val="20"/>
        </w:rPr>
        <w:instrText xml:space="preserve"> ADDIN EN.CITE &lt;EndNote&gt;&lt;Cite&gt;&lt;Author&gt;Arias&lt;/Author&gt;&lt;Year&gt;2022&lt;/Year&gt;&lt;RecNum&gt;23&lt;/RecNum&gt;&lt;DisplayText&gt;&lt;style face="superscript"&gt;33&lt;/style&gt;&lt;/DisplayText&gt;&lt;record&gt;&lt;rec-number&gt;23&lt;/rec-number&gt;&lt;foreign-keys&gt;&lt;key app="EN" db-id="pwwedrtwnpw20vervr1p9p2y9exw2awedx5t" timestamp="1774561197"&gt;23&lt;/key&gt;&lt;/foreign-keys&gt;&lt;ref-type name="Journal Article"&gt;17&lt;/ref-type&gt;&lt;contributors&gt;&lt;authors&gt;&lt;author&gt;Arias, E.&lt;/author&gt;&lt;author&gt;Xu, J.&lt;/author&gt;&lt;/authors&gt;&lt;/contributors&gt;&lt;titles&gt;&lt;title&gt;United States Life Tables, 2019&lt;/title&gt;&lt;secondary-title&gt;Natl Vital Stat Rep&lt;/secondary-title&gt;&lt;/titles&gt;&lt;periodical&gt;&lt;full-title&gt;Natl Vital Stat Rep&lt;/full-title&gt;&lt;/periodical&gt;&lt;pages&gt;1-59&lt;/pages&gt;&lt;volume&gt;70&lt;/volume&gt;&lt;number&gt;19&lt;/number&gt;&lt;edition&gt;2022/03/24&lt;/edition&gt;&lt;keywords&gt;&lt;keyword&gt;*Alaska Natives&lt;/keyword&gt;&lt;keyword&gt;Ethnicity&lt;/keyword&gt;&lt;keyword&gt;Hispanic or Latino&lt;/keyword&gt;&lt;keyword&gt;Humans&lt;/keyword&gt;&lt;keyword&gt;*Life Expectancy&lt;/keyword&gt;&lt;keyword&gt;Life Tables&lt;/keyword&gt;&lt;keyword&gt;United States/epidemiology&lt;/keyword&gt;&lt;/keywords&gt;&lt;dates&gt;&lt;year&gt;2022&lt;/year&gt;&lt;pub-dates&gt;&lt;date&gt;Mar&lt;/date&gt;&lt;/pub-dates&gt;&lt;/dates&gt;&lt;isbn&gt;1551-8930 (Electronic)&amp;#xD;1551-8922 (Linking)&lt;/isbn&gt;&lt;accession-num&gt;35319436&lt;/accession-num&gt;&lt;urls&gt;&lt;related-urls&gt;&lt;url&gt;https://www.ncbi.nlm.nih.gov/pubmed/35319436&lt;/url&gt;&lt;/related-urls&gt;&lt;/urls&gt;&lt;/record&gt;&lt;/Cite&gt;&lt;/EndNote&gt;</w:instrText>
      </w:r>
      <w:r w:rsidR="00661D37" w:rsidRPr="00EF4250">
        <w:rPr>
          <w:rFonts w:cs="Times New Roman"/>
          <w:szCs w:val="20"/>
        </w:rPr>
        <w:fldChar w:fldCharType="separate"/>
      </w:r>
      <w:r w:rsidR="00200014" w:rsidRPr="00EF4250">
        <w:rPr>
          <w:rFonts w:cs="Times New Roman"/>
          <w:noProof/>
          <w:szCs w:val="20"/>
          <w:vertAlign w:val="superscript"/>
        </w:rPr>
        <w:t>33</w:t>
      </w:r>
      <w:r w:rsidR="00661D37" w:rsidRPr="00EF4250">
        <w:rPr>
          <w:rFonts w:cs="Times New Roman"/>
          <w:szCs w:val="20"/>
        </w:rPr>
        <w:fldChar w:fldCharType="end"/>
      </w:r>
      <w:r w:rsidRPr="00EF4250">
        <w:rPr>
          <w:rFonts w:cs="Times New Roman"/>
          <w:szCs w:val="20"/>
        </w:rPr>
        <w:t xml:space="preserve"> </w:t>
      </w:r>
      <w:r w:rsidR="00D26704" w:rsidRPr="00EF4250">
        <w:rPr>
          <w:rFonts w:cs="Times New Roman"/>
          <w:szCs w:val="20"/>
        </w:rPr>
        <w:t>For each sex, we converted t</w:t>
      </w:r>
      <w:r w:rsidRPr="00EF4250">
        <w:rPr>
          <w:rFonts w:cs="Times New Roman"/>
          <w:szCs w:val="20"/>
        </w:rPr>
        <w:t xml:space="preserve">he probability </w:t>
      </w:r>
      <w:r w:rsidR="00D26704" w:rsidRPr="00EF4250">
        <w:rPr>
          <w:rFonts w:cs="Times New Roman"/>
          <w:szCs w:val="20"/>
        </w:rPr>
        <w:t xml:space="preserve">of death at a given age </w:t>
      </w:r>
      <w:r w:rsidRPr="00EF4250">
        <w:rPr>
          <w:rFonts w:cs="Times New Roman"/>
          <w:szCs w:val="20"/>
        </w:rPr>
        <w:t xml:space="preserve">to </w:t>
      </w:r>
      <w:r w:rsidR="00D26704" w:rsidRPr="00EF4250">
        <w:rPr>
          <w:rFonts w:cs="Times New Roman"/>
          <w:szCs w:val="20"/>
        </w:rPr>
        <w:t xml:space="preserve">a </w:t>
      </w:r>
      <w:r w:rsidRPr="00EF4250">
        <w:rPr>
          <w:rFonts w:cs="Times New Roman"/>
          <w:szCs w:val="20"/>
        </w:rPr>
        <w:t>monthly mortality rate for the general population</w:t>
      </w:r>
      <w:r w:rsidR="00D26704" w:rsidRPr="00EF4250">
        <w:rPr>
          <w:rFonts w:cs="Times New Roman"/>
          <w:szCs w:val="20"/>
        </w:rPr>
        <w:t xml:space="preserve"> at that sex and age</w:t>
      </w:r>
      <w:r w:rsidRPr="00EF4250">
        <w:rPr>
          <w:rFonts w:cs="Times New Roman"/>
          <w:szCs w:val="20"/>
        </w:rPr>
        <w:t xml:space="preserve">, </w:t>
      </w:r>
      <m:oMath>
        <m:sSub>
          <m:sSubPr>
            <m:ctrlPr>
              <w:rPr>
                <w:rFonts w:ascii="Cambria Math" w:hAnsi="Cambria Math" w:cs="Times New Roman"/>
                <w:i/>
                <w:szCs w:val="20"/>
              </w:rPr>
            </m:ctrlPr>
          </m:sSubPr>
          <m:e>
            <m:r>
              <w:rPr>
                <w:rFonts w:ascii="Cambria Math" w:hAnsi="Cambria Math" w:cs="Times New Roman"/>
                <w:szCs w:val="20"/>
              </w:rPr>
              <m:t>r</m:t>
            </m:r>
          </m:e>
          <m:sub>
            <m:r>
              <w:rPr>
                <w:rFonts w:ascii="Cambria Math" w:hAnsi="Cambria Math" w:cs="Times New Roman"/>
                <w:szCs w:val="20"/>
              </w:rPr>
              <m:t>G</m:t>
            </m:r>
          </m:sub>
        </m:sSub>
        <m:r>
          <w:rPr>
            <w:rFonts w:ascii="Cambria Math" w:hAnsi="Cambria Math" w:cs="Times New Roman"/>
            <w:szCs w:val="20"/>
          </w:rPr>
          <m:t>(ABC)</m:t>
        </m:r>
      </m:oMath>
      <w:r w:rsidRPr="00EF4250">
        <w:rPr>
          <w:rFonts w:cs="Times New Roman"/>
          <w:szCs w:val="20"/>
        </w:rPr>
        <w:t xml:space="preserve">. </w:t>
      </w:r>
    </w:p>
    <w:p w14:paraId="024DFA7C" w14:textId="2A2BE41A" w:rsidR="00575F97" w:rsidRPr="00EF4250" w:rsidRDefault="00D105DE" w:rsidP="00754108">
      <w:pPr>
        <w:pStyle w:val="ListParagraph"/>
        <w:numPr>
          <w:ilvl w:val="0"/>
          <w:numId w:val="19"/>
        </w:numPr>
        <w:spacing w:after="0" w:line="276" w:lineRule="auto"/>
        <w:rPr>
          <w:rFonts w:cs="Times New Roman"/>
          <w:szCs w:val="20"/>
        </w:rPr>
      </w:pPr>
      <w:r w:rsidRPr="00EF4250">
        <w:rPr>
          <w:rFonts w:cs="Times New Roman"/>
          <w:szCs w:val="20"/>
        </w:rPr>
        <w:t>We c</w:t>
      </w:r>
      <w:r w:rsidR="00575F97" w:rsidRPr="00EF4250">
        <w:rPr>
          <w:rFonts w:cs="Times New Roman"/>
          <w:szCs w:val="20"/>
        </w:rPr>
        <w:t>ompute</w:t>
      </w:r>
      <w:r w:rsidR="007C2CF0" w:rsidRPr="00EF4250">
        <w:rPr>
          <w:rFonts w:cs="Times New Roman"/>
          <w:szCs w:val="20"/>
        </w:rPr>
        <w:t>d</w:t>
      </w:r>
      <w:r w:rsidR="00575F97" w:rsidRPr="00EF4250">
        <w:rPr>
          <w:rFonts w:cs="Times New Roman"/>
          <w:szCs w:val="20"/>
        </w:rPr>
        <w:t xml:space="preserve"> the all-cause mortality rate for the opioid use population, </w:t>
      </w:r>
      <m:oMath>
        <m:sSub>
          <m:sSubPr>
            <m:ctrlPr>
              <w:rPr>
                <w:rFonts w:ascii="Cambria Math" w:hAnsi="Cambria Math" w:cs="Times New Roman"/>
                <w:i/>
                <w:szCs w:val="20"/>
              </w:rPr>
            </m:ctrlPr>
          </m:sSubPr>
          <m:e>
            <m:r>
              <w:rPr>
                <w:rFonts w:ascii="Cambria Math" w:hAnsi="Cambria Math" w:cs="Times New Roman"/>
                <w:szCs w:val="20"/>
              </w:rPr>
              <m:t>r</m:t>
            </m:r>
          </m:e>
          <m:sub>
            <m:r>
              <w:rPr>
                <w:rFonts w:ascii="Cambria Math" w:hAnsi="Cambria Math" w:cs="Times New Roman"/>
                <w:szCs w:val="20"/>
              </w:rPr>
              <m:t>O</m:t>
            </m:r>
          </m:sub>
        </m:sSub>
        <m:r>
          <w:rPr>
            <w:rFonts w:ascii="Cambria Math" w:hAnsi="Cambria Math" w:cs="Times New Roman"/>
            <w:szCs w:val="20"/>
          </w:rPr>
          <m:t>(ABC)</m:t>
        </m:r>
      </m:oMath>
      <w:r w:rsidR="00575F97" w:rsidRPr="00EF4250">
        <w:rPr>
          <w:rFonts w:cs="Times New Roman"/>
          <w:szCs w:val="20"/>
        </w:rPr>
        <w:t>, by multiplying the monthly all-cause mortality rate for the general population with the standard</w:t>
      </w:r>
      <w:proofErr w:type="spellStart"/>
      <w:r w:rsidR="008A321C" w:rsidRPr="00EF4250">
        <w:rPr>
          <w:rFonts w:cs="Times New Roman"/>
          <w:szCs w:val="20"/>
        </w:rPr>
        <w:t>ized</w:t>
      </w:r>
      <w:proofErr w:type="spellEnd"/>
      <w:r w:rsidR="00575F97" w:rsidRPr="00EF4250">
        <w:rPr>
          <w:rFonts w:cs="Times New Roman"/>
          <w:szCs w:val="20"/>
        </w:rPr>
        <w:t xml:space="preserve"> mortality ratio (SMR) for the opioid population. The SMR represents the relative mortality rate between </w:t>
      </w:r>
      <w:r w:rsidR="00D26704" w:rsidRPr="00EF4250">
        <w:rPr>
          <w:rFonts w:cs="Times New Roman"/>
          <w:szCs w:val="20"/>
        </w:rPr>
        <w:t xml:space="preserve">the </w:t>
      </w:r>
      <w:r w:rsidR="00575F97" w:rsidRPr="00EF4250">
        <w:rPr>
          <w:rFonts w:cs="Times New Roman"/>
          <w:szCs w:val="20"/>
        </w:rPr>
        <w:t xml:space="preserve">opioid use population and the general population. </w:t>
      </w:r>
    </w:p>
    <w:p w14:paraId="0BB82E51" w14:textId="337C8AFC" w:rsidR="0071568F" w:rsidRPr="00EF4250" w:rsidRDefault="00D105DE" w:rsidP="00754108">
      <w:pPr>
        <w:pStyle w:val="ListParagraph"/>
        <w:numPr>
          <w:ilvl w:val="0"/>
          <w:numId w:val="19"/>
        </w:numPr>
        <w:spacing w:after="0" w:line="276" w:lineRule="auto"/>
        <w:rPr>
          <w:rFonts w:cs="Times New Roman"/>
          <w:szCs w:val="20"/>
        </w:rPr>
      </w:pPr>
      <w:r w:rsidRPr="00EF4250">
        <w:rPr>
          <w:rFonts w:cs="Times New Roman"/>
          <w:szCs w:val="20"/>
        </w:rPr>
        <w:lastRenderedPageBreak/>
        <w:t>We c</w:t>
      </w:r>
      <w:r w:rsidR="00575F97" w:rsidRPr="00EF4250">
        <w:rPr>
          <w:rFonts w:cs="Times New Roman"/>
          <w:szCs w:val="20"/>
        </w:rPr>
        <w:t>ompute</w:t>
      </w:r>
      <w:r w:rsidR="00365A6F" w:rsidRPr="00EF4250">
        <w:rPr>
          <w:rFonts w:cs="Times New Roman"/>
          <w:szCs w:val="20"/>
        </w:rPr>
        <w:t>d</w:t>
      </w:r>
      <w:r w:rsidR="00D26704" w:rsidRPr="00EF4250">
        <w:rPr>
          <w:rFonts w:cs="Times New Roman"/>
          <w:szCs w:val="20"/>
        </w:rPr>
        <w:t xml:space="preserve"> the</w:t>
      </w:r>
      <w:r w:rsidR="00575F97" w:rsidRPr="00EF4250">
        <w:rPr>
          <w:rFonts w:cs="Times New Roman"/>
          <w:szCs w:val="20"/>
        </w:rPr>
        <w:t xml:space="preserve"> all-cause mortality rate for </w:t>
      </w:r>
      <w:r w:rsidR="00D26704" w:rsidRPr="00EF4250">
        <w:rPr>
          <w:rFonts w:cs="Times New Roman"/>
          <w:szCs w:val="20"/>
        </w:rPr>
        <w:t xml:space="preserve">the </w:t>
      </w:r>
      <w:r w:rsidR="00575F97" w:rsidRPr="00EF4250">
        <w:rPr>
          <w:rFonts w:cs="Times New Roman"/>
          <w:szCs w:val="20"/>
        </w:rPr>
        <w:t>non-opioid use population</w:t>
      </w:r>
      <w:r w:rsidR="005A03C4" w:rsidRPr="00EF4250">
        <w:rPr>
          <w:rFonts w:cs="Times New Roman"/>
          <w:szCs w:val="20"/>
        </w:rPr>
        <w:t xml:space="preserve">, </w:t>
      </w:r>
      <m:oMath>
        <m:sSub>
          <m:sSubPr>
            <m:ctrlPr>
              <w:rPr>
                <w:rFonts w:ascii="Cambria Math" w:hAnsi="Cambria Math" w:cs="Times New Roman"/>
                <w:i/>
                <w:szCs w:val="20"/>
              </w:rPr>
            </m:ctrlPr>
          </m:sSubPr>
          <m:e>
            <m:r>
              <w:rPr>
                <w:rFonts w:ascii="Cambria Math" w:hAnsi="Cambria Math" w:cs="Times New Roman"/>
                <w:szCs w:val="20"/>
              </w:rPr>
              <m:t>r</m:t>
            </m:r>
          </m:e>
          <m:sub>
            <m:r>
              <w:rPr>
                <w:rFonts w:ascii="Cambria Math" w:hAnsi="Cambria Math" w:cs="Times New Roman"/>
                <w:szCs w:val="20"/>
              </w:rPr>
              <m:t>G\O</m:t>
            </m:r>
          </m:sub>
        </m:sSub>
        <m:r>
          <w:rPr>
            <w:rFonts w:ascii="Cambria Math" w:hAnsi="Cambria Math" w:cs="Times New Roman"/>
            <w:szCs w:val="20"/>
          </w:rPr>
          <m:t>(ABC)</m:t>
        </m:r>
      </m:oMath>
      <w:r w:rsidR="005A03C4" w:rsidRPr="00EF4250">
        <w:rPr>
          <w:rFonts w:cs="Times New Roman"/>
          <w:szCs w:val="20"/>
        </w:rPr>
        <w:t>, by dividing the mortality rate for opioid use population</w:t>
      </w:r>
      <w:r w:rsidR="00D26704" w:rsidRPr="00EF4250">
        <w:rPr>
          <w:rFonts w:cs="Times New Roman"/>
          <w:szCs w:val="20"/>
        </w:rPr>
        <w:t>,</w:t>
      </w:r>
      <w:r w:rsidR="005A03C4" w:rsidRPr="00EF4250">
        <w:rPr>
          <w:rFonts w:cs="Times New Roman"/>
          <w:szCs w:val="20"/>
        </w:rPr>
        <w:t xml:space="preserve"> </w:t>
      </w:r>
      <m:oMath>
        <m:sSub>
          <m:sSubPr>
            <m:ctrlPr>
              <w:rPr>
                <w:rFonts w:ascii="Cambria Math" w:hAnsi="Cambria Math" w:cs="Times New Roman"/>
                <w:i/>
                <w:szCs w:val="20"/>
              </w:rPr>
            </m:ctrlPr>
          </m:sSubPr>
          <m:e>
            <m:r>
              <w:rPr>
                <w:rFonts w:ascii="Cambria Math" w:hAnsi="Cambria Math" w:cs="Times New Roman"/>
                <w:szCs w:val="20"/>
              </w:rPr>
              <m:t>r</m:t>
            </m:r>
          </m:e>
          <m:sub>
            <m:r>
              <w:rPr>
                <w:rFonts w:ascii="Cambria Math" w:hAnsi="Cambria Math" w:cs="Times New Roman"/>
                <w:szCs w:val="20"/>
              </w:rPr>
              <m:t>O</m:t>
            </m:r>
          </m:sub>
        </m:sSub>
        <m:r>
          <w:rPr>
            <w:rFonts w:ascii="Cambria Math" w:hAnsi="Cambria Math" w:cs="Times New Roman"/>
            <w:szCs w:val="20"/>
          </w:rPr>
          <m:t>(ABC)</m:t>
        </m:r>
      </m:oMath>
      <w:r w:rsidR="00D26704" w:rsidRPr="00EF4250">
        <w:rPr>
          <w:rFonts w:cs="Times New Roman"/>
          <w:szCs w:val="20"/>
        </w:rPr>
        <w:t>,</w:t>
      </w:r>
      <w:r w:rsidR="005A03C4" w:rsidRPr="00EF4250">
        <w:rPr>
          <w:rFonts w:cs="Times New Roman"/>
          <w:szCs w:val="20"/>
        </w:rPr>
        <w:t xml:space="preserve"> with the relative risk between the population</w:t>
      </w:r>
      <w:r w:rsidR="00D26704" w:rsidRPr="00EF4250">
        <w:rPr>
          <w:rFonts w:cs="Times New Roman"/>
          <w:szCs w:val="20"/>
        </w:rPr>
        <w:t>s</w:t>
      </w:r>
      <w:r w:rsidR="005A03C4" w:rsidRPr="00EF4250">
        <w:rPr>
          <w:rFonts w:cs="Times New Roman"/>
          <w:szCs w:val="20"/>
        </w:rPr>
        <w:t xml:space="preserve"> with and without opioid use. </w:t>
      </w:r>
    </w:p>
    <w:p w14:paraId="6E0A9855" w14:textId="454BD2BD" w:rsidR="00E42C6C" w:rsidRPr="00EF4250" w:rsidRDefault="005A03C4" w:rsidP="00754108">
      <w:pPr>
        <w:pStyle w:val="ListParagraph"/>
        <w:numPr>
          <w:ilvl w:val="0"/>
          <w:numId w:val="19"/>
        </w:numPr>
        <w:spacing w:after="0" w:line="276" w:lineRule="auto"/>
        <w:rPr>
          <w:rFonts w:cs="Times New Roman"/>
          <w:szCs w:val="20"/>
        </w:rPr>
      </w:pPr>
      <w:r w:rsidRPr="00EF4250">
        <w:rPr>
          <w:rFonts w:cs="Times New Roman"/>
          <w:szCs w:val="20"/>
        </w:rPr>
        <w:t xml:space="preserve">Assuming that </w:t>
      </w:r>
      <w:r w:rsidR="00D26704" w:rsidRPr="00EF4250">
        <w:rPr>
          <w:rFonts w:cs="Times New Roman"/>
          <w:szCs w:val="20"/>
        </w:rPr>
        <w:t xml:space="preserve">the </w:t>
      </w:r>
      <w:r w:rsidRPr="00EF4250">
        <w:rPr>
          <w:rFonts w:cs="Times New Roman"/>
          <w:szCs w:val="20"/>
        </w:rPr>
        <w:t>non-opioid use population (</w:t>
      </w:r>
      <m:oMath>
        <m:r>
          <w:rPr>
            <w:rFonts w:ascii="Cambria Math" w:hAnsi="Cambria Math" w:cs="Times New Roman"/>
            <w:szCs w:val="20"/>
          </w:rPr>
          <m:t>G</m:t>
        </m:r>
        <m:r>
          <m:rPr>
            <m:sty m:val="p"/>
          </m:rPr>
          <w:rPr>
            <w:rFonts w:ascii="Cambria Math" w:hAnsi="Cambria Math" w:cs="Times New Roman"/>
            <w:szCs w:val="20"/>
          </w:rPr>
          <m:t>\</m:t>
        </m:r>
        <m:r>
          <w:rPr>
            <w:rFonts w:ascii="Cambria Math" w:hAnsi="Cambria Math" w:cs="Times New Roman"/>
            <w:szCs w:val="20"/>
          </w:rPr>
          <m:t>O</m:t>
        </m:r>
      </m:oMath>
      <w:r w:rsidRPr="00EF4250">
        <w:rPr>
          <w:rFonts w:cs="Times New Roman"/>
          <w:szCs w:val="20"/>
        </w:rPr>
        <w:t xml:space="preserve">) </w:t>
      </w:r>
      <w:r w:rsidR="00D26704" w:rsidRPr="00EF4250">
        <w:rPr>
          <w:rFonts w:cs="Times New Roman"/>
          <w:szCs w:val="20"/>
        </w:rPr>
        <w:t xml:space="preserve">is </w:t>
      </w:r>
      <w:r w:rsidRPr="00EF4250">
        <w:rPr>
          <w:rFonts w:cs="Times New Roman"/>
          <w:szCs w:val="20"/>
        </w:rPr>
        <w:t xml:space="preserve">not at risk of any opioid-related deaths (i.e., A and B), we used the all-cause mortality for </w:t>
      </w:r>
      <w:r w:rsidR="00D26704" w:rsidRPr="00EF4250">
        <w:rPr>
          <w:rFonts w:cs="Times New Roman"/>
          <w:szCs w:val="20"/>
        </w:rPr>
        <w:t xml:space="preserve">the </w:t>
      </w:r>
      <w:r w:rsidRPr="00EF4250">
        <w:rPr>
          <w:rFonts w:cs="Times New Roman"/>
          <w:szCs w:val="20"/>
        </w:rPr>
        <w:t xml:space="preserve">non-opioid use population as the surrogate for the other-cause mortality for the opioid use population (i.e., </w:t>
      </w:r>
      <m:oMath>
        <m:sSub>
          <m:sSubPr>
            <m:ctrlPr>
              <w:rPr>
                <w:rFonts w:ascii="Cambria Math" w:hAnsi="Cambria Math" w:cs="Times New Roman"/>
                <w:i/>
                <w:szCs w:val="20"/>
              </w:rPr>
            </m:ctrlPr>
          </m:sSubPr>
          <m:e>
            <m:r>
              <w:rPr>
                <w:rFonts w:ascii="Cambria Math" w:hAnsi="Cambria Math" w:cs="Times New Roman"/>
                <w:szCs w:val="20"/>
              </w:rPr>
              <m:t>r</m:t>
            </m:r>
          </m:e>
          <m:sub>
            <m:r>
              <w:rPr>
                <w:rFonts w:ascii="Cambria Math" w:hAnsi="Cambria Math" w:cs="Times New Roman"/>
                <w:szCs w:val="20"/>
              </w:rPr>
              <m:t>G\O</m:t>
            </m:r>
          </m:sub>
        </m:sSub>
        <m:d>
          <m:dPr>
            <m:ctrlPr>
              <w:rPr>
                <w:rFonts w:ascii="Cambria Math" w:hAnsi="Cambria Math" w:cs="Times New Roman"/>
                <w:i/>
                <w:szCs w:val="20"/>
              </w:rPr>
            </m:ctrlPr>
          </m:dPr>
          <m:e>
            <m:r>
              <w:rPr>
                <w:rFonts w:ascii="Cambria Math" w:hAnsi="Cambria Math" w:cs="Times New Roman"/>
                <w:szCs w:val="20"/>
              </w:rPr>
              <m:t>ABC</m:t>
            </m:r>
          </m:e>
        </m:d>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r</m:t>
            </m:r>
          </m:e>
          <m:sub>
            <m:r>
              <w:rPr>
                <w:rFonts w:ascii="Cambria Math" w:hAnsi="Cambria Math" w:cs="Times New Roman"/>
                <w:szCs w:val="20"/>
              </w:rPr>
              <m:t>G\O</m:t>
            </m:r>
          </m:sub>
        </m:sSub>
        <m:d>
          <m:dPr>
            <m:ctrlPr>
              <w:rPr>
                <w:rFonts w:ascii="Cambria Math" w:hAnsi="Cambria Math" w:cs="Times New Roman"/>
                <w:i/>
                <w:szCs w:val="20"/>
              </w:rPr>
            </m:ctrlPr>
          </m:dPr>
          <m:e>
            <m:r>
              <w:rPr>
                <w:rFonts w:ascii="Cambria Math" w:hAnsi="Cambria Math" w:cs="Times New Roman"/>
                <w:szCs w:val="20"/>
              </w:rPr>
              <m:t>C</m:t>
            </m:r>
          </m:e>
        </m:d>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r</m:t>
            </m:r>
          </m:e>
          <m:sub>
            <m:r>
              <w:rPr>
                <w:rFonts w:ascii="Cambria Math" w:hAnsi="Cambria Math" w:cs="Times New Roman"/>
                <w:szCs w:val="20"/>
              </w:rPr>
              <m:t>O</m:t>
            </m:r>
          </m:sub>
        </m:sSub>
        <m:r>
          <w:rPr>
            <w:rFonts w:ascii="Cambria Math" w:hAnsi="Cambria Math" w:cs="Times New Roman"/>
            <w:szCs w:val="20"/>
          </w:rPr>
          <m:t>(C)</m:t>
        </m:r>
      </m:oMath>
      <w:r w:rsidRPr="00EF4250">
        <w:rPr>
          <w:rFonts w:cs="Times New Roman"/>
          <w:szCs w:val="20"/>
        </w:rPr>
        <w:t xml:space="preserve">). The monthly rate was then converted to the monthly other-cause mortality for </w:t>
      </w:r>
      <w:r w:rsidR="00D26704" w:rsidRPr="00EF4250">
        <w:rPr>
          <w:rFonts w:cs="Times New Roman"/>
          <w:szCs w:val="20"/>
        </w:rPr>
        <w:t xml:space="preserve">the </w:t>
      </w:r>
      <w:r w:rsidRPr="00EF4250">
        <w:rPr>
          <w:rFonts w:cs="Times New Roman"/>
          <w:i/>
          <w:iCs/>
          <w:szCs w:val="20"/>
        </w:rPr>
        <w:t>OUD</w:t>
      </w:r>
      <w:r w:rsidRPr="00EF4250">
        <w:rPr>
          <w:rFonts w:cs="Times New Roman"/>
          <w:szCs w:val="20"/>
        </w:rPr>
        <w:t xml:space="preserve"> state, </w:t>
      </w:r>
      <m:oMath>
        <m:r>
          <w:rPr>
            <w:rFonts w:ascii="Cambria Math" w:hAnsi="Cambria Math" w:cs="Times New Roman"/>
            <w:szCs w:val="20"/>
          </w:rPr>
          <m:t>P(C)</m:t>
        </m:r>
      </m:oMath>
      <w:r w:rsidRPr="00EF4250">
        <w:rPr>
          <w:rFonts w:cs="Times New Roman"/>
          <w:szCs w:val="20"/>
        </w:rPr>
        <w:t>.</w:t>
      </w:r>
    </w:p>
    <w:p w14:paraId="25E3E50D" w14:textId="54DC4BDA" w:rsidR="0071568F" w:rsidRPr="00EF4250" w:rsidRDefault="00E42C6C" w:rsidP="00754108">
      <w:pPr>
        <w:pStyle w:val="ListParagraph"/>
        <w:numPr>
          <w:ilvl w:val="0"/>
          <w:numId w:val="19"/>
        </w:numPr>
        <w:spacing w:after="0" w:line="276" w:lineRule="auto"/>
        <w:rPr>
          <w:rFonts w:cs="Times New Roman"/>
          <w:szCs w:val="20"/>
        </w:rPr>
      </w:pPr>
      <w:r w:rsidRPr="00EF4250">
        <w:rPr>
          <w:rFonts w:cs="Times New Roman"/>
          <w:szCs w:val="20"/>
        </w:rPr>
        <w:t xml:space="preserve">Given that an individual’s monthly probability of overdose death was determined separately from the overdose pathway, we converted to the overdose mortality rate </w:t>
      </w:r>
      <m:oMath>
        <m:sSub>
          <m:sSubPr>
            <m:ctrlPr>
              <w:rPr>
                <w:rFonts w:ascii="Cambria Math" w:hAnsi="Cambria Math" w:cs="Times New Roman"/>
                <w:i/>
                <w:szCs w:val="20"/>
              </w:rPr>
            </m:ctrlPr>
          </m:sSubPr>
          <m:e>
            <m:r>
              <w:rPr>
                <w:rFonts w:ascii="Cambria Math" w:hAnsi="Cambria Math" w:cs="Times New Roman"/>
                <w:szCs w:val="20"/>
              </w:rPr>
              <m:t>r</m:t>
            </m:r>
          </m:e>
          <m:sub>
            <m:r>
              <w:rPr>
                <w:rFonts w:ascii="Cambria Math" w:hAnsi="Cambria Math" w:cs="Times New Roman"/>
                <w:szCs w:val="20"/>
              </w:rPr>
              <m:t>O</m:t>
            </m:r>
          </m:sub>
        </m:sSub>
        <m:r>
          <w:rPr>
            <w:rFonts w:ascii="Cambria Math" w:hAnsi="Cambria Math" w:cs="Times New Roman"/>
            <w:szCs w:val="20"/>
          </w:rPr>
          <m:t>(A)</m:t>
        </m:r>
      </m:oMath>
      <w:r w:rsidRPr="00EF4250">
        <w:rPr>
          <w:rFonts w:cs="Times New Roman"/>
          <w:szCs w:val="20"/>
        </w:rPr>
        <w:t xml:space="preserve">. To obtain the mortality rate for opioid-related non-overdose mortality rate, we “teased out” the part for overdose mortality and other-cause mortality from the the all-cause mortality, by letting </w:t>
      </w:r>
      <m:oMath>
        <m:sSub>
          <m:sSubPr>
            <m:ctrlPr>
              <w:rPr>
                <w:rFonts w:ascii="Cambria Math" w:hAnsi="Cambria Math" w:cs="Times New Roman"/>
                <w:i/>
                <w:szCs w:val="20"/>
              </w:rPr>
            </m:ctrlPr>
          </m:sSubPr>
          <m:e>
            <m:r>
              <w:rPr>
                <w:rFonts w:ascii="Cambria Math" w:hAnsi="Cambria Math" w:cs="Times New Roman"/>
                <w:szCs w:val="20"/>
              </w:rPr>
              <m:t>r</m:t>
            </m:r>
          </m:e>
          <m:sub>
            <m:r>
              <w:rPr>
                <w:rFonts w:ascii="Cambria Math" w:hAnsi="Cambria Math" w:cs="Times New Roman"/>
                <w:szCs w:val="20"/>
              </w:rPr>
              <m:t>O</m:t>
            </m:r>
          </m:sub>
        </m:sSub>
        <m:d>
          <m:dPr>
            <m:ctrlPr>
              <w:rPr>
                <w:rFonts w:ascii="Cambria Math" w:hAnsi="Cambria Math" w:cs="Times New Roman"/>
                <w:i/>
                <w:szCs w:val="20"/>
              </w:rPr>
            </m:ctrlPr>
          </m:dPr>
          <m:e>
            <m:r>
              <w:rPr>
                <w:rFonts w:ascii="Cambria Math" w:hAnsi="Cambria Math" w:cs="Times New Roman"/>
                <w:szCs w:val="20"/>
              </w:rPr>
              <m:t>B</m:t>
            </m:r>
          </m:e>
        </m:d>
        <m:r>
          <w:rPr>
            <w:rFonts w:ascii="Cambria Math" w:hAnsi="Cambria Math" w:cs="Times New Roman"/>
            <w:szCs w:val="20"/>
          </w:rPr>
          <m:t>=</m:t>
        </m:r>
        <m:func>
          <m:funcPr>
            <m:ctrlPr>
              <w:rPr>
                <w:rFonts w:ascii="Cambria Math" w:hAnsi="Cambria Math" w:cs="Times New Roman"/>
                <w:i/>
                <w:szCs w:val="20"/>
              </w:rPr>
            </m:ctrlPr>
          </m:funcPr>
          <m:fName>
            <m:r>
              <m:rPr>
                <m:sty m:val="p"/>
              </m:rPr>
              <w:rPr>
                <w:rFonts w:ascii="Cambria Math" w:hAnsi="Cambria Math" w:cs="Times New Roman"/>
                <w:szCs w:val="20"/>
              </w:rPr>
              <m:t>max</m:t>
            </m:r>
          </m:fName>
          <m:e>
            <m:d>
              <m:dPr>
                <m:begChr m:val="{"/>
                <m:endChr m:val="}"/>
                <m:ctrlPr>
                  <w:rPr>
                    <w:rFonts w:ascii="Cambria Math" w:hAnsi="Cambria Math" w:cs="Times New Roman"/>
                    <w:i/>
                    <w:szCs w:val="20"/>
                  </w:rPr>
                </m:ctrlPr>
              </m:dPr>
              <m:e>
                <m:r>
                  <w:rPr>
                    <w:rFonts w:ascii="Cambria Math" w:hAnsi="Cambria Math" w:cs="Times New Roman"/>
                    <w:szCs w:val="20"/>
                  </w:rPr>
                  <m:t>0,</m:t>
                </m:r>
                <m:r>
                  <m:rPr>
                    <m:nor/>
                  </m:rPr>
                  <w:rPr>
                    <w:rFonts w:cs="Times New Roman"/>
                    <w:szCs w:val="20"/>
                  </w:rPr>
                  <m:t xml:space="preserve"> </m:t>
                </m:r>
                <m:sSub>
                  <m:sSubPr>
                    <m:ctrlPr>
                      <w:rPr>
                        <w:rFonts w:ascii="Cambria Math" w:hAnsi="Cambria Math" w:cs="Times New Roman"/>
                        <w:i/>
                        <w:szCs w:val="20"/>
                      </w:rPr>
                    </m:ctrlPr>
                  </m:sSubPr>
                  <m:e>
                    <m:r>
                      <w:rPr>
                        <w:rFonts w:ascii="Cambria Math" w:hAnsi="Cambria Math" w:cs="Times New Roman"/>
                        <w:szCs w:val="20"/>
                      </w:rPr>
                      <m:t>r</m:t>
                    </m:r>
                  </m:e>
                  <m:sub>
                    <m:r>
                      <w:rPr>
                        <w:rFonts w:ascii="Cambria Math" w:hAnsi="Cambria Math" w:cs="Times New Roman"/>
                        <w:szCs w:val="20"/>
                      </w:rPr>
                      <m:t>O</m:t>
                    </m:r>
                  </m:sub>
                </m:sSub>
                <m:d>
                  <m:dPr>
                    <m:ctrlPr>
                      <w:rPr>
                        <w:rFonts w:ascii="Cambria Math" w:hAnsi="Cambria Math" w:cs="Times New Roman"/>
                        <w:i/>
                        <w:szCs w:val="20"/>
                      </w:rPr>
                    </m:ctrlPr>
                  </m:dPr>
                  <m:e>
                    <m:r>
                      <w:rPr>
                        <w:rFonts w:ascii="Cambria Math" w:hAnsi="Cambria Math" w:cs="Times New Roman"/>
                        <w:szCs w:val="20"/>
                      </w:rPr>
                      <m:t>ABC</m:t>
                    </m:r>
                  </m:e>
                </m:d>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r</m:t>
                    </m:r>
                  </m:e>
                  <m:sub>
                    <m:r>
                      <w:rPr>
                        <w:rFonts w:ascii="Cambria Math" w:hAnsi="Cambria Math" w:cs="Times New Roman"/>
                        <w:szCs w:val="20"/>
                      </w:rPr>
                      <m:t>O</m:t>
                    </m:r>
                  </m:sub>
                </m:sSub>
                <m:d>
                  <m:dPr>
                    <m:ctrlPr>
                      <w:rPr>
                        <w:rFonts w:ascii="Cambria Math" w:hAnsi="Cambria Math" w:cs="Times New Roman"/>
                        <w:i/>
                        <w:szCs w:val="20"/>
                      </w:rPr>
                    </m:ctrlPr>
                  </m:dPr>
                  <m:e>
                    <m:r>
                      <w:rPr>
                        <w:rFonts w:ascii="Cambria Math" w:hAnsi="Cambria Math" w:cs="Times New Roman"/>
                        <w:szCs w:val="20"/>
                      </w:rPr>
                      <m:t>A</m:t>
                    </m:r>
                  </m:e>
                </m:d>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r</m:t>
                    </m:r>
                  </m:e>
                  <m:sub>
                    <m:r>
                      <w:rPr>
                        <w:rFonts w:ascii="Cambria Math" w:hAnsi="Cambria Math" w:cs="Times New Roman"/>
                        <w:szCs w:val="20"/>
                      </w:rPr>
                      <m:t>O</m:t>
                    </m:r>
                  </m:sub>
                </m:sSub>
                <m:d>
                  <m:dPr>
                    <m:ctrlPr>
                      <w:rPr>
                        <w:rFonts w:ascii="Cambria Math" w:hAnsi="Cambria Math" w:cs="Times New Roman"/>
                        <w:i/>
                        <w:szCs w:val="20"/>
                      </w:rPr>
                    </m:ctrlPr>
                  </m:dPr>
                  <m:e>
                    <m:r>
                      <w:rPr>
                        <w:rFonts w:ascii="Cambria Math" w:hAnsi="Cambria Math" w:cs="Times New Roman"/>
                        <w:szCs w:val="20"/>
                      </w:rPr>
                      <m:t>C</m:t>
                    </m:r>
                  </m:e>
                </m:d>
              </m:e>
            </m:d>
            <m:r>
              <m:rPr>
                <m:sty m:val="p"/>
              </m:rPr>
              <w:rPr>
                <w:rFonts w:ascii="Cambria Math" w:hAnsi="Cambria Math" w:cs="Times New Roman"/>
                <w:szCs w:val="20"/>
              </w:rPr>
              <m:t xml:space="preserve"> </m:t>
            </m:r>
          </m:e>
        </m:func>
      </m:oMath>
      <w:r w:rsidRPr="00EF4250">
        <w:rPr>
          <w:rFonts w:cs="Times New Roman"/>
          <w:szCs w:val="20"/>
        </w:rPr>
        <w:t xml:space="preserve"> which was lower bounded by 0 to ensure non-negativity of the value of a rate. Lastly, the mortality rate </w:t>
      </w:r>
      <m:oMath>
        <m:sSub>
          <m:sSubPr>
            <m:ctrlPr>
              <w:rPr>
                <w:rFonts w:ascii="Cambria Math" w:hAnsi="Cambria Math" w:cs="Times New Roman"/>
                <w:i/>
                <w:szCs w:val="20"/>
              </w:rPr>
            </m:ctrlPr>
          </m:sSubPr>
          <m:e>
            <m:r>
              <w:rPr>
                <w:rFonts w:ascii="Cambria Math" w:hAnsi="Cambria Math" w:cs="Times New Roman"/>
                <w:szCs w:val="20"/>
              </w:rPr>
              <m:t>r</m:t>
            </m:r>
          </m:e>
          <m:sub>
            <m:r>
              <w:rPr>
                <w:rFonts w:ascii="Cambria Math" w:hAnsi="Cambria Math" w:cs="Times New Roman"/>
                <w:szCs w:val="20"/>
              </w:rPr>
              <m:t>O</m:t>
            </m:r>
          </m:sub>
        </m:sSub>
        <m:r>
          <w:rPr>
            <w:rFonts w:ascii="Cambria Math" w:hAnsi="Cambria Math" w:cs="Times New Roman"/>
            <w:szCs w:val="20"/>
          </w:rPr>
          <m:t>(B)</m:t>
        </m:r>
      </m:oMath>
      <w:r w:rsidRPr="00EF4250">
        <w:rPr>
          <w:rFonts w:cs="Times New Roman"/>
          <w:szCs w:val="20"/>
        </w:rPr>
        <w:t xml:space="preserve"> was converted to monthly probability of opioid-related non-overdose deaths, </w:t>
      </w:r>
      <m:oMath>
        <m:r>
          <w:rPr>
            <w:rFonts w:ascii="Cambria Math" w:hAnsi="Cambria Math" w:cs="Times New Roman"/>
            <w:szCs w:val="20"/>
          </w:rPr>
          <m:t>P(B)</m:t>
        </m:r>
      </m:oMath>
      <w:r w:rsidRPr="00EF4250">
        <w:rPr>
          <w:rFonts w:cs="Times New Roman"/>
          <w:szCs w:val="20"/>
        </w:rPr>
        <w:t xml:space="preserve">. </w:t>
      </w:r>
    </w:p>
    <w:p w14:paraId="1043574A" w14:textId="77777777" w:rsidR="00E42C6C" w:rsidRPr="00EF4250" w:rsidRDefault="00E42C6C" w:rsidP="00754108">
      <w:pPr>
        <w:spacing w:after="0" w:line="276" w:lineRule="auto"/>
        <w:rPr>
          <w:rFonts w:cs="Times New Roman"/>
          <w:color w:val="385623" w:themeColor="accent6" w:themeShade="80"/>
          <w:szCs w:val="20"/>
        </w:rPr>
      </w:pPr>
    </w:p>
    <w:p w14:paraId="64A21AD1" w14:textId="57E96C84" w:rsidR="00CB6C17" w:rsidRPr="00EF4250" w:rsidRDefault="00A87FBF" w:rsidP="00272ED0">
      <w:pPr>
        <w:pStyle w:val="table-title"/>
        <w:ind w:left="0" w:firstLine="0"/>
        <w:rPr>
          <w:rFonts w:ascii="Times New Roman" w:hAnsi="Times New Roman"/>
          <w:szCs w:val="20"/>
        </w:rPr>
      </w:pPr>
      <w:r w:rsidRPr="00626C29">
        <w:rPr>
          <w:rFonts w:ascii="Times New Roman" w:hAnsi="Times New Roman"/>
          <w:b/>
          <w:szCs w:val="20"/>
        </w:rPr>
        <w:t xml:space="preserve">Supplementary </w:t>
      </w:r>
      <w:r w:rsidR="00CB6C17" w:rsidRPr="00EF4250">
        <w:rPr>
          <w:rFonts w:ascii="Times New Roman" w:hAnsi="Times New Roman"/>
          <w:b/>
          <w:szCs w:val="20"/>
        </w:rPr>
        <w:t xml:space="preserve">Table </w:t>
      </w:r>
      <w:r w:rsidR="00F92FB6">
        <w:rPr>
          <w:rFonts w:ascii="Times New Roman" w:hAnsi="Times New Roman"/>
          <w:b/>
          <w:szCs w:val="20"/>
        </w:rPr>
        <w:t>13</w:t>
      </w:r>
      <w:r w:rsidR="00CB6C17" w:rsidRPr="00EF4250">
        <w:rPr>
          <w:rFonts w:ascii="Times New Roman" w:hAnsi="Times New Roman"/>
          <w:b/>
          <w:szCs w:val="20"/>
        </w:rPr>
        <w:t>.</w:t>
      </w:r>
      <w:r w:rsidR="006C1254" w:rsidRPr="00EF4250">
        <w:rPr>
          <w:rFonts w:ascii="Times New Roman" w:hAnsi="Times New Roman"/>
          <w:b/>
          <w:szCs w:val="20"/>
        </w:rPr>
        <w:t xml:space="preserve"> </w:t>
      </w:r>
      <w:r w:rsidR="00CB6C17" w:rsidRPr="00EF4250">
        <w:rPr>
          <w:rFonts w:ascii="Times New Roman" w:hAnsi="Times New Roman"/>
          <w:szCs w:val="20"/>
        </w:rPr>
        <w:t>Worksheet for estimating the probability of opioid-related non-overdose death and other-cause death for the OUD state</w:t>
      </w:r>
      <w:r w:rsidR="000C389F" w:rsidRPr="00EF4250">
        <w:rPr>
          <w:rFonts w:ascii="Times New Roman" w:hAnsi="Times New Roman"/>
          <w:szCs w:val="20"/>
        </w:rPr>
        <w:t xml:space="preserve">, 30-year-old male </w:t>
      </w:r>
    </w:p>
    <w:tbl>
      <w:tblPr>
        <w:tblStyle w:val="TableGrid"/>
        <w:tblW w:w="9350" w:type="dxa"/>
        <w:tblLayout w:type="fixed"/>
        <w:tblLook w:val="04A0" w:firstRow="1" w:lastRow="0" w:firstColumn="1" w:lastColumn="0" w:noHBand="0" w:noVBand="1"/>
      </w:tblPr>
      <w:tblGrid>
        <w:gridCol w:w="317"/>
        <w:gridCol w:w="4268"/>
        <w:gridCol w:w="2160"/>
        <w:gridCol w:w="1400"/>
        <w:gridCol w:w="1205"/>
      </w:tblGrid>
      <w:tr w:rsidR="006A52FD" w:rsidRPr="00D2239A" w14:paraId="26866246" w14:textId="77777777" w:rsidTr="00E94DF2">
        <w:tc>
          <w:tcPr>
            <w:tcW w:w="317" w:type="dxa"/>
          </w:tcPr>
          <w:p w14:paraId="39B348EF" w14:textId="77777777" w:rsidR="00575F97" w:rsidRPr="00D2239A" w:rsidRDefault="00575F97" w:rsidP="005544F2">
            <w:pPr>
              <w:spacing w:line="276" w:lineRule="auto"/>
              <w:rPr>
                <w:rFonts w:cs="Times New Roman"/>
                <w:b/>
                <w:bCs/>
                <w:sz w:val="18"/>
                <w:szCs w:val="18"/>
              </w:rPr>
            </w:pPr>
          </w:p>
        </w:tc>
        <w:tc>
          <w:tcPr>
            <w:tcW w:w="4268" w:type="dxa"/>
          </w:tcPr>
          <w:p w14:paraId="225456E8" w14:textId="35B346E3" w:rsidR="00575F97" w:rsidRPr="00D2239A" w:rsidRDefault="00575F97" w:rsidP="005544F2">
            <w:pPr>
              <w:spacing w:line="276" w:lineRule="auto"/>
              <w:jc w:val="center"/>
              <w:rPr>
                <w:rFonts w:cs="Times New Roman"/>
                <w:b/>
                <w:bCs/>
                <w:sz w:val="18"/>
                <w:szCs w:val="18"/>
              </w:rPr>
            </w:pPr>
            <w:r w:rsidRPr="00D2239A">
              <w:rPr>
                <w:rFonts w:cs="Times New Roman"/>
                <w:b/>
                <w:bCs/>
                <w:sz w:val="18"/>
                <w:szCs w:val="18"/>
              </w:rPr>
              <w:t>Parameter</w:t>
            </w:r>
          </w:p>
        </w:tc>
        <w:tc>
          <w:tcPr>
            <w:tcW w:w="2160" w:type="dxa"/>
          </w:tcPr>
          <w:p w14:paraId="1896D109" w14:textId="77777777" w:rsidR="00575F97" w:rsidRPr="00D2239A" w:rsidRDefault="00575F97" w:rsidP="005544F2">
            <w:pPr>
              <w:spacing w:line="276" w:lineRule="auto"/>
              <w:jc w:val="center"/>
              <w:rPr>
                <w:rFonts w:cs="Times New Roman"/>
                <w:b/>
                <w:bCs/>
                <w:sz w:val="18"/>
                <w:szCs w:val="18"/>
              </w:rPr>
            </w:pPr>
            <w:r w:rsidRPr="00D2239A">
              <w:rPr>
                <w:rFonts w:cs="Times New Roman"/>
                <w:b/>
                <w:bCs/>
                <w:sz w:val="18"/>
                <w:szCs w:val="18"/>
              </w:rPr>
              <w:t>Formula</w:t>
            </w:r>
          </w:p>
        </w:tc>
        <w:tc>
          <w:tcPr>
            <w:tcW w:w="1400" w:type="dxa"/>
          </w:tcPr>
          <w:p w14:paraId="6CDDF612" w14:textId="77777777" w:rsidR="00575F97" w:rsidRPr="00D2239A" w:rsidRDefault="00575F97" w:rsidP="005544F2">
            <w:pPr>
              <w:spacing w:line="276" w:lineRule="auto"/>
              <w:jc w:val="right"/>
              <w:rPr>
                <w:rFonts w:cs="Times New Roman"/>
                <w:b/>
                <w:bCs/>
                <w:sz w:val="18"/>
                <w:szCs w:val="18"/>
              </w:rPr>
            </w:pPr>
            <w:r w:rsidRPr="00D2239A">
              <w:rPr>
                <w:rFonts w:cs="Times New Roman"/>
                <w:b/>
                <w:bCs/>
                <w:sz w:val="18"/>
                <w:szCs w:val="18"/>
              </w:rPr>
              <w:t>Value</w:t>
            </w:r>
          </w:p>
        </w:tc>
        <w:tc>
          <w:tcPr>
            <w:tcW w:w="1205" w:type="dxa"/>
          </w:tcPr>
          <w:p w14:paraId="1A360C66" w14:textId="77777777" w:rsidR="00575F97" w:rsidRPr="00D2239A" w:rsidRDefault="00575F97" w:rsidP="005544F2">
            <w:pPr>
              <w:spacing w:line="276" w:lineRule="auto"/>
              <w:jc w:val="center"/>
              <w:rPr>
                <w:rFonts w:cs="Times New Roman"/>
                <w:b/>
                <w:bCs/>
                <w:sz w:val="18"/>
                <w:szCs w:val="18"/>
              </w:rPr>
            </w:pPr>
            <w:r w:rsidRPr="00D2239A">
              <w:rPr>
                <w:rFonts w:cs="Times New Roman"/>
                <w:b/>
                <w:bCs/>
                <w:sz w:val="18"/>
                <w:szCs w:val="18"/>
              </w:rPr>
              <w:t>Reference</w:t>
            </w:r>
          </w:p>
        </w:tc>
      </w:tr>
      <w:tr w:rsidR="006A52FD" w:rsidRPr="00D2239A" w14:paraId="2923847E" w14:textId="77777777" w:rsidTr="00E94DF2">
        <w:tc>
          <w:tcPr>
            <w:tcW w:w="317" w:type="dxa"/>
          </w:tcPr>
          <w:p w14:paraId="14C26F0A" w14:textId="2AE361B4" w:rsidR="00575F97" w:rsidRPr="00D2239A" w:rsidRDefault="00575F97" w:rsidP="005544F2">
            <w:pPr>
              <w:spacing w:line="276" w:lineRule="auto"/>
              <w:rPr>
                <w:rFonts w:cs="Times New Roman"/>
                <w:sz w:val="18"/>
                <w:szCs w:val="18"/>
              </w:rPr>
            </w:pPr>
            <w:r w:rsidRPr="00D2239A">
              <w:rPr>
                <w:rFonts w:cs="Times New Roman"/>
                <w:sz w:val="18"/>
                <w:szCs w:val="18"/>
              </w:rPr>
              <w:t>1</w:t>
            </w:r>
          </w:p>
        </w:tc>
        <w:tc>
          <w:tcPr>
            <w:tcW w:w="4268" w:type="dxa"/>
          </w:tcPr>
          <w:p w14:paraId="0C74DA45" w14:textId="2E01C3D4" w:rsidR="00575F97" w:rsidRPr="00D2239A" w:rsidRDefault="00575F97" w:rsidP="005544F2">
            <w:pPr>
              <w:spacing w:line="276" w:lineRule="auto"/>
              <w:rPr>
                <w:rFonts w:cs="Times New Roman"/>
                <w:sz w:val="18"/>
                <w:szCs w:val="18"/>
              </w:rPr>
            </w:pPr>
            <w:r w:rsidRPr="00D2239A">
              <w:rPr>
                <w:rFonts w:cs="Times New Roman"/>
                <w:sz w:val="18"/>
                <w:szCs w:val="18"/>
              </w:rPr>
              <w:t>Probability of dying in one year at a given age</w:t>
            </w:r>
          </w:p>
        </w:tc>
        <w:tc>
          <w:tcPr>
            <w:tcW w:w="2160" w:type="dxa"/>
          </w:tcPr>
          <w:p w14:paraId="79E63D70" w14:textId="77777777" w:rsidR="00575F97" w:rsidRPr="00D2239A" w:rsidRDefault="00000000" w:rsidP="005544F2">
            <w:pPr>
              <w:spacing w:line="276" w:lineRule="auto"/>
              <w:rPr>
                <w:rFonts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p</m:t>
                  </m:r>
                </m:e>
                <m:sub>
                  <m:r>
                    <w:rPr>
                      <w:rFonts w:ascii="Cambria Math" w:hAnsi="Cambria Math" w:cs="Times New Roman"/>
                      <w:sz w:val="18"/>
                      <w:szCs w:val="18"/>
                    </w:rPr>
                    <m:t>y</m:t>
                  </m:r>
                </m:sub>
              </m:sSub>
            </m:oMath>
            <w:r w:rsidR="00575F97" w:rsidRPr="00D2239A">
              <w:rPr>
                <w:rFonts w:cs="Times New Roman"/>
                <w:sz w:val="18"/>
                <w:szCs w:val="18"/>
              </w:rPr>
              <w:t xml:space="preserve"> </w:t>
            </w:r>
          </w:p>
        </w:tc>
        <w:tc>
          <w:tcPr>
            <w:tcW w:w="1400" w:type="dxa"/>
          </w:tcPr>
          <w:p w14:paraId="10CFF09F" w14:textId="77777777" w:rsidR="00575F97" w:rsidRPr="00D2239A" w:rsidRDefault="00575F97" w:rsidP="005544F2">
            <w:pPr>
              <w:spacing w:line="276" w:lineRule="auto"/>
              <w:jc w:val="right"/>
              <w:rPr>
                <w:rFonts w:cs="Times New Roman"/>
                <w:sz w:val="18"/>
                <w:szCs w:val="18"/>
              </w:rPr>
            </w:pPr>
            <w:r w:rsidRPr="00D2239A">
              <w:rPr>
                <w:rFonts w:cs="Times New Roman"/>
                <w:sz w:val="18"/>
                <w:szCs w:val="18"/>
              </w:rPr>
              <w:t>0.00224458</w:t>
            </w:r>
          </w:p>
        </w:tc>
        <w:tc>
          <w:tcPr>
            <w:tcW w:w="1205" w:type="dxa"/>
          </w:tcPr>
          <w:p w14:paraId="144EABDA" w14:textId="2BDF531C" w:rsidR="00575F97" w:rsidRPr="00D2239A" w:rsidRDefault="00D26704" w:rsidP="005544F2">
            <w:pPr>
              <w:spacing w:line="276" w:lineRule="auto"/>
              <w:rPr>
                <w:rFonts w:cs="Times New Roman"/>
                <w:sz w:val="18"/>
                <w:szCs w:val="18"/>
              </w:rPr>
            </w:pPr>
            <w:r w:rsidRPr="00D2239A">
              <w:rPr>
                <w:rFonts w:cs="Times New Roman"/>
                <w:sz w:val="18"/>
                <w:szCs w:val="18"/>
              </w:rPr>
              <w:t>Arias et al. (2022)</w:t>
            </w:r>
            <w:r w:rsidR="00661D37" w:rsidRPr="00D2239A">
              <w:rPr>
                <w:rFonts w:cs="Times New Roman"/>
                <w:sz w:val="18"/>
                <w:szCs w:val="18"/>
              </w:rPr>
              <w:fldChar w:fldCharType="begin"/>
            </w:r>
            <w:r w:rsidR="0037266D">
              <w:rPr>
                <w:rFonts w:cs="Times New Roman"/>
                <w:sz w:val="18"/>
                <w:szCs w:val="18"/>
              </w:rPr>
              <w:instrText xml:space="preserve"> ADDIN EN.CITE &lt;EndNote&gt;&lt;Cite&gt;&lt;Author&gt;Arias&lt;/Author&gt;&lt;Year&gt;2022&lt;/Year&gt;&lt;RecNum&gt;23&lt;/RecNum&gt;&lt;DisplayText&gt;&lt;style face="superscript"&gt;33&lt;/style&gt;&lt;/DisplayText&gt;&lt;record&gt;&lt;rec-number&gt;23&lt;/rec-number&gt;&lt;foreign-keys&gt;&lt;key app="EN" db-id="pwwedrtwnpw20vervr1p9p2y9exw2awedx5t" timestamp="1774561197"&gt;23&lt;/key&gt;&lt;/foreign-keys&gt;&lt;ref-type name="Journal Article"&gt;17&lt;/ref-type&gt;&lt;contributors&gt;&lt;authors&gt;&lt;author&gt;Arias, E.&lt;/author&gt;&lt;author&gt;Xu, J.&lt;/author&gt;&lt;/authors&gt;&lt;/contributors&gt;&lt;titles&gt;&lt;title&gt;United States Life Tables, 2019&lt;/title&gt;&lt;secondary-title&gt;Natl Vital Stat Rep&lt;/secondary-title&gt;&lt;/titles&gt;&lt;periodical&gt;&lt;full-title&gt;Natl Vital Stat Rep&lt;/full-title&gt;&lt;/periodical&gt;&lt;pages&gt;1-59&lt;/pages&gt;&lt;volume&gt;70&lt;/volume&gt;&lt;number&gt;19&lt;/number&gt;&lt;edition&gt;2022/03/24&lt;/edition&gt;&lt;keywords&gt;&lt;keyword&gt;*Alaska Natives&lt;/keyword&gt;&lt;keyword&gt;Ethnicity&lt;/keyword&gt;&lt;keyword&gt;Hispanic or Latino&lt;/keyword&gt;&lt;keyword&gt;Humans&lt;/keyword&gt;&lt;keyword&gt;*Life Expectancy&lt;/keyword&gt;&lt;keyword&gt;Life Tables&lt;/keyword&gt;&lt;keyword&gt;United States/epidemiology&lt;/keyword&gt;&lt;/keywords&gt;&lt;dates&gt;&lt;year&gt;2022&lt;/year&gt;&lt;pub-dates&gt;&lt;date&gt;Mar&lt;/date&gt;&lt;/pub-dates&gt;&lt;/dates&gt;&lt;isbn&gt;1551-8930 (Electronic)&amp;#xD;1551-8922 (Linking)&lt;/isbn&gt;&lt;accession-num&gt;35319436&lt;/accession-num&gt;&lt;urls&gt;&lt;related-urls&gt;&lt;url&gt;https://www.ncbi.nlm.nih.gov/pubmed/35319436&lt;/url&gt;&lt;/related-urls&gt;&lt;/urls&gt;&lt;/record&gt;&lt;/Cite&gt;&lt;/EndNote&gt;</w:instrText>
            </w:r>
            <w:r w:rsidR="00661D37" w:rsidRPr="00D2239A">
              <w:rPr>
                <w:rFonts w:cs="Times New Roman"/>
                <w:sz w:val="18"/>
                <w:szCs w:val="18"/>
              </w:rPr>
              <w:fldChar w:fldCharType="separate"/>
            </w:r>
            <w:r w:rsidR="00200014" w:rsidRPr="00D2239A">
              <w:rPr>
                <w:rFonts w:cs="Times New Roman"/>
                <w:noProof/>
                <w:sz w:val="18"/>
                <w:szCs w:val="18"/>
                <w:vertAlign w:val="superscript"/>
              </w:rPr>
              <w:t>33</w:t>
            </w:r>
            <w:r w:rsidR="00661D37" w:rsidRPr="00D2239A">
              <w:rPr>
                <w:rFonts w:cs="Times New Roman"/>
                <w:sz w:val="18"/>
                <w:szCs w:val="18"/>
              </w:rPr>
              <w:fldChar w:fldCharType="end"/>
            </w:r>
          </w:p>
        </w:tc>
      </w:tr>
      <w:tr w:rsidR="006A52FD" w:rsidRPr="00D2239A" w14:paraId="56C365B9" w14:textId="77777777" w:rsidTr="00E94DF2">
        <w:tc>
          <w:tcPr>
            <w:tcW w:w="317" w:type="dxa"/>
          </w:tcPr>
          <w:p w14:paraId="35E320C6" w14:textId="77777777" w:rsidR="00575F97" w:rsidRPr="00D2239A" w:rsidRDefault="00575F97" w:rsidP="005544F2">
            <w:pPr>
              <w:spacing w:line="276" w:lineRule="auto"/>
              <w:rPr>
                <w:rFonts w:cs="Times New Roman"/>
                <w:sz w:val="18"/>
                <w:szCs w:val="18"/>
              </w:rPr>
            </w:pPr>
          </w:p>
        </w:tc>
        <w:tc>
          <w:tcPr>
            <w:tcW w:w="4268" w:type="dxa"/>
          </w:tcPr>
          <w:p w14:paraId="529E9563" w14:textId="022A9001" w:rsidR="00575F97" w:rsidRPr="00D2239A" w:rsidRDefault="00575F97" w:rsidP="005544F2">
            <w:pPr>
              <w:spacing w:line="276" w:lineRule="auto"/>
              <w:rPr>
                <w:rFonts w:cs="Times New Roman"/>
                <w:sz w:val="18"/>
                <w:szCs w:val="18"/>
              </w:rPr>
            </w:pPr>
            <w:r w:rsidRPr="00D2239A">
              <w:rPr>
                <w:rFonts w:cs="Times New Roman"/>
                <w:sz w:val="18"/>
                <w:szCs w:val="18"/>
              </w:rPr>
              <w:t>Probability of surviving one year at a given age</w:t>
            </w:r>
          </w:p>
        </w:tc>
        <w:tc>
          <w:tcPr>
            <w:tcW w:w="2160" w:type="dxa"/>
          </w:tcPr>
          <w:p w14:paraId="28D5D8F9" w14:textId="77777777" w:rsidR="00575F97" w:rsidRPr="00D2239A" w:rsidRDefault="00000000" w:rsidP="005544F2">
            <w:pPr>
              <w:spacing w:line="276" w:lineRule="auto"/>
              <w:rPr>
                <w:rFonts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q</m:t>
                  </m:r>
                </m:e>
                <m:sub>
                  <m:r>
                    <w:rPr>
                      <w:rFonts w:ascii="Cambria Math" w:hAnsi="Cambria Math" w:cs="Times New Roman"/>
                      <w:sz w:val="18"/>
                      <w:szCs w:val="18"/>
                    </w:rPr>
                    <m:t>y</m:t>
                  </m:r>
                </m:sub>
              </m:sSub>
              <m:r>
                <w:rPr>
                  <w:rFonts w:ascii="Cambria Math" w:hAnsi="Cambria Math" w:cs="Times New Roman"/>
                  <w:sz w:val="18"/>
                  <w:szCs w:val="18"/>
                </w:rPr>
                <m:t>=1-</m:t>
              </m:r>
              <m:sSub>
                <m:sSubPr>
                  <m:ctrlPr>
                    <w:rPr>
                      <w:rFonts w:ascii="Cambria Math" w:hAnsi="Cambria Math" w:cs="Times New Roman"/>
                      <w:i/>
                      <w:sz w:val="18"/>
                      <w:szCs w:val="18"/>
                    </w:rPr>
                  </m:ctrlPr>
                </m:sSubPr>
                <m:e>
                  <m:r>
                    <w:rPr>
                      <w:rFonts w:ascii="Cambria Math" w:hAnsi="Cambria Math" w:cs="Times New Roman"/>
                      <w:sz w:val="18"/>
                      <w:szCs w:val="18"/>
                    </w:rPr>
                    <m:t>p</m:t>
                  </m:r>
                </m:e>
                <m:sub>
                  <m:r>
                    <w:rPr>
                      <w:rFonts w:ascii="Cambria Math" w:hAnsi="Cambria Math" w:cs="Times New Roman"/>
                      <w:sz w:val="18"/>
                      <w:szCs w:val="18"/>
                    </w:rPr>
                    <m:t>y</m:t>
                  </m:r>
                </m:sub>
              </m:sSub>
            </m:oMath>
            <w:r w:rsidR="00575F97" w:rsidRPr="00D2239A">
              <w:rPr>
                <w:rFonts w:cs="Times New Roman"/>
                <w:sz w:val="18"/>
                <w:szCs w:val="18"/>
              </w:rPr>
              <w:t xml:space="preserve"> </w:t>
            </w:r>
          </w:p>
        </w:tc>
        <w:tc>
          <w:tcPr>
            <w:tcW w:w="1400" w:type="dxa"/>
          </w:tcPr>
          <w:p w14:paraId="2EF1926A" w14:textId="77777777" w:rsidR="00575F97" w:rsidRPr="00D2239A" w:rsidRDefault="00575F97" w:rsidP="005544F2">
            <w:pPr>
              <w:spacing w:line="276" w:lineRule="auto"/>
              <w:jc w:val="right"/>
              <w:rPr>
                <w:rFonts w:cs="Times New Roman"/>
                <w:sz w:val="18"/>
                <w:szCs w:val="18"/>
              </w:rPr>
            </w:pPr>
            <w:r w:rsidRPr="00D2239A">
              <w:rPr>
                <w:rFonts w:cs="Times New Roman"/>
                <w:sz w:val="18"/>
                <w:szCs w:val="18"/>
              </w:rPr>
              <w:t>0.99775542</w:t>
            </w:r>
          </w:p>
        </w:tc>
        <w:tc>
          <w:tcPr>
            <w:tcW w:w="1205" w:type="dxa"/>
          </w:tcPr>
          <w:p w14:paraId="048AAAB4" w14:textId="77777777" w:rsidR="00575F97" w:rsidRPr="00D2239A" w:rsidRDefault="00575F97" w:rsidP="005544F2">
            <w:pPr>
              <w:spacing w:line="276" w:lineRule="auto"/>
              <w:rPr>
                <w:rFonts w:cs="Times New Roman"/>
                <w:sz w:val="18"/>
                <w:szCs w:val="18"/>
              </w:rPr>
            </w:pPr>
          </w:p>
        </w:tc>
      </w:tr>
      <w:tr w:rsidR="006A52FD" w:rsidRPr="00D2239A" w14:paraId="6DDCBE04" w14:textId="77777777" w:rsidTr="00E94DF2">
        <w:tc>
          <w:tcPr>
            <w:tcW w:w="317" w:type="dxa"/>
          </w:tcPr>
          <w:p w14:paraId="26352BEB" w14:textId="77777777" w:rsidR="00575F97" w:rsidRPr="00D2239A" w:rsidRDefault="00575F97" w:rsidP="005544F2">
            <w:pPr>
              <w:spacing w:line="276" w:lineRule="auto"/>
              <w:rPr>
                <w:rFonts w:cs="Times New Roman"/>
                <w:sz w:val="18"/>
                <w:szCs w:val="18"/>
              </w:rPr>
            </w:pPr>
          </w:p>
        </w:tc>
        <w:tc>
          <w:tcPr>
            <w:tcW w:w="4268" w:type="dxa"/>
          </w:tcPr>
          <w:p w14:paraId="21225C1A" w14:textId="656D1E6D" w:rsidR="00575F97" w:rsidRPr="00D2239A" w:rsidRDefault="00575F97" w:rsidP="005544F2">
            <w:pPr>
              <w:spacing w:line="276" w:lineRule="auto"/>
              <w:rPr>
                <w:rFonts w:cs="Times New Roman"/>
                <w:sz w:val="18"/>
                <w:szCs w:val="18"/>
              </w:rPr>
            </w:pPr>
            <w:r w:rsidRPr="00D2239A">
              <w:rPr>
                <w:rFonts w:cs="Times New Roman"/>
                <w:sz w:val="18"/>
                <w:szCs w:val="18"/>
              </w:rPr>
              <w:t>Probability of surviving one month at a given age</w:t>
            </w:r>
          </w:p>
        </w:tc>
        <w:tc>
          <w:tcPr>
            <w:tcW w:w="2160" w:type="dxa"/>
          </w:tcPr>
          <w:p w14:paraId="3E340885" w14:textId="77777777" w:rsidR="00575F97" w:rsidRPr="00D2239A" w:rsidRDefault="00000000" w:rsidP="005544F2">
            <w:pPr>
              <w:spacing w:line="276" w:lineRule="auto"/>
              <w:rPr>
                <w:rFonts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q</m:t>
                  </m:r>
                </m:e>
                <m:sub>
                  <m:r>
                    <w:rPr>
                      <w:rFonts w:ascii="Cambria Math" w:hAnsi="Cambria Math" w:cs="Times New Roman"/>
                      <w:sz w:val="18"/>
                      <w:szCs w:val="18"/>
                    </w:rPr>
                    <m:t>m</m:t>
                  </m:r>
                </m:sub>
              </m:sSub>
              <m:r>
                <w:rPr>
                  <w:rFonts w:ascii="Cambria Math" w:hAnsi="Cambria Math" w:cs="Times New Roman"/>
                  <w:sz w:val="18"/>
                  <w:szCs w:val="18"/>
                </w:rPr>
                <m:t>=</m:t>
              </m:r>
              <m:sSubSup>
                <m:sSubSupPr>
                  <m:ctrlPr>
                    <w:rPr>
                      <w:rFonts w:ascii="Cambria Math" w:hAnsi="Cambria Math" w:cs="Times New Roman"/>
                      <w:i/>
                      <w:sz w:val="18"/>
                      <w:szCs w:val="18"/>
                    </w:rPr>
                  </m:ctrlPr>
                </m:sSubSupPr>
                <m:e>
                  <m:r>
                    <w:rPr>
                      <w:rFonts w:ascii="Cambria Math" w:hAnsi="Cambria Math" w:cs="Times New Roman"/>
                      <w:sz w:val="18"/>
                      <w:szCs w:val="18"/>
                    </w:rPr>
                    <m:t>q</m:t>
                  </m:r>
                </m:e>
                <m:sub>
                  <m:r>
                    <w:rPr>
                      <w:rFonts w:ascii="Cambria Math" w:hAnsi="Cambria Math" w:cs="Times New Roman"/>
                      <w:sz w:val="18"/>
                      <w:szCs w:val="18"/>
                    </w:rPr>
                    <m:t>y</m:t>
                  </m:r>
                </m:sub>
                <m:sup>
                  <m:r>
                    <w:rPr>
                      <w:rFonts w:ascii="Cambria Math" w:hAnsi="Cambria Math" w:cs="Times New Roman"/>
                      <w:sz w:val="18"/>
                      <w:szCs w:val="18"/>
                    </w:rPr>
                    <m:t>1/12</m:t>
                  </m:r>
                </m:sup>
              </m:sSubSup>
            </m:oMath>
            <w:r w:rsidR="00575F97" w:rsidRPr="00D2239A">
              <w:rPr>
                <w:rFonts w:cs="Times New Roman"/>
                <w:sz w:val="18"/>
                <w:szCs w:val="18"/>
              </w:rPr>
              <w:t xml:space="preserve"> </w:t>
            </w:r>
          </w:p>
        </w:tc>
        <w:tc>
          <w:tcPr>
            <w:tcW w:w="1400" w:type="dxa"/>
          </w:tcPr>
          <w:p w14:paraId="6D379D32" w14:textId="4C63A5BA" w:rsidR="00575F97" w:rsidRPr="00D2239A" w:rsidRDefault="00575F97" w:rsidP="005544F2">
            <w:pPr>
              <w:spacing w:line="276" w:lineRule="auto"/>
              <w:jc w:val="right"/>
              <w:rPr>
                <w:rFonts w:cs="Times New Roman"/>
                <w:sz w:val="18"/>
                <w:szCs w:val="18"/>
              </w:rPr>
            </w:pPr>
            <w:r w:rsidRPr="00D2239A">
              <w:rPr>
                <w:rFonts w:cs="Times New Roman"/>
                <w:sz w:val="18"/>
                <w:szCs w:val="18"/>
              </w:rPr>
              <w:t>0.9998127</w:t>
            </w:r>
            <w:r w:rsidR="005546A6" w:rsidRPr="00D2239A">
              <w:rPr>
                <w:rFonts w:cs="Times New Roman"/>
                <w:sz w:val="18"/>
                <w:szCs w:val="18"/>
              </w:rPr>
              <w:t>59</w:t>
            </w:r>
          </w:p>
        </w:tc>
        <w:tc>
          <w:tcPr>
            <w:tcW w:w="1205" w:type="dxa"/>
          </w:tcPr>
          <w:p w14:paraId="099680ED" w14:textId="77777777" w:rsidR="00575F97" w:rsidRPr="00D2239A" w:rsidRDefault="00575F97" w:rsidP="005544F2">
            <w:pPr>
              <w:spacing w:line="276" w:lineRule="auto"/>
              <w:rPr>
                <w:rFonts w:cs="Times New Roman"/>
                <w:sz w:val="18"/>
                <w:szCs w:val="18"/>
              </w:rPr>
            </w:pPr>
          </w:p>
        </w:tc>
      </w:tr>
      <w:tr w:rsidR="006A52FD" w:rsidRPr="00D2239A" w14:paraId="14CC15CB" w14:textId="77777777" w:rsidTr="00E94DF2">
        <w:tc>
          <w:tcPr>
            <w:tcW w:w="317" w:type="dxa"/>
          </w:tcPr>
          <w:p w14:paraId="6F6A2902" w14:textId="77777777" w:rsidR="00575F97" w:rsidRPr="00D2239A" w:rsidRDefault="00575F97" w:rsidP="005544F2">
            <w:pPr>
              <w:spacing w:line="276" w:lineRule="auto"/>
              <w:rPr>
                <w:rFonts w:cs="Times New Roman"/>
                <w:sz w:val="18"/>
                <w:szCs w:val="18"/>
              </w:rPr>
            </w:pPr>
          </w:p>
        </w:tc>
        <w:tc>
          <w:tcPr>
            <w:tcW w:w="4268" w:type="dxa"/>
          </w:tcPr>
          <w:p w14:paraId="487288F4" w14:textId="482F01FC" w:rsidR="00575F97" w:rsidRPr="00D2239A" w:rsidRDefault="00575F97" w:rsidP="005544F2">
            <w:pPr>
              <w:spacing w:line="276" w:lineRule="auto"/>
              <w:rPr>
                <w:rFonts w:cs="Times New Roman"/>
                <w:sz w:val="18"/>
                <w:szCs w:val="18"/>
              </w:rPr>
            </w:pPr>
            <w:r w:rsidRPr="00D2239A">
              <w:rPr>
                <w:rFonts w:cs="Times New Roman"/>
                <w:sz w:val="18"/>
                <w:szCs w:val="18"/>
              </w:rPr>
              <w:t xml:space="preserve">Probability </w:t>
            </w:r>
            <w:r w:rsidR="00060B93" w:rsidRPr="00D2239A" w:rsidDel="00753CEB">
              <w:rPr>
                <w:rFonts w:cs="Times New Roman"/>
                <w:sz w:val="18"/>
                <w:szCs w:val="18"/>
              </w:rPr>
              <w:t>of dying in one month at a given age</w:t>
            </w:r>
          </w:p>
        </w:tc>
        <w:tc>
          <w:tcPr>
            <w:tcW w:w="2160" w:type="dxa"/>
          </w:tcPr>
          <w:p w14:paraId="6CFCC8E3" w14:textId="66C13164" w:rsidR="00575F97" w:rsidRPr="00D2239A" w:rsidRDefault="00060B93" w:rsidP="005544F2">
            <w:pPr>
              <w:spacing w:line="276" w:lineRule="auto"/>
              <w:rPr>
                <w:rFonts w:cs="Times New Roman"/>
                <w:sz w:val="18"/>
                <w:szCs w:val="18"/>
              </w:rPr>
            </w:pPr>
            <w:r w:rsidRPr="00D2239A">
              <w:rPr>
                <w:rFonts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p</m:t>
                  </m:r>
                </m:e>
                <m:sub>
                  <m:r>
                    <w:rPr>
                      <w:rFonts w:ascii="Cambria Math" w:hAnsi="Cambria Math" w:cs="Times New Roman"/>
                      <w:sz w:val="18"/>
                      <w:szCs w:val="18"/>
                    </w:rPr>
                    <m:t>m</m:t>
                  </m:r>
                </m:sub>
              </m:sSub>
              <m:r>
                <w:rPr>
                  <w:rFonts w:ascii="Cambria Math" w:hAnsi="Cambria Math" w:cs="Times New Roman"/>
                  <w:sz w:val="18"/>
                  <w:szCs w:val="18"/>
                </w:rPr>
                <m:t>=1-</m:t>
              </m:r>
              <m:sSub>
                <m:sSubPr>
                  <m:ctrlPr>
                    <w:rPr>
                      <w:rFonts w:ascii="Cambria Math" w:hAnsi="Cambria Math" w:cs="Times New Roman"/>
                      <w:i/>
                      <w:sz w:val="18"/>
                      <w:szCs w:val="18"/>
                    </w:rPr>
                  </m:ctrlPr>
                </m:sSubPr>
                <m:e>
                  <m:r>
                    <w:rPr>
                      <w:rFonts w:ascii="Cambria Math" w:hAnsi="Cambria Math" w:cs="Times New Roman"/>
                      <w:sz w:val="18"/>
                      <w:szCs w:val="18"/>
                    </w:rPr>
                    <m:t>q</m:t>
                  </m:r>
                </m:e>
                <m:sub>
                  <m:r>
                    <w:rPr>
                      <w:rFonts w:ascii="Cambria Math" w:hAnsi="Cambria Math" w:cs="Times New Roman"/>
                      <w:sz w:val="18"/>
                      <w:szCs w:val="18"/>
                    </w:rPr>
                    <m:t>m</m:t>
                  </m:r>
                </m:sub>
              </m:sSub>
            </m:oMath>
            <w:r w:rsidR="00F07CB1" w:rsidRPr="00D2239A">
              <w:rPr>
                <w:rFonts w:cs="Times New Roman"/>
                <w:sz w:val="18"/>
                <w:szCs w:val="18"/>
              </w:rPr>
              <w:t xml:space="preserve"> </w:t>
            </w:r>
          </w:p>
        </w:tc>
        <w:tc>
          <w:tcPr>
            <w:tcW w:w="1400" w:type="dxa"/>
          </w:tcPr>
          <w:p w14:paraId="38B39AE9" w14:textId="2BE6BEBF" w:rsidR="00575F97" w:rsidRPr="00D2239A" w:rsidRDefault="00F07CB1" w:rsidP="005544F2">
            <w:pPr>
              <w:spacing w:line="276" w:lineRule="auto"/>
              <w:jc w:val="right"/>
              <w:rPr>
                <w:rFonts w:cs="Times New Roman"/>
                <w:sz w:val="18"/>
                <w:szCs w:val="18"/>
              </w:rPr>
            </w:pPr>
            <w:r w:rsidRPr="00D2239A">
              <w:rPr>
                <w:rFonts w:cs="Times New Roman"/>
                <w:sz w:val="18"/>
                <w:szCs w:val="18"/>
              </w:rPr>
              <w:t>0.00018724</w:t>
            </w:r>
            <w:r w:rsidR="005546A6" w:rsidRPr="00D2239A">
              <w:rPr>
                <w:rFonts w:cs="Times New Roman"/>
                <w:sz w:val="18"/>
                <w:szCs w:val="18"/>
              </w:rPr>
              <w:t>1</w:t>
            </w:r>
          </w:p>
        </w:tc>
        <w:tc>
          <w:tcPr>
            <w:tcW w:w="1205" w:type="dxa"/>
          </w:tcPr>
          <w:p w14:paraId="5D4AAC97" w14:textId="77777777" w:rsidR="00575F97" w:rsidRPr="00D2239A" w:rsidRDefault="00575F97" w:rsidP="005544F2">
            <w:pPr>
              <w:spacing w:line="276" w:lineRule="auto"/>
              <w:rPr>
                <w:rFonts w:cs="Times New Roman"/>
                <w:sz w:val="18"/>
                <w:szCs w:val="18"/>
              </w:rPr>
            </w:pPr>
          </w:p>
        </w:tc>
      </w:tr>
      <w:tr w:rsidR="006A52FD" w:rsidRPr="00D2239A" w14:paraId="241C85F8" w14:textId="77777777" w:rsidTr="00E94DF2">
        <w:tc>
          <w:tcPr>
            <w:tcW w:w="317" w:type="dxa"/>
          </w:tcPr>
          <w:p w14:paraId="57C741D5" w14:textId="77777777" w:rsidR="00575F97" w:rsidRPr="00D2239A" w:rsidRDefault="00575F97" w:rsidP="005544F2">
            <w:pPr>
              <w:spacing w:line="276" w:lineRule="auto"/>
              <w:rPr>
                <w:rFonts w:cs="Times New Roman"/>
                <w:sz w:val="18"/>
                <w:szCs w:val="18"/>
              </w:rPr>
            </w:pPr>
          </w:p>
        </w:tc>
        <w:tc>
          <w:tcPr>
            <w:tcW w:w="4268" w:type="dxa"/>
          </w:tcPr>
          <w:p w14:paraId="746CC6AA" w14:textId="56B4239E" w:rsidR="00575F97" w:rsidRPr="00D2239A" w:rsidRDefault="00575F97" w:rsidP="005544F2">
            <w:pPr>
              <w:spacing w:line="276" w:lineRule="auto"/>
              <w:rPr>
                <w:rFonts w:cs="Times New Roman"/>
                <w:sz w:val="18"/>
                <w:szCs w:val="18"/>
              </w:rPr>
            </w:pPr>
            <w:r w:rsidRPr="00D2239A">
              <w:rPr>
                <w:rFonts w:cs="Times New Roman"/>
                <w:sz w:val="18"/>
                <w:szCs w:val="18"/>
              </w:rPr>
              <w:t>Probability of all-cause death in the general population INCLUDING the opioid population</w:t>
            </w:r>
          </w:p>
        </w:tc>
        <w:tc>
          <w:tcPr>
            <w:tcW w:w="2160" w:type="dxa"/>
          </w:tcPr>
          <w:p w14:paraId="0C0E5143" w14:textId="77777777" w:rsidR="00575F97" w:rsidRPr="00D2239A" w:rsidRDefault="00000000" w:rsidP="005544F2">
            <w:pPr>
              <w:spacing w:line="276" w:lineRule="auto"/>
              <w:rPr>
                <w:rFonts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P</m:t>
                  </m:r>
                </m:e>
                <m:sub>
                  <m:r>
                    <w:rPr>
                      <w:rFonts w:ascii="Cambria Math" w:hAnsi="Cambria Math" w:cs="Times New Roman"/>
                      <w:sz w:val="18"/>
                      <w:szCs w:val="18"/>
                    </w:rPr>
                    <m:t>G</m:t>
                  </m:r>
                </m:sub>
              </m:sSub>
              <m:d>
                <m:dPr>
                  <m:ctrlPr>
                    <w:rPr>
                      <w:rFonts w:ascii="Cambria Math" w:hAnsi="Cambria Math" w:cs="Times New Roman"/>
                      <w:i/>
                      <w:sz w:val="18"/>
                      <w:szCs w:val="18"/>
                    </w:rPr>
                  </m:ctrlPr>
                </m:dPr>
                <m:e>
                  <m:r>
                    <w:rPr>
                      <w:rFonts w:ascii="Cambria Math" w:hAnsi="Cambria Math" w:cs="Times New Roman"/>
                      <w:sz w:val="18"/>
                      <w:szCs w:val="18"/>
                    </w:rPr>
                    <m:t>ABC</m:t>
                  </m:r>
                </m:e>
              </m:d>
              <m:r>
                <w:rPr>
                  <w:rFonts w:ascii="Cambria Math" w:hAnsi="Cambria Math" w:cs="Times New Roman"/>
                  <w:sz w:val="18"/>
                  <w:szCs w:val="18"/>
                </w:rPr>
                <m:t>=</m:t>
              </m:r>
            </m:oMath>
            <w:r w:rsidR="00575F97" w:rsidRPr="00D2239A">
              <w:rPr>
                <w:rFonts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p</m:t>
                  </m:r>
                </m:e>
                <m:sub>
                  <m:r>
                    <w:rPr>
                      <w:rFonts w:ascii="Cambria Math" w:hAnsi="Cambria Math" w:cs="Times New Roman"/>
                      <w:sz w:val="18"/>
                      <w:szCs w:val="18"/>
                    </w:rPr>
                    <m:t>m</m:t>
                  </m:r>
                </m:sub>
              </m:sSub>
            </m:oMath>
          </w:p>
        </w:tc>
        <w:tc>
          <w:tcPr>
            <w:tcW w:w="1400" w:type="dxa"/>
          </w:tcPr>
          <w:p w14:paraId="1C50213A" w14:textId="121C53DD" w:rsidR="00575F97" w:rsidRPr="00D2239A" w:rsidRDefault="00FE1E29" w:rsidP="005544F2">
            <w:pPr>
              <w:spacing w:line="276" w:lineRule="auto"/>
              <w:jc w:val="right"/>
              <w:rPr>
                <w:rFonts w:cs="Times New Roman"/>
                <w:sz w:val="18"/>
                <w:szCs w:val="18"/>
              </w:rPr>
            </w:pPr>
            <w:r w:rsidRPr="00D2239A">
              <w:rPr>
                <w:rFonts w:cs="Times New Roman"/>
                <w:sz w:val="18"/>
                <w:szCs w:val="18"/>
              </w:rPr>
              <w:t>0.0001872</w:t>
            </w:r>
            <w:r w:rsidR="005546A6" w:rsidRPr="00D2239A">
              <w:rPr>
                <w:rFonts w:cs="Times New Roman"/>
                <w:sz w:val="18"/>
                <w:szCs w:val="18"/>
              </w:rPr>
              <w:t>41</w:t>
            </w:r>
          </w:p>
        </w:tc>
        <w:tc>
          <w:tcPr>
            <w:tcW w:w="1205" w:type="dxa"/>
          </w:tcPr>
          <w:p w14:paraId="49177627" w14:textId="77777777" w:rsidR="00575F97" w:rsidRPr="00D2239A" w:rsidRDefault="00575F97" w:rsidP="005544F2">
            <w:pPr>
              <w:spacing w:line="276" w:lineRule="auto"/>
              <w:rPr>
                <w:rFonts w:cs="Times New Roman"/>
                <w:sz w:val="18"/>
                <w:szCs w:val="18"/>
              </w:rPr>
            </w:pPr>
          </w:p>
        </w:tc>
      </w:tr>
      <w:tr w:rsidR="006A52FD" w:rsidRPr="00D2239A" w14:paraId="31AA236F" w14:textId="77777777" w:rsidTr="00E94DF2">
        <w:tc>
          <w:tcPr>
            <w:tcW w:w="317" w:type="dxa"/>
          </w:tcPr>
          <w:p w14:paraId="27EE4E86" w14:textId="48A7FFC6" w:rsidR="00575F97" w:rsidRPr="00D2239A" w:rsidRDefault="00575F97" w:rsidP="005544F2">
            <w:pPr>
              <w:spacing w:line="276" w:lineRule="auto"/>
              <w:rPr>
                <w:rFonts w:cs="Times New Roman"/>
                <w:sz w:val="18"/>
                <w:szCs w:val="18"/>
              </w:rPr>
            </w:pPr>
          </w:p>
        </w:tc>
        <w:tc>
          <w:tcPr>
            <w:tcW w:w="4268" w:type="dxa"/>
          </w:tcPr>
          <w:p w14:paraId="754C3FBA" w14:textId="123575A1" w:rsidR="00575F97" w:rsidRPr="00D2239A" w:rsidRDefault="00575F97" w:rsidP="005544F2">
            <w:pPr>
              <w:spacing w:line="276" w:lineRule="auto"/>
              <w:rPr>
                <w:rFonts w:cs="Times New Roman"/>
                <w:sz w:val="18"/>
                <w:szCs w:val="18"/>
              </w:rPr>
            </w:pPr>
            <w:r w:rsidRPr="00D2239A">
              <w:rPr>
                <w:rFonts w:cs="Times New Roman"/>
                <w:sz w:val="18"/>
                <w:szCs w:val="18"/>
              </w:rPr>
              <w:t>Rate of all-cause death in the general population INCLUDING the opioid population</w:t>
            </w:r>
          </w:p>
        </w:tc>
        <w:tc>
          <w:tcPr>
            <w:tcW w:w="2160" w:type="dxa"/>
          </w:tcPr>
          <w:p w14:paraId="0935AB19" w14:textId="77777777" w:rsidR="00575F97" w:rsidRPr="00D2239A" w:rsidRDefault="00000000" w:rsidP="005544F2">
            <w:pPr>
              <w:spacing w:line="276" w:lineRule="auto"/>
              <w:rPr>
                <w:rFonts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r</m:t>
                  </m:r>
                </m:e>
                <m:sub>
                  <m:r>
                    <w:rPr>
                      <w:rFonts w:ascii="Cambria Math" w:hAnsi="Cambria Math" w:cs="Times New Roman"/>
                      <w:sz w:val="18"/>
                      <w:szCs w:val="18"/>
                    </w:rPr>
                    <m:t>G</m:t>
                  </m:r>
                </m:sub>
              </m:sSub>
              <m:d>
                <m:dPr>
                  <m:ctrlPr>
                    <w:rPr>
                      <w:rFonts w:ascii="Cambria Math" w:hAnsi="Cambria Math" w:cs="Times New Roman"/>
                      <w:i/>
                      <w:sz w:val="18"/>
                      <w:szCs w:val="18"/>
                    </w:rPr>
                  </m:ctrlPr>
                </m:dPr>
                <m:e>
                  <m:r>
                    <w:rPr>
                      <w:rFonts w:ascii="Cambria Math" w:hAnsi="Cambria Math" w:cs="Times New Roman"/>
                      <w:sz w:val="18"/>
                      <w:szCs w:val="18"/>
                    </w:rPr>
                    <m:t>ABC</m:t>
                  </m:r>
                </m:e>
              </m:d>
              <m:r>
                <w:rPr>
                  <w:rFonts w:ascii="Cambria Math" w:hAnsi="Cambria Math" w:cs="Times New Roman"/>
                  <w:sz w:val="18"/>
                  <w:szCs w:val="18"/>
                </w:rPr>
                <m:t>=-</m:t>
              </m:r>
              <m:func>
                <m:funcPr>
                  <m:ctrlPr>
                    <w:rPr>
                      <w:rFonts w:ascii="Cambria Math" w:hAnsi="Cambria Math" w:cs="Times New Roman"/>
                      <w:i/>
                      <w:sz w:val="18"/>
                      <w:szCs w:val="18"/>
                    </w:rPr>
                  </m:ctrlPr>
                </m:funcPr>
                <m:fName>
                  <m:r>
                    <m:rPr>
                      <m:sty m:val="p"/>
                    </m:rPr>
                    <w:rPr>
                      <w:rFonts w:ascii="Cambria Math" w:hAnsi="Cambria Math" w:cs="Times New Roman"/>
                      <w:sz w:val="18"/>
                      <w:szCs w:val="18"/>
                    </w:rPr>
                    <m:t>log</m:t>
                  </m:r>
                </m:fName>
                <m:e>
                  <m:d>
                    <m:dPr>
                      <m:ctrlPr>
                        <w:rPr>
                          <w:rFonts w:ascii="Cambria Math" w:hAnsi="Cambria Math" w:cs="Times New Roman"/>
                          <w:i/>
                          <w:sz w:val="18"/>
                          <w:szCs w:val="18"/>
                        </w:rPr>
                      </m:ctrlPr>
                    </m:dPr>
                    <m:e>
                      <m:r>
                        <w:rPr>
                          <w:rFonts w:ascii="Cambria Math" w:hAnsi="Cambria Math" w:cs="Times New Roman"/>
                          <w:sz w:val="18"/>
                          <w:szCs w:val="18"/>
                        </w:rPr>
                        <m:t>1-</m:t>
                      </m:r>
                      <m:sSub>
                        <m:sSubPr>
                          <m:ctrlPr>
                            <w:rPr>
                              <w:rFonts w:ascii="Cambria Math" w:hAnsi="Cambria Math" w:cs="Times New Roman"/>
                              <w:i/>
                              <w:sz w:val="18"/>
                              <w:szCs w:val="18"/>
                            </w:rPr>
                          </m:ctrlPr>
                        </m:sSubPr>
                        <m:e>
                          <m:r>
                            <w:rPr>
                              <w:rFonts w:ascii="Cambria Math" w:hAnsi="Cambria Math" w:cs="Times New Roman"/>
                              <w:sz w:val="18"/>
                              <w:szCs w:val="18"/>
                            </w:rPr>
                            <m:t>P</m:t>
                          </m:r>
                        </m:e>
                        <m:sub>
                          <m:r>
                            <w:rPr>
                              <w:rFonts w:ascii="Cambria Math" w:hAnsi="Cambria Math" w:cs="Times New Roman"/>
                              <w:sz w:val="18"/>
                              <w:szCs w:val="18"/>
                            </w:rPr>
                            <m:t>G</m:t>
                          </m:r>
                        </m:sub>
                      </m:sSub>
                      <m:d>
                        <m:dPr>
                          <m:ctrlPr>
                            <w:rPr>
                              <w:rFonts w:ascii="Cambria Math" w:hAnsi="Cambria Math" w:cs="Times New Roman"/>
                              <w:i/>
                              <w:sz w:val="18"/>
                              <w:szCs w:val="18"/>
                            </w:rPr>
                          </m:ctrlPr>
                        </m:dPr>
                        <m:e>
                          <m:r>
                            <w:rPr>
                              <w:rFonts w:ascii="Cambria Math" w:hAnsi="Cambria Math" w:cs="Times New Roman"/>
                              <w:sz w:val="18"/>
                              <w:szCs w:val="18"/>
                            </w:rPr>
                            <m:t>ABC</m:t>
                          </m:r>
                        </m:e>
                      </m:d>
                    </m:e>
                  </m:d>
                </m:e>
              </m:func>
            </m:oMath>
            <w:r w:rsidR="00575F97" w:rsidRPr="00D2239A">
              <w:rPr>
                <w:rFonts w:cs="Times New Roman"/>
                <w:sz w:val="18"/>
                <w:szCs w:val="18"/>
              </w:rPr>
              <w:t xml:space="preserve"> </w:t>
            </w:r>
          </w:p>
        </w:tc>
        <w:tc>
          <w:tcPr>
            <w:tcW w:w="1400" w:type="dxa"/>
          </w:tcPr>
          <w:p w14:paraId="6AF1A08B" w14:textId="662D50B3" w:rsidR="00575F97" w:rsidRPr="00D2239A" w:rsidRDefault="00575F97" w:rsidP="005544F2">
            <w:pPr>
              <w:spacing w:line="276" w:lineRule="auto"/>
              <w:jc w:val="right"/>
              <w:rPr>
                <w:rFonts w:cs="Times New Roman"/>
                <w:sz w:val="18"/>
                <w:szCs w:val="18"/>
              </w:rPr>
            </w:pPr>
            <w:r w:rsidRPr="00D2239A">
              <w:rPr>
                <w:rFonts w:cs="Times New Roman"/>
                <w:sz w:val="18"/>
                <w:szCs w:val="18"/>
              </w:rPr>
              <w:t>0.0001872</w:t>
            </w:r>
            <w:r w:rsidR="005546A6" w:rsidRPr="00D2239A">
              <w:rPr>
                <w:rFonts w:cs="Times New Roman"/>
                <w:sz w:val="18"/>
                <w:szCs w:val="18"/>
              </w:rPr>
              <w:t>59</w:t>
            </w:r>
          </w:p>
        </w:tc>
        <w:tc>
          <w:tcPr>
            <w:tcW w:w="1205" w:type="dxa"/>
          </w:tcPr>
          <w:p w14:paraId="52A8D2C1" w14:textId="77777777" w:rsidR="00575F97" w:rsidRPr="00D2239A" w:rsidRDefault="00575F97" w:rsidP="005544F2">
            <w:pPr>
              <w:spacing w:line="276" w:lineRule="auto"/>
              <w:rPr>
                <w:rFonts w:cs="Times New Roman"/>
                <w:sz w:val="18"/>
                <w:szCs w:val="18"/>
              </w:rPr>
            </w:pPr>
          </w:p>
        </w:tc>
      </w:tr>
      <w:tr w:rsidR="006A52FD" w:rsidRPr="00D2239A" w14:paraId="0F37DD93" w14:textId="77777777" w:rsidTr="00E94DF2">
        <w:tc>
          <w:tcPr>
            <w:tcW w:w="317" w:type="dxa"/>
          </w:tcPr>
          <w:p w14:paraId="50510B36" w14:textId="700C2CF6" w:rsidR="00575F97" w:rsidRPr="00D2239A" w:rsidRDefault="00575F97" w:rsidP="005544F2">
            <w:pPr>
              <w:spacing w:line="276" w:lineRule="auto"/>
              <w:rPr>
                <w:rFonts w:cs="Times New Roman"/>
                <w:sz w:val="18"/>
                <w:szCs w:val="18"/>
              </w:rPr>
            </w:pPr>
            <w:r w:rsidRPr="00D2239A">
              <w:rPr>
                <w:rFonts w:cs="Times New Roman"/>
                <w:sz w:val="18"/>
                <w:szCs w:val="18"/>
              </w:rPr>
              <w:t>2</w:t>
            </w:r>
          </w:p>
        </w:tc>
        <w:tc>
          <w:tcPr>
            <w:tcW w:w="4268" w:type="dxa"/>
          </w:tcPr>
          <w:p w14:paraId="671E33B0" w14:textId="7C472485" w:rsidR="00575F97" w:rsidRPr="00D2239A" w:rsidRDefault="00575F97" w:rsidP="005544F2">
            <w:pPr>
              <w:spacing w:line="276" w:lineRule="auto"/>
              <w:rPr>
                <w:rFonts w:cs="Times New Roman"/>
                <w:sz w:val="18"/>
                <w:szCs w:val="18"/>
              </w:rPr>
            </w:pPr>
            <w:r w:rsidRPr="00D2239A">
              <w:rPr>
                <w:rFonts w:cs="Times New Roman"/>
                <w:sz w:val="18"/>
                <w:szCs w:val="18"/>
              </w:rPr>
              <w:t>Standardized mortality ratio of all-cause death in the opioid population versus the general population INCLUDING the opioid population</w:t>
            </w:r>
          </w:p>
        </w:tc>
        <w:tc>
          <w:tcPr>
            <w:tcW w:w="2160" w:type="dxa"/>
          </w:tcPr>
          <w:p w14:paraId="0CB1C307" w14:textId="77777777" w:rsidR="00575F97" w:rsidRPr="00D2239A" w:rsidRDefault="00575F97" w:rsidP="005544F2">
            <w:pPr>
              <w:spacing w:line="276" w:lineRule="auto"/>
              <w:rPr>
                <w:rFonts w:cs="Times New Roman"/>
                <w:sz w:val="18"/>
                <w:szCs w:val="18"/>
              </w:rPr>
            </w:pPr>
            <m:oMath>
              <m:r>
                <w:rPr>
                  <w:rFonts w:ascii="Cambria Math" w:hAnsi="Cambria Math" w:cs="Times New Roman"/>
                  <w:sz w:val="18"/>
                  <w:szCs w:val="18"/>
                </w:rPr>
                <m:t>SMR</m:t>
              </m:r>
            </m:oMath>
            <w:r w:rsidRPr="00D2239A">
              <w:rPr>
                <w:rFonts w:cs="Times New Roman"/>
                <w:sz w:val="18"/>
                <w:szCs w:val="18"/>
              </w:rPr>
              <w:t xml:space="preserve"> </w:t>
            </w:r>
          </w:p>
        </w:tc>
        <w:tc>
          <w:tcPr>
            <w:tcW w:w="1400" w:type="dxa"/>
          </w:tcPr>
          <w:p w14:paraId="1A93A016" w14:textId="77777777" w:rsidR="00575F97" w:rsidRPr="00D2239A" w:rsidRDefault="00575F97" w:rsidP="005544F2">
            <w:pPr>
              <w:spacing w:line="276" w:lineRule="auto"/>
              <w:jc w:val="right"/>
              <w:rPr>
                <w:rFonts w:cs="Times New Roman"/>
                <w:sz w:val="18"/>
                <w:szCs w:val="18"/>
              </w:rPr>
            </w:pPr>
            <w:r w:rsidRPr="00D2239A">
              <w:rPr>
                <w:rFonts w:cs="Times New Roman"/>
                <w:sz w:val="18"/>
                <w:szCs w:val="18"/>
              </w:rPr>
              <w:t>5.02</w:t>
            </w:r>
          </w:p>
        </w:tc>
        <w:tc>
          <w:tcPr>
            <w:tcW w:w="1205" w:type="dxa"/>
          </w:tcPr>
          <w:p w14:paraId="2C713CD7" w14:textId="503BE166" w:rsidR="00575F97" w:rsidRPr="00D2239A" w:rsidRDefault="00575F97" w:rsidP="005544F2">
            <w:pPr>
              <w:spacing w:line="276" w:lineRule="auto"/>
              <w:rPr>
                <w:rFonts w:cs="Times New Roman"/>
                <w:sz w:val="18"/>
                <w:szCs w:val="18"/>
              </w:rPr>
            </w:pPr>
            <w:r w:rsidRPr="00D2239A">
              <w:rPr>
                <w:rFonts w:cs="Times New Roman"/>
                <w:sz w:val="18"/>
                <w:szCs w:val="18"/>
              </w:rPr>
              <w:t>Larney et al. (2020)</w:t>
            </w:r>
            <w:r w:rsidR="00D2313B" w:rsidRPr="00D2239A">
              <w:rPr>
                <w:rFonts w:cs="Times New Roman"/>
                <w:sz w:val="18"/>
                <w:szCs w:val="18"/>
              </w:rPr>
              <w:fldChar w:fldCharType="begin"/>
            </w:r>
            <w:r w:rsidR="00200014" w:rsidRPr="00D2239A">
              <w:rPr>
                <w:rFonts w:cs="Times New Roman"/>
                <w:sz w:val="18"/>
                <w:szCs w:val="18"/>
              </w:rPr>
              <w:instrText xml:space="preserve"> ADDIN EN.CITE &lt;EndNote&gt;&lt;Cite&gt;&lt;Author&gt;Larney&lt;/Author&gt;&lt;Year&gt;2020&lt;/Year&gt;&lt;RecNum&gt;20&lt;/RecNum&gt;&lt;DisplayText&gt;&lt;style face="superscript"&gt;32&lt;/style&gt;&lt;/DisplayText&gt;&lt;record&gt;&lt;rec-number&gt;20&lt;/rec-number&gt;&lt;foreign-keys&gt;&lt;key app="EN" db-id="xxft2ztdi9wf0qee0zovvtvrpefvetvvad02" timestamp="1691429504" guid="cc387aa5-9f2d-4c1a-9401-1af995357f1b"&gt;20&lt;/key&gt;&lt;/foreign-keys&gt;&lt;ref-type name="Journal Article"&gt;17&lt;/ref-type&gt;&lt;contributors&gt;&lt;authors&gt;&lt;author&gt;Larney, Sarah&lt;/author&gt;&lt;author&gt;Tran, Lucy Thi&lt;/author&gt;&lt;author&gt;Leung, Janni&lt;/author&gt;&lt;author&gt;Santo, Thomas&lt;/author&gt;&lt;author&gt;Santomauro, Damian&lt;/author&gt;&lt;author&gt;Hickman, Matt&lt;/author&gt;&lt;author&gt;Peacock, Amy&lt;/author&gt;&lt;author&gt;Stockings, Emily&lt;/author&gt;&lt;author&gt;Degenhardt, Louisa&lt;/author&gt;&lt;/authors&gt;&lt;/contributors&gt;&lt;titles&gt;&lt;title&gt;All-cause and cause-specific mortality among people using extramedical opioids: a systematic review and meta-analysis&lt;/title&gt;&lt;secondary-title&gt;JAMA psychiatry&lt;/secondary-title&gt;&lt;/titles&gt;&lt;periodical&gt;&lt;full-title&gt;JAMA psychiatry&lt;/full-title&gt;&lt;/periodical&gt;&lt;pages&gt;493-502&lt;/pages&gt;&lt;volume&gt;77&lt;/volume&gt;&lt;number&gt;5&lt;/number&gt;&lt;dates&gt;&lt;year&gt;2020&lt;/year&gt;&lt;/dates&gt;&lt;isbn&gt;2168-622X&lt;/isbn&gt;&lt;urls&gt;&lt;/urls&gt;&lt;/record&gt;&lt;/Cite&gt;&lt;/EndNote&gt;</w:instrText>
            </w:r>
            <w:r w:rsidR="00D2313B" w:rsidRPr="00D2239A">
              <w:rPr>
                <w:rFonts w:cs="Times New Roman"/>
                <w:sz w:val="18"/>
                <w:szCs w:val="18"/>
              </w:rPr>
              <w:fldChar w:fldCharType="separate"/>
            </w:r>
            <w:r w:rsidR="00200014" w:rsidRPr="00D2239A">
              <w:rPr>
                <w:rFonts w:cs="Times New Roman"/>
                <w:noProof/>
                <w:sz w:val="18"/>
                <w:szCs w:val="18"/>
                <w:vertAlign w:val="superscript"/>
              </w:rPr>
              <w:t>32</w:t>
            </w:r>
            <w:r w:rsidR="00D2313B" w:rsidRPr="00D2239A">
              <w:rPr>
                <w:rFonts w:cs="Times New Roman"/>
                <w:sz w:val="18"/>
                <w:szCs w:val="18"/>
              </w:rPr>
              <w:fldChar w:fldCharType="end"/>
            </w:r>
          </w:p>
        </w:tc>
      </w:tr>
      <w:tr w:rsidR="006A52FD" w:rsidRPr="00D2239A" w14:paraId="5D8ED7A9" w14:textId="77777777" w:rsidTr="00E94DF2">
        <w:tc>
          <w:tcPr>
            <w:tcW w:w="317" w:type="dxa"/>
          </w:tcPr>
          <w:p w14:paraId="2671937D" w14:textId="77777777" w:rsidR="00575F97" w:rsidRPr="00D2239A" w:rsidRDefault="00575F97" w:rsidP="005544F2">
            <w:pPr>
              <w:spacing w:line="276" w:lineRule="auto"/>
              <w:rPr>
                <w:rFonts w:cs="Times New Roman"/>
                <w:sz w:val="18"/>
                <w:szCs w:val="18"/>
              </w:rPr>
            </w:pPr>
          </w:p>
        </w:tc>
        <w:tc>
          <w:tcPr>
            <w:tcW w:w="4268" w:type="dxa"/>
          </w:tcPr>
          <w:p w14:paraId="6D3BFF3B" w14:textId="5027EB10" w:rsidR="00575F97" w:rsidRPr="00D2239A" w:rsidRDefault="00575F97" w:rsidP="005544F2">
            <w:pPr>
              <w:spacing w:line="276" w:lineRule="auto"/>
              <w:rPr>
                <w:rFonts w:cs="Times New Roman"/>
                <w:sz w:val="18"/>
                <w:szCs w:val="18"/>
              </w:rPr>
            </w:pPr>
            <w:r w:rsidRPr="00D2239A">
              <w:rPr>
                <w:rFonts w:cs="Times New Roman"/>
                <w:sz w:val="18"/>
                <w:szCs w:val="18"/>
              </w:rPr>
              <w:t>Rate of all-cause death in the opioid population</w:t>
            </w:r>
          </w:p>
        </w:tc>
        <w:tc>
          <w:tcPr>
            <w:tcW w:w="2160" w:type="dxa"/>
          </w:tcPr>
          <w:p w14:paraId="31BB686E" w14:textId="77777777" w:rsidR="00575F97" w:rsidRPr="00D2239A" w:rsidRDefault="00000000" w:rsidP="005544F2">
            <w:pPr>
              <w:spacing w:line="276" w:lineRule="auto"/>
              <w:rPr>
                <w:rFonts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r</m:t>
                  </m:r>
                </m:e>
                <m:sub>
                  <m:r>
                    <w:rPr>
                      <w:rFonts w:ascii="Cambria Math" w:hAnsi="Cambria Math" w:cs="Times New Roman"/>
                      <w:sz w:val="18"/>
                      <w:szCs w:val="18"/>
                    </w:rPr>
                    <m:t>O</m:t>
                  </m:r>
                </m:sub>
              </m:sSub>
              <m:d>
                <m:dPr>
                  <m:ctrlPr>
                    <w:rPr>
                      <w:rFonts w:ascii="Cambria Math" w:hAnsi="Cambria Math" w:cs="Times New Roman"/>
                      <w:i/>
                      <w:sz w:val="18"/>
                      <w:szCs w:val="18"/>
                    </w:rPr>
                  </m:ctrlPr>
                </m:dPr>
                <m:e>
                  <m:r>
                    <w:rPr>
                      <w:rFonts w:ascii="Cambria Math" w:hAnsi="Cambria Math" w:cs="Times New Roman"/>
                      <w:sz w:val="18"/>
                      <w:szCs w:val="18"/>
                    </w:rPr>
                    <m:t>ABC</m:t>
                  </m:r>
                </m:e>
              </m:d>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r</m:t>
                  </m:r>
                </m:e>
                <m:sub>
                  <m:r>
                    <w:rPr>
                      <w:rFonts w:ascii="Cambria Math" w:hAnsi="Cambria Math" w:cs="Times New Roman"/>
                      <w:sz w:val="18"/>
                      <w:szCs w:val="18"/>
                    </w:rPr>
                    <m:t>G</m:t>
                  </m:r>
                </m:sub>
              </m:sSub>
              <m:d>
                <m:dPr>
                  <m:ctrlPr>
                    <w:rPr>
                      <w:rFonts w:ascii="Cambria Math" w:hAnsi="Cambria Math" w:cs="Times New Roman"/>
                      <w:i/>
                      <w:sz w:val="18"/>
                      <w:szCs w:val="18"/>
                    </w:rPr>
                  </m:ctrlPr>
                </m:dPr>
                <m:e>
                  <m:r>
                    <w:rPr>
                      <w:rFonts w:ascii="Cambria Math" w:hAnsi="Cambria Math" w:cs="Times New Roman"/>
                      <w:sz w:val="18"/>
                      <w:szCs w:val="18"/>
                    </w:rPr>
                    <m:t>ABC</m:t>
                  </m:r>
                </m:e>
              </m:d>
              <m:r>
                <w:rPr>
                  <w:rFonts w:ascii="Cambria Math" w:hAnsi="Cambria Math" w:cs="Times New Roman"/>
                  <w:sz w:val="18"/>
                  <w:szCs w:val="18"/>
                </w:rPr>
                <m:t>×SMR</m:t>
              </m:r>
            </m:oMath>
            <w:r w:rsidR="00575F97" w:rsidRPr="00D2239A">
              <w:rPr>
                <w:rFonts w:cs="Times New Roman"/>
                <w:sz w:val="18"/>
                <w:szCs w:val="18"/>
              </w:rPr>
              <w:t xml:space="preserve"> </w:t>
            </w:r>
          </w:p>
        </w:tc>
        <w:tc>
          <w:tcPr>
            <w:tcW w:w="1400" w:type="dxa"/>
          </w:tcPr>
          <w:p w14:paraId="7DA2104F" w14:textId="0EAC70BE" w:rsidR="00575F97" w:rsidRPr="00D2239A" w:rsidRDefault="00672A08" w:rsidP="005544F2">
            <w:pPr>
              <w:spacing w:line="276" w:lineRule="auto"/>
              <w:jc w:val="right"/>
              <w:rPr>
                <w:rFonts w:cs="Times New Roman"/>
                <w:sz w:val="18"/>
                <w:szCs w:val="18"/>
              </w:rPr>
            </w:pPr>
            <w:r w:rsidRPr="00D2239A">
              <w:rPr>
                <w:rFonts w:cs="Times New Roman"/>
                <w:sz w:val="18"/>
                <w:szCs w:val="18"/>
              </w:rPr>
              <w:t>0.000940038</w:t>
            </w:r>
          </w:p>
        </w:tc>
        <w:tc>
          <w:tcPr>
            <w:tcW w:w="1205" w:type="dxa"/>
          </w:tcPr>
          <w:p w14:paraId="4D58AA6C" w14:textId="77777777" w:rsidR="00575F97" w:rsidRPr="00D2239A" w:rsidRDefault="00575F97" w:rsidP="005544F2">
            <w:pPr>
              <w:spacing w:line="276" w:lineRule="auto"/>
              <w:rPr>
                <w:rFonts w:cs="Times New Roman"/>
                <w:sz w:val="18"/>
                <w:szCs w:val="18"/>
              </w:rPr>
            </w:pPr>
          </w:p>
        </w:tc>
      </w:tr>
      <w:tr w:rsidR="006A52FD" w:rsidRPr="00D2239A" w14:paraId="34B5D1E1" w14:textId="77777777" w:rsidTr="00E94DF2">
        <w:tc>
          <w:tcPr>
            <w:tcW w:w="317" w:type="dxa"/>
          </w:tcPr>
          <w:p w14:paraId="59C8C749" w14:textId="0309D10F" w:rsidR="00575F97" w:rsidRPr="00D2239A" w:rsidRDefault="00575F97" w:rsidP="005544F2">
            <w:pPr>
              <w:spacing w:line="276" w:lineRule="auto"/>
              <w:rPr>
                <w:rFonts w:cs="Times New Roman"/>
                <w:sz w:val="18"/>
                <w:szCs w:val="18"/>
              </w:rPr>
            </w:pPr>
            <w:r w:rsidRPr="00D2239A">
              <w:rPr>
                <w:rFonts w:cs="Times New Roman"/>
                <w:sz w:val="18"/>
                <w:szCs w:val="18"/>
              </w:rPr>
              <w:t>3</w:t>
            </w:r>
          </w:p>
        </w:tc>
        <w:tc>
          <w:tcPr>
            <w:tcW w:w="4268" w:type="dxa"/>
          </w:tcPr>
          <w:p w14:paraId="4BF453D9" w14:textId="141F98B9" w:rsidR="00575F97" w:rsidRPr="00D2239A" w:rsidRDefault="00575F97" w:rsidP="005544F2">
            <w:pPr>
              <w:spacing w:line="276" w:lineRule="auto"/>
              <w:rPr>
                <w:rFonts w:cs="Times New Roman"/>
                <w:sz w:val="18"/>
                <w:szCs w:val="18"/>
              </w:rPr>
            </w:pPr>
            <w:r w:rsidRPr="00D2239A">
              <w:rPr>
                <w:rFonts w:cs="Times New Roman"/>
                <w:sz w:val="18"/>
                <w:szCs w:val="18"/>
              </w:rPr>
              <w:t xml:space="preserve">Risk ratio of all-cause death in </w:t>
            </w:r>
            <w:r w:rsidR="00262CBB" w:rsidRPr="00D2239A">
              <w:rPr>
                <w:rFonts w:cs="Times New Roman"/>
                <w:sz w:val="18"/>
                <w:szCs w:val="18"/>
              </w:rPr>
              <w:t xml:space="preserve">the </w:t>
            </w:r>
            <w:r w:rsidRPr="00D2239A">
              <w:rPr>
                <w:rFonts w:cs="Times New Roman"/>
                <w:sz w:val="18"/>
                <w:szCs w:val="18"/>
              </w:rPr>
              <w:t>opioid population versus the general population EXCLUDING the opioid population</w:t>
            </w:r>
          </w:p>
        </w:tc>
        <w:tc>
          <w:tcPr>
            <w:tcW w:w="2160" w:type="dxa"/>
          </w:tcPr>
          <w:p w14:paraId="7741836C" w14:textId="77777777" w:rsidR="00575F97" w:rsidRPr="00D2239A" w:rsidRDefault="00575F97" w:rsidP="005544F2">
            <w:pPr>
              <w:spacing w:line="276" w:lineRule="auto"/>
              <w:rPr>
                <w:rFonts w:cs="Times New Roman"/>
                <w:sz w:val="18"/>
                <w:szCs w:val="18"/>
              </w:rPr>
            </w:pPr>
            <m:oMath>
              <m:r>
                <w:rPr>
                  <w:rFonts w:ascii="Cambria Math" w:hAnsi="Cambria Math" w:cs="Times New Roman"/>
                  <w:sz w:val="18"/>
                  <w:szCs w:val="18"/>
                </w:rPr>
                <m:t>RR</m:t>
              </m:r>
            </m:oMath>
            <w:r w:rsidRPr="00D2239A">
              <w:rPr>
                <w:rFonts w:cs="Times New Roman"/>
                <w:sz w:val="18"/>
                <w:szCs w:val="18"/>
              </w:rPr>
              <w:t xml:space="preserve"> </w:t>
            </w:r>
          </w:p>
        </w:tc>
        <w:tc>
          <w:tcPr>
            <w:tcW w:w="1400" w:type="dxa"/>
          </w:tcPr>
          <w:p w14:paraId="275BAD0A" w14:textId="77777777" w:rsidR="00575F97" w:rsidRPr="00D2239A" w:rsidRDefault="00575F97" w:rsidP="005544F2">
            <w:pPr>
              <w:spacing w:line="276" w:lineRule="auto"/>
              <w:jc w:val="right"/>
              <w:rPr>
                <w:rFonts w:cs="Times New Roman"/>
                <w:sz w:val="18"/>
                <w:szCs w:val="18"/>
              </w:rPr>
            </w:pPr>
            <w:r w:rsidRPr="00D2239A">
              <w:rPr>
                <w:rFonts w:cs="Times New Roman"/>
                <w:sz w:val="18"/>
                <w:szCs w:val="18"/>
              </w:rPr>
              <w:t>5.43</w:t>
            </w:r>
          </w:p>
        </w:tc>
        <w:tc>
          <w:tcPr>
            <w:tcW w:w="1205" w:type="dxa"/>
          </w:tcPr>
          <w:p w14:paraId="030A1434" w14:textId="1980851E" w:rsidR="00575F97" w:rsidRPr="00D2239A" w:rsidRDefault="00575F97" w:rsidP="005544F2">
            <w:pPr>
              <w:spacing w:line="276" w:lineRule="auto"/>
              <w:rPr>
                <w:rFonts w:cs="Times New Roman"/>
                <w:sz w:val="18"/>
                <w:szCs w:val="18"/>
              </w:rPr>
            </w:pPr>
            <w:r w:rsidRPr="00D2239A">
              <w:rPr>
                <w:rFonts w:cs="Times New Roman"/>
                <w:sz w:val="18"/>
                <w:szCs w:val="18"/>
              </w:rPr>
              <w:t>Larney et al. (2020)</w:t>
            </w:r>
            <w:r w:rsidR="004D0215" w:rsidRPr="00D2239A">
              <w:rPr>
                <w:rFonts w:cs="Times New Roman"/>
                <w:sz w:val="18"/>
                <w:szCs w:val="18"/>
              </w:rPr>
              <w:fldChar w:fldCharType="begin"/>
            </w:r>
            <w:r w:rsidR="00200014" w:rsidRPr="00D2239A">
              <w:rPr>
                <w:rFonts w:cs="Times New Roman"/>
                <w:sz w:val="18"/>
                <w:szCs w:val="18"/>
              </w:rPr>
              <w:instrText xml:space="preserve"> ADDIN EN.CITE &lt;EndNote&gt;&lt;Cite&gt;&lt;Author&gt;Larney&lt;/Author&gt;&lt;Year&gt;2020&lt;/Year&gt;&lt;RecNum&gt;20&lt;/RecNum&gt;&lt;DisplayText&gt;&lt;style face="superscript"&gt;32&lt;/style&gt;&lt;/DisplayText&gt;&lt;record&gt;&lt;rec-number&gt;20&lt;/rec-number&gt;&lt;foreign-keys&gt;&lt;key app="EN" db-id="xxft2ztdi9wf0qee0zovvtvrpefvetvvad02" timestamp="1691429504" guid="cc387aa5-9f2d-4c1a-9401-1af995357f1b"&gt;20&lt;/key&gt;&lt;/foreign-keys&gt;&lt;ref-type name="Journal Article"&gt;17&lt;/ref-type&gt;&lt;contributors&gt;&lt;authors&gt;&lt;author&gt;Larney, Sarah&lt;/author&gt;&lt;author&gt;Tran, Lucy Thi&lt;/author&gt;&lt;author&gt;Leung, Janni&lt;/author&gt;&lt;author&gt;Santo, Thomas&lt;/author&gt;&lt;author&gt;Santomauro, Damian&lt;/author&gt;&lt;author&gt;Hickman, Matt&lt;/author&gt;&lt;author&gt;Peacock, Amy&lt;/author&gt;&lt;author&gt;Stockings, Emily&lt;/author&gt;&lt;author&gt;Degenhardt, Louisa&lt;/author&gt;&lt;/authors&gt;&lt;/contributors&gt;&lt;titles&gt;&lt;title&gt;All-cause and cause-specific mortality among people using extramedical opioids: a systematic review and meta-analysis&lt;/title&gt;&lt;secondary-title&gt;JAMA psychiatry&lt;/secondary-title&gt;&lt;/titles&gt;&lt;periodical&gt;&lt;full-title&gt;JAMA psychiatry&lt;/full-title&gt;&lt;/periodical&gt;&lt;pages&gt;493-502&lt;/pages&gt;&lt;volume&gt;77&lt;/volume&gt;&lt;number&gt;5&lt;/number&gt;&lt;dates&gt;&lt;year&gt;2020&lt;/year&gt;&lt;/dates&gt;&lt;isbn&gt;2168-622X&lt;/isbn&gt;&lt;urls&gt;&lt;/urls&gt;&lt;/record&gt;&lt;/Cite&gt;&lt;/EndNote&gt;</w:instrText>
            </w:r>
            <w:r w:rsidR="004D0215" w:rsidRPr="00D2239A">
              <w:rPr>
                <w:rFonts w:cs="Times New Roman"/>
                <w:sz w:val="18"/>
                <w:szCs w:val="18"/>
              </w:rPr>
              <w:fldChar w:fldCharType="separate"/>
            </w:r>
            <w:r w:rsidR="00200014" w:rsidRPr="00D2239A">
              <w:rPr>
                <w:rFonts w:cs="Times New Roman"/>
                <w:noProof/>
                <w:sz w:val="18"/>
                <w:szCs w:val="18"/>
                <w:vertAlign w:val="superscript"/>
              </w:rPr>
              <w:t>32</w:t>
            </w:r>
            <w:r w:rsidR="004D0215" w:rsidRPr="00D2239A">
              <w:rPr>
                <w:rFonts w:cs="Times New Roman"/>
                <w:sz w:val="18"/>
                <w:szCs w:val="18"/>
              </w:rPr>
              <w:fldChar w:fldCharType="end"/>
            </w:r>
          </w:p>
        </w:tc>
      </w:tr>
      <w:tr w:rsidR="006A52FD" w:rsidRPr="00D2239A" w14:paraId="1D7BF5A8" w14:textId="77777777" w:rsidTr="00E94DF2">
        <w:tc>
          <w:tcPr>
            <w:tcW w:w="317" w:type="dxa"/>
          </w:tcPr>
          <w:p w14:paraId="2EAEAC0F" w14:textId="77777777" w:rsidR="00575F97" w:rsidRPr="00D2239A" w:rsidRDefault="00575F97" w:rsidP="005544F2">
            <w:pPr>
              <w:spacing w:line="276" w:lineRule="auto"/>
              <w:rPr>
                <w:rFonts w:cs="Times New Roman"/>
                <w:sz w:val="18"/>
                <w:szCs w:val="18"/>
              </w:rPr>
            </w:pPr>
          </w:p>
        </w:tc>
        <w:tc>
          <w:tcPr>
            <w:tcW w:w="4268" w:type="dxa"/>
          </w:tcPr>
          <w:p w14:paraId="3E41670D" w14:textId="06921EA7" w:rsidR="00575F97" w:rsidRPr="00D2239A" w:rsidRDefault="00575F97" w:rsidP="005544F2">
            <w:pPr>
              <w:spacing w:line="276" w:lineRule="auto"/>
              <w:rPr>
                <w:rFonts w:cs="Times New Roman"/>
                <w:sz w:val="18"/>
                <w:szCs w:val="18"/>
              </w:rPr>
            </w:pPr>
            <w:r w:rsidRPr="00D2239A">
              <w:rPr>
                <w:rFonts w:cs="Times New Roman"/>
                <w:sz w:val="18"/>
                <w:szCs w:val="18"/>
              </w:rPr>
              <w:t>Rate of all-cause death in the general population EXCLUDING the opioid population</w:t>
            </w:r>
          </w:p>
        </w:tc>
        <w:tc>
          <w:tcPr>
            <w:tcW w:w="2160" w:type="dxa"/>
          </w:tcPr>
          <w:p w14:paraId="6E1B450C" w14:textId="77777777" w:rsidR="00575F97" w:rsidRPr="00D2239A" w:rsidRDefault="00000000" w:rsidP="005544F2">
            <w:pPr>
              <w:spacing w:line="276" w:lineRule="auto"/>
              <w:rPr>
                <w:rFonts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r</m:t>
                  </m:r>
                </m:e>
                <m:sub>
                  <m:r>
                    <w:rPr>
                      <w:rFonts w:ascii="Cambria Math" w:hAnsi="Cambria Math" w:cs="Times New Roman"/>
                      <w:sz w:val="18"/>
                      <w:szCs w:val="18"/>
                    </w:rPr>
                    <m:t>G\O</m:t>
                  </m:r>
                </m:sub>
              </m:sSub>
              <m:d>
                <m:dPr>
                  <m:ctrlPr>
                    <w:rPr>
                      <w:rFonts w:ascii="Cambria Math" w:hAnsi="Cambria Math" w:cs="Times New Roman"/>
                      <w:i/>
                      <w:sz w:val="18"/>
                      <w:szCs w:val="18"/>
                    </w:rPr>
                  </m:ctrlPr>
                </m:dPr>
                <m:e>
                  <m:r>
                    <w:rPr>
                      <w:rFonts w:ascii="Cambria Math" w:hAnsi="Cambria Math" w:cs="Times New Roman"/>
                      <w:sz w:val="18"/>
                      <w:szCs w:val="18"/>
                    </w:rPr>
                    <m:t>ABC</m:t>
                  </m:r>
                </m:e>
              </m:d>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r</m:t>
                  </m:r>
                </m:e>
                <m:sub>
                  <m:r>
                    <w:rPr>
                      <w:rFonts w:ascii="Cambria Math" w:hAnsi="Cambria Math" w:cs="Times New Roman"/>
                      <w:sz w:val="18"/>
                      <w:szCs w:val="18"/>
                    </w:rPr>
                    <m:t>O</m:t>
                  </m:r>
                </m:sub>
              </m:sSub>
              <m:d>
                <m:dPr>
                  <m:ctrlPr>
                    <w:rPr>
                      <w:rFonts w:ascii="Cambria Math" w:hAnsi="Cambria Math" w:cs="Times New Roman"/>
                      <w:i/>
                      <w:sz w:val="18"/>
                      <w:szCs w:val="18"/>
                    </w:rPr>
                  </m:ctrlPr>
                </m:dPr>
                <m:e>
                  <m:r>
                    <w:rPr>
                      <w:rFonts w:ascii="Cambria Math" w:hAnsi="Cambria Math" w:cs="Times New Roman"/>
                      <w:sz w:val="18"/>
                      <w:szCs w:val="18"/>
                    </w:rPr>
                    <m:t>ABC</m:t>
                  </m:r>
                </m:e>
              </m:d>
              <m:r>
                <w:rPr>
                  <w:rFonts w:ascii="Cambria Math" w:hAnsi="Cambria Math" w:cs="Times New Roman"/>
                  <w:sz w:val="18"/>
                  <w:szCs w:val="18"/>
                </w:rPr>
                <m:t>/RR</m:t>
              </m:r>
            </m:oMath>
            <w:r w:rsidR="00575F97" w:rsidRPr="00D2239A">
              <w:rPr>
                <w:rFonts w:cs="Times New Roman"/>
                <w:sz w:val="18"/>
                <w:szCs w:val="18"/>
              </w:rPr>
              <w:t xml:space="preserve"> </w:t>
            </w:r>
          </w:p>
        </w:tc>
        <w:tc>
          <w:tcPr>
            <w:tcW w:w="1400" w:type="dxa"/>
          </w:tcPr>
          <w:p w14:paraId="2734C9B5" w14:textId="3F95803E" w:rsidR="00575F97" w:rsidRPr="00D2239A" w:rsidRDefault="00672A08" w:rsidP="005544F2">
            <w:pPr>
              <w:spacing w:line="276" w:lineRule="auto"/>
              <w:jc w:val="right"/>
              <w:rPr>
                <w:rFonts w:cs="Times New Roman"/>
                <w:sz w:val="18"/>
                <w:szCs w:val="18"/>
              </w:rPr>
            </w:pPr>
            <w:r w:rsidRPr="00D2239A">
              <w:rPr>
                <w:rFonts w:cs="Times New Roman"/>
                <w:sz w:val="18"/>
                <w:szCs w:val="18"/>
              </w:rPr>
              <w:t>0.000173119</w:t>
            </w:r>
          </w:p>
        </w:tc>
        <w:tc>
          <w:tcPr>
            <w:tcW w:w="1205" w:type="dxa"/>
          </w:tcPr>
          <w:p w14:paraId="2F2AF168" w14:textId="77777777" w:rsidR="00575F97" w:rsidRPr="00D2239A" w:rsidRDefault="00575F97" w:rsidP="005544F2">
            <w:pPr>
              <w:spacing w:line="276" w:lineRule="auto"/>
              <w:rPr>
                <w:rFonts w:cs="Times New Roman"/>
                <w:sz w:val="18"/>
                <w:szCs w:val="18"/>
              </w:rPr>
            </w:pPr>
          </w:p>
        </w:tc>
      </w:tr>
      <w:tr w:rsidR="006A52FD" w:rsidRPr="00D2239A" w14:paraId="7C9549E7" w14:textId="77777777" w:rsidTr="00E94DF2">
        <w:tc>
          <w:tcPr>
            <w:tcW w:w="317" w:type="dxa"/>
          </w:tcPr>
          <w:p w14:paraId="1B825F8B" w14:textId="41DA9ACA" w:rsidR="00575F97" w:rsidRPr="00D2239A" w:rsidRDefault="005A03C4" w:rsidP="005544F2">
            <w:pPr>
              <w:spacing w:line="276" w:lineRule="auto"/>
              <w:rPr>
                <w:rFonts w:cs="Times New Roman"/>
                <w:sz w:val="18"/>
                <w:szCs w:val="18"/>
              </w:rPr>
            </w:pPr>
            <w:r w:rsidRPr="00D2239A">
              <w:rPr>
                <w:rFonts w:cs="Times New Roman"/>
                <w:sz w:val="18"/>
                <w:szCs w:val="18"/>
              </w:rPr>
              <w:t>4</w:t>
            </w:r>
          </w:p>
        </w:tc>
        <w:tc>
          <w:tcPr>
            <w:tcW w:w="4268" w:type="dxa"/>
          </w:tcPr>
          <w:p w14:paraId="378BDD76" w14:textId="7E0B888C" w:rsidR="00575F97" w:rsidRPr="00D2239A" w:rsidRDefault="00575F97" w:rsidP="005544F2">
            <w:pPr>
              <w:spacing w:line="276" w:lineRule="auto"/>
              <w:rPr>
                <w:rFonts w:cs="Times New Roman"/>
                <w:sz w:val="18"/>
                <w:szCs w:val="18"/>
              </w:rPr>
            </w:pPr>
            <w:r w:rsidRPr="00D2239A">
              <w:rPr>
                <w:rFonts w:cs="Times New Roman"/>
                <w:sz w:val="18"/>
                <w:szCs w:val="18"/>
              </w:rPr>
              <w:t>Rate of opioid overdose death in the general population EXCLUDING the opioid population</w:t>
            </w:r>
          </w:p>
        </w:tc>
        <w:tc>
          <w:tcPr>
            <w:tcW w:w="2160" w:type="dxa"/>
          </w:tcPr>
          <w:p w14:paraId="0BBBD0E3" w14:textId="77777777" w:rsidR="00575F97" w:rsidRPr="00D2239A" w:rsidRDefault="00000000" w:rsidP="005544F2">
            <w:pPr>
              <w:spacing w:line="276" w:lineRule="auto"/>
              <w:rPr>
                <w:rFonts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r</m:t>
                  </m:r>
                </m:e>
                <m:sub>
                  <m:r>
                    <w:rPr>
                      <w:rFonts w:ascii="Cambria Math" w:hAnsi="Cambria Math" w:cs="Times New Roman"/>
                      <w:sz w:val="18"/>
                      <w:szCs w:val="18"/>
                    </w:rPr>
                    <m:t>G\O</m:t>
                  </m:r>
                </m:sub>
              </m:sSub>
              <m:d>
                <m:dPr>
                  <m:ctrlPr>
                    <w:rPr>
                      <w:rFonts w:ascii="Cambria Math" w:hAnsi="Cambria Math" w:cs="Times New Roman"/>
                      <w:i/>
                      <w:sz w:val="18"/>
                      <w:szCs w:val="18"/>
                    </w:rPr>
                  </m:ctrlPr>
                </m:dPr>
                <m:e>
                  <m:r>
                    <w:rPr>
                      <w:rFonts w:ascii="Cambria Math" w:hAnsi="Cambria Math" w:cs="Times New Roman"/>
                      <w:sz w:val="18"/>
                      <w:szCs w:val="18"/>
                    </w:rPr>
                    <m:t>A</m:t>
                  </m:r>
                </m:e>
              </m:d>
            </m:oMath>
            <w:r w:rsidR="00575F97" w:rsidRPr="00D2239A">
              <w:rPr>
                <w:rFonts w:cs="Times New Roman"/>
                <w:sz w:val="18"/>
                <w:szCs w:val="18"/>
              </w:rPr>
              <w:t xml:space="preserve"> </w:t>
            </w:r>
          </w:p>
        </w:tc>
        <w:tc>
          <w:tcPr>
            <w:tcW w:w="1400" w:type="dxa"/>
          </w:tcPr>
          <w:p w14:paraId="3F493FD9" w14:textId="77777777" w:rsidR="00575F97" w:rsidRPr="00D2239A" w:rsidRDefault="00575F97" w:rsidP="005544F2">
            <w:pPr>
              <w:spacing w:line="276" w:lineRule="auto"/>
              <w:jc w:val="right"/>
              <w:rPr>
                <w:rFonts w:cs="Times New Roman"/>
                <w:sz w:val="18"/>
                <w:szCs w:val="18"/>
              </w:rPr>
            </w:pPr>
            <w:r w:rsidRPr="00D2239A">
              <w:rPr>
                <w:rFonts w:cs="Times New Roman"/>
                <w:sz w:val="18"/>
                <w:szCs w:val="18"/>
              </w:rPr>
              <w:t>0</w:t>
            </w:r>
          </w:p>
        </w:tc>
        <w:tc>
          <w:tcPr>
            <w:tcW w:w="1205" w:type="dxa"/>
          </w:tcPr>
          <w:p w14:paraId="78234830" w14:textId="77777777" w:rsidR="00575F97" w:rsidRPr="00D2239A" w:rsidRDefault="00575F97" w:rsidP="005544F2">
            <w:pPr>
              <w:spacing w:line="276" w:lineRule="auto"/>
              <w:rPr>
                <w:rFonts w:cs="Times New Roman"/>
                <w:sz w:val="18"/>
                <w:szCs w:val="18"/>
              </w:rPr>
            </w:pPr>
            <w:r w:rsidRPr="00D2239A">
              <w:rPr>
                <w:rFonts w:cs="Times New Roman"/>
                <w:sz w:val="18"/>
                <w:szCs w:val="18"/>
              </w:rPr>
              <w:t>Assumption</w:t>
            </w:r>
          </w:p>
        </w:tc>
      </w:tr>
      <w:tr w:rsidR="006A52FD" w:rsidRPr="00D2239A" w14:paraId="18F6A70E" w14:textId="77777777" w:rsidTr="00E94DF2">
        <w:tc>
          <w:tcPr>
            <w:tcW w:w="317" w:type="dxa"/>
          </w:tcPr>
          <w:p w14:paraId="2C59B394" w14:textId="77777777" w:rsidR="00575F97" w:rsidRPr="00D2239A" w:rsidRDefault="00575F97" w:rsidP="005544F2">
            <w:pPr>
              <w:spacing w:line="276" w:lineRule="auto"/>
              <w:rPr>
                <w:rFonts w:cs="Times New Roman"/>
                <w:sz w:val="18"/>
                <w:szCs w:val="18"/>
              </w:rPr>
            </w:pPr>
          </w:p>
        </w:tc>
        <w:tc>
          <w:tcPr>
            <w:tcW w:w="4268" w:type="dxa"/>
          </w:tcPr>
          <w:p w14:paraId="0641157D" w14:textId="7398148F" w:rsidR="00575F97" w:rsidRPr="00D2239A" w:rsidRDefault="00575F97" w:rsidP="005544F2">
            <w:pPr>
              <w:spacing w:line="276" w:lineRule="auto"/>
              <w:rPr>
                <w:rFonts w:cs="Times New Roman"/>
                <w:sz w:val="18"/>
                <w:szCs w:val="18"/>
              </w:rPr>
            </w:pPr>
            <w:r w:rsidRPr="00D2239A">
              <w:rPr>
                <w:rFonts w:cs="Times New Roman"/>
                <w:sz w:val="18"/>
                <w:szCs w:val="18"/>
              </w:rPr>
              <w:t>Rate of opioid-related non-overdose death in the general population EXCLUDING the opioid population</w:t>
            </w:r>
          </w:p>
        </w:tc>
        <w:tc>
          <w:tcPr>
            <w:tcW w:w="2160" w:type="dxa"/>
          </w:tcPr>
          <w:p w14:paraId="09E2058D" w14:textId="77777777" w:rsidR="00575F97" w:rsidRPr="00D2239A" w:rsidRDefault="00000000" w:rsidP="005544F2">
            <w:pPr>
              <w:spacing w:line="276" w:lineRule="auto"/>
              <w:rPr>
                <w:rFonts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r</m:t>
                  </m:r>
                </m:e>
                <m:sub>
                  <m:r>
                    <w:rPr>
                      <w:rFonts w:ascii="Cambria Math" w:hAnsi="Cambria Math" w:cs="Times New Roman"/>
                      <w:sz w:val="18"/>
                      <w:szCs w:val="18"/>
                    </w:rPr>
                    <m:t>G\O</m:t>
                  </m:r>
                </m:sub>
              </m:sSub>
              <m:d>
                <m:dPr>
                  <m:ctrlPr>
                    <w:rPr>
                      <w:rFonts w:ascii="Cambria Math" w:hAnsi="Cambria Math" w:cs="Times New Roman"/>
                      <w:i/>
                      <w:sz w:val="18"/>
                      <w:szCs w:val="18"/>
                    </w:rPr>
                  </m:ctrlPr>
                </m:dPr>
                <m:e>
                  <m:r>
                    <w:rPr>
                      <w:rFonts w:ascii="Cambria Math" w:hAnsi="Cambria Math" w:cs="Times New Roman"/>
                      <w:sz w:val="18"/>
                      <w:szCs w:val="18"/>
                    </w:rPr>
                    <m:t>B</m:t>
                  </m:r>
                </m:e>
              </m:d>
            </m:oMath>
            <w:r w:rsidR="00575F97" w:rsidRPr="00D2239A">
              <w:rPr>
                <w:rFonts w:cs="Times New Roman"/>
                <w:sz w:val="18"/>
                <w:szCs w:val="18"/>
              </w:rPr>
              <w:t xml:space="preserve"> </w:t>
            </w:r>
          </w:p>
        </w:tc>
        <w:tc>
          <w:tcPr>
            <w:tcW w:w="1400" w:type="dxa"/>
          </w:tcPr>
          <w:p w14:paraId="3EFB9AFC" w14:textId="77777777" w:rsidR="00575F97" w:rsidRPr="00D2239A" w:rsidRDefault="00575F97" w:rsidP="005544F2">
            <w:pPr>
              <w:spacing w:line="276" w:lineRule="auto"/>
              <w:jc w:val="right"/>
              <w:rPr>
                <w:rFonts w:cs="Times New Roman"/>
                <w:sz w:val="18"/>
                <w:szCs w:val="18"/>
              </w:rPr>
            </w:pPr>
            <w:r w:rsidRPr="00D2239A">
              <w:rPr>
                <w:rFonts w:cs="Times New Roman"/>
                <w:sz w:val="18"/>
                <w:szCs w:val="18"/>
              </w:rPr>
              <w:t>0</w:t>
            </w:r>
          </w:p>
        </w:tc>
        <w:tc>
          <w:tcPr>
            <w:tcW w:w="1205" w:type="dxa"/>
          </w:tcPr>
          <w:p w14:paraId="55758831" w14:textId="77777777" w:rsidR="00575F97" w:rsidRPr="00D2239A" w:rsidRDefault="00575F97" w:rsidP="005544F2">
            <w:pPr>
              <w:spacing w:line="276" w:lineRule="auto"/>
              <w:rPr>
                <w:rFonts w:cs="Times New Roman"/>
                <w:sz w:val="18"/>
                <w:szCs w:val="18"/>
              </w:rPr>
            </w:pPr>
            <w:r w:rsidRPr="00D2239A">
              <w:rPr>
                <w:rFonts w:cs="Times New Roman"/>
                <w:sz w:val="18"/>
                <w:szCs w:val="18"/>
              </w:rPr>
              <w:t>Assumption</w:t>
            </w:r>
          </w:p>
        </w:tc>
      </w:tr>
      <w:tr w:rsidR="006A52FD" w:rsidRPr="00D2239A" w14:paraId="437849F5" w14:textId="77777777" w:rsidTr="00E94DF2">
        <w:tc>
          <w:tcPr>
            <w:tcW w:w="317" w:type="dxa"/>
          </w:tcPr>
          <w:p w14:paraId="3E20D429" w14:textId="77777777" w:rsidR="00575F97" w:rsidRPr="00D2239A" w:rsidRDefault="00575F97" w:rsidP="005544F2">
            <w:pPr>
              <w:spacing w:line="276" w:lineRule="auto"/>
              <w:rPr>
                <w:rFonts w:cs="Times New Roman"/>
                <w:sz w:val="18"/>
                <w:szCs w:val="18"/>
              </w:rPr>
            </w:pPr>
          </w:p>
        </w:tc>
        <w:tc>
          <w:tcPr>
            <w:tcW w:w="4268" w:type="dxa"/>
          </w:tcPr>
          <w:p w14:paraId="4973831A" w14:textId="084AF189" w:rsidR="00575F97" w:rsidRPr="00D2239A" w:rsidRDefault="00575F97" w:rsidP="005544F2">
            <w:pPr>
              <w:spacing w:line="276" w:lineRule="auto"/>
              <w:rPr>
                <w:rFonts w:cs="Times New Roman"/>
                <w:sz w:val="18"/>
                <w:szCs w:val="18"/>
              </w:rPr>
            </w:pPr>
            <w:r w:rsidRPr="00D2239A">
              <w:rPr>
                <w:rFonts w:cs="Times New Roman"/>
                <w:sz w:val="18"/>
                <w:szCs w:val="18"/>
              </w:rPr>
              <w:t>Rate of other-cause death in the general population EXCLUDING the opioid population</w:t>
            </w:r>
          </w:p>
        </w:tc>
        <w:tc>
          <w:tcPr>
            <w:tcW w:w="2160" w:type="dxa"/>
          </w:tcPr>
          <w:p w14:paraId="6F794D11" w14:textId="77777777" w:rsidR="00575F97" w:rsidRPr="00D2239A" w:rsidRDefault="00000000" w:rsidP="005544F2">
            <w:pPr>
              <w:spacing w:line="276" w:lineRule="auto"/>
              <w:rPr>
                <w:rFonts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r</m:t>
                  </m:r>
                </m:e>
                <m:sub>
                  <m:r>
                    <w:rPr>
                      <w:rFonts w:ascii="Cambria Math" w:hAnsi="Cambria Math" w:cs="Times New Roman"/>
                      <w:sz w:val="18"/>
                      <w:szCs w:val="18"/>
                    </w:rPr>
                    <m:t>G\O</m:t>
                  </m:r>
                </m:sub>
              </m:sSub>
              <m:d>
                <m:dPr>
                  <m:ctrlPr>
                    <w:rPr>
                      <w:rFonts w:ascii="Cambria Math" w:hAnsi="Cambria Math" w:cs="Times New Roman"/>
                      <w:i/>
                      <w:sz w:val="18"/>
                      <w:szCs w:val="18"/>
                    </w:rPr>
                  </m:ctrlPr>
                </m:dPr>
                <m:e>
                  <m:r>
                    <w:rPr>
                      <w:rFonts w:ascii="Cambria Math" w:hAnsi="Cambria Math" w:cs="Times New Roman"/>
                      <w:sz w:val="18"/>
                      <w:szCs w:val="18"/>
                    </w:rPr>
                    <m:t>C</m:t>
                  </m:r>
                </m:e>
              </m:d>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r</m:t>
                  </m:r>
                </m:e>
                <m:sub>
                  <m:r>
                    <w:rPr>
                      <w:rFonts w:ascii="Cambria Math" w:hAnsi="Cambria Math" w:cs="Times New Roman"/>
                      <w:sz w:val="18"/>
                      <w:szCs w:val="18"/>
                    </w:rPr>
                    <m:t>G\O</m:t>
                  </m:r>
                </m:sub>
              </m:sSub>
              <m:d>
                <m:dPr>
                  <m:ctrlPr>
                    <w:rPr>
                      <w:rFonts w:ascii="Cambria Math" w:hAnsi="Cambria Math" w:cs="Times New Roman"/>
                      <w:i/>
                      <w:sz w:val="18"/>
                      <w:szCs w:val="18"/>
                    </w:rPr>
                  </m:ctrlPr>
                </m:dPr>
                <m:e>
                  <m:r>
                    <w:rPr>
                      <w:rFonts w:ascii="Cambria Math" w:hAnsi="Cambria Math" w:cs="Times New Roman"/>
                      <w:sz w:val="18"/>
                      <w:szCs w:val="18"/>
                    </w:rPr>
                    <m:t>ABC</m:t>
                  </m:r>
                </m:e>
              </m:d>
            </m:oMath>
            <w:r w:rsidR="00575F97" w:rsidRPr="00D2239A">
              <w:rPr>
                <w:rFonts w:cs="Times New Roman"/>
                <w:sz w:val="18"/>
                <w:szCs w:val="18"/>
              </w:rPr>
              <w:t xml:space="preserve"> </w:t>
            </w:r>
          </w:p>
        </w:tc>
        <w:tc>
          <w:tcPr>
            <w:tcW w:w="1400" w:type="dxa"/>
          </w:tcPr>
          <w:p w14:paraId="1B8E701A" w14:textId="089007C1" w:rsidR="00575F97" w:rsidRPr="00D2239A" w:rsidRDefault="00672A08" w:rsidP="005544F2">
            <w:pPr>
              <w:spacing w:line="276" w:lineRule="auto"/>
              <w:jc w:val="right"/>
              <w:rPr>
                <w:rFonts w:cs="Times New Roman"/>
                <w:sz w:val="18"/>
                <w:szCs w:val="18"/>
              </w:rPr>
            </w:pPr>
            <w:r w:rsidRPr="00D2239A">
              <w:rPr>
                <w:rFonts w:cs="Times New Roman"/>
                <w:sz w:val="18"/>
                <w:szCs w:val="18"/>
              </w:rPr>
              <w:t>0.000173119</w:t>
            </w:r>
          </w:p>
        </w:tc>
        <w:tc>
          <w:tcPr>
            <w:tcW w:w="1205" w:type="dxa"/>
          </w:tcPr>
          <w:p w14:paraId="426F50B7" w14:textId="77777777" w:rsidR="00575F97" w:rsidRPr="00D2239A" w:rsidRDefault="00575F97" w:rsidP="005544F2">
            <w:pPr>
              <w:spacing w:line="276" w:lineRule="auto"/>
              <w:rPr>
                <w:rFonts w:cs="Times New Roman"/>
                <w:sz w:val="18"/>
                <w:szCs w:val="18"/>
              </w:rPr>
            </w:pPr>
          </w:p>
        </w:tc>
      </w:tr>
      <w:tr w:rsidR="006A52FD" w:rsidRPr="00D2239A" w14:paraId="06FAF75C" w14:textId="77777777" w:rsidTr="00E94DF2">
        <w:tc>
          <w:tcPr>
            <w:tcW w:w="317" w:type="dxa"/>
          </w:tcPr>
          <w:p w14:paraId="71250DF4" w14:textId="77777777" w:rsidR="00575F97" w:rsidRPr="00D2239A" w:rsidRDefault="00575F97" w:rsidP="005544F2">
            <w:pPr>
              <w:spacing w:line="276" w:lineRule="auto"/>
              <w:rPr>
                <w:rFonts w:cs="Times New Roman"/>
                <w:sz w:val="18"/>
                <w:szCs w:val="18"/>
              </w:rPr>
            </w:pPr>
          </w:p>
        </w:tc>
        <w:tc>
          <w:tcPr>
            <w:tcW w:w="4268" w:type="dxa"/>
          </w:tcPr>
          <w:p w14:paraId="78BA0ECC" w14:textId="0C77F600" w:rsidR="00575F97" w:rsidRPr="00D2239A" w:rsidRDefault="00575F97" w:rsidP="005544F2">
            <w:pPr>
              <w:spacing w:line="276" w:lineRule="auto"/>
              <w:rPr>
                <w:rFonts w:cs="Times New Roman"/>
                <w:sz w:val="18"/>
                <w:szCs w:val="18"/>
              </w:rPr>
            </w:pPr>
            <w:r w:rsidRPr="00D2239A">
              <w:rPr>
                <w:rFonts w:cs="Times New Roman"/>
                <w:sz w:val="18"/>
                <w:szCs w:val="18"/>
              </w:rPr>
              <w:t>Rate of other-cause death in the opioid population</w:t>
            </w:r>
          </w:p>
        </w:tc>
        <w:tc>
          <w:tcPr>
            <w:tcW w:w="2160" w:type="dxa"/>
          </w:tcPr>
          <w:p w14:paraId="14D69D4D" w14:textId="77777777" w:rsidR="00575F97" w:rsidRPr="00D2239A" w:rsidRDefault="00000000" w:rsidP="005544F2">
            <w:pPr>
              <w:spacing w:line="276" w:lineRule="auto"/>
              <w:rPr>
                <w:rFonts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r</m:t>
                  </m:r>
                </m:e>
                <m:sub>
                  <m:r>
                    <w:rPr>
                      <w:rFonts w:ascii="Cambria Math" w:hAnsi="Cambria Math" w:cs="Times New Roman"/>
                      <w:sz w:val="18"/>
                      <w:szCs w:val="18"/>
                    </w:rPr>
                    <m:t>O</m:t>
                  </m:r>
                </m:sub>
              </m:sSub>
              <m:d>
                <m:dPr>
                  <m:ctrlPr>
                    <w:rPr>
                      <w:rFonts w:ascii="Cambria Math" w:hAnsi="Cambria Math" w:cs="Times New Roman"/>
                      <w:i/>
                      <w:sz w:val="18"/>
                      <w:szCs w:val="18"/>
                    </w:rPr>
                  </m:ctrlPr>
                </m:dPr>
                <m:e>
                  <m:r>
                    <w:rPr>
                      <w:rFonts w:ascii="Cambria Math" w:hAnsi="Cambria Math" w:cs="Times New Roman"/>
                      <w:sz w:val="18"/>
                      <w:szCs w:val="18"/>
                    </w:rPr>
                    <m:t>C</m:t>
                  </m:r>
                </m:e>
              </m:d>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r</m:t>
                  </m:r>
                </m:e>
                <m:sub>
                  <m:r>
                    <w:rPr>
                      <w:rFonts w:ascii="Cambria Math" w:hAnsi="Cambria Math" w:cs="Times New Roman"/>
                      <w:sz w:val="18"/>
                      <w:szCs w:val="18"/>
                    </w:rPr>
                    <m:t>G\O</m:t>
                  </m:r>
                </m:sub>
              </m:sSub>
              <m:d>
                <m:dPr>
                  <m:ctrlPr>
                    <w:rPr>
                      <w:rFonts w:ascii="Cambria Math" w:hAnsi="Cambria Math" w:cs="Times New Roman"/>
                      <w:i/>
                      <w:sz w:val="18"/>
                      <w:szCs w:val="18"/>
                    </w:rPr>
                  </m:ctrlPr>
                </m:dPr>
                <m:e>
                  <m:r>
                    <w:rPr>
                      <w:rFonts w:ascii="Cambria Math" w:hAnsi="Cambria Math" w:cs="Times New Roman"/>
                      <w:sz w:val="18"/>
                      <w:szCs w:val="18"/>
                    </w:rPr>
                    <m:t>C</m:t>
                  </m:r>
                </m:e>
              </m:d>
            </m:oMath>
            <w:r w:rsidR="00575F97" w:rsidRPr="00D2239A">
              <w:rPr>
                <w:rFonts w:cs="Times New Roman"/>
                <w:sz w:val="18"/>
                <w:szCs w:val="18"/>
              </w:rPr>
              <w:t xml:space="preserve"> </w:t>
            </w:r>
          </w:p>
        </w:tc>
        <w:tc>
          <w:tcPr>
            <w:tcW w:w="1400" w:type="dxa"/>
          </w:tcPr>
          <w:p w14:paraId="085D49C0" w14:textId="6BD24EE8" w:rsidR="00575F97" w:rsidRPr="00D2239A" w:rsidRDefault="00672A08" w:rsidP="005544F2">
            <w:pPr>
              <w:spacing w:line="276" w:lineRule="auto"/>
              <w:jc w:val="right"/>
              <w:rPr>
                <w:rFonts w:cs="Times New Roman"/>
                <w:sz w:val="18"/>
                <w:szCs w:val="18"/>
              </w:rPr>
            </w:pPr>
            <w:r w:rsidRPr="00D2239A">
              <w:rPr>
                <w:rFonts w:cs="Times New Roman"/>
                <w:sz w:val="18"/>
                <w:szCs w:val="18"/>
              </w:rPr>
              <w:t>0.000173119</w:t>
            </w:r>
          </w:p>
        </w:tc>
        <w:tc>
          <w:tcPr>
            <w:tcW w:w="1205" w:type="dxa"/>
          </w:tcPr>
          <w:p w14:paraId="7DE2F5C1" w14:textId="77777777" w:rsidR="00575F97" w:rsidRPr="00D2239A" w:rsidRDefault="00575F97" w:rsidP="005544F2">
            <w:pPr>
              <w:spacing w:line="276" w:lineRule="auto"/>
              <w:rPr>
                <w:rFonts w:cs="Times New Roman"/>
                <w:sz w:val="18"/>
                <w:szCs w:val="18"/>
              </w:rPr>
            </w:pPr>
          </w:p>
        </w:tc>
      </w:tr>
      <w:tr w:rsidR="006A52FD" w:rsidRPr="00D2239A" w14:paraId="48BF1CFA" w14:textId="77777777" w:rsidTr="00E94DF2">
        <w:tc>
          <w:tcPr>
            <w:tcW w:w="317" w:type="dxa"/>
          </w:tcPr>
          <w:p w14:paraId="1CD4AC05" w14:textId="77777777" w:rsidR="005A03C4" w:rsidRPr="00D2239A" w:rsidRDefault="005A03C4" w:rsidP="005544F2">
            <w:pPr>
              <w:spacing w:line="276" w:lineRule="auto"/>
              <w:rPr>
                <w:rFonts w:cs="Times New Roman"/>
                <w:sz w:val="18"/>
                <w:szCs w:val="18"/>
              </w:rPr>
            </w:pPr>
          </w:p>
        </w:tc>
        <w:tc>
          <w:tcPr>
            <w:tcW w:w="4268" w:type="dxa"/>
          </w:tcPr>
          <w:p w14:paraId="25D7EEB2" w14:textId="77777777" w:rsidR="005A03C4" w:rsidRPr="00D2239A" w:rsidRDefault="005A03C4" w:rsidP="005544F2">
            <w:pPr>
              <w:spacing w:line="276" w:lineRule="auto"/>
              <w:rPr>
                <w:rFonts w:cs="Times New Roman"/>
                <w:sz w:val="18"/>
                <w:szCs w:val="18"/>
              </w:rPr>
            </w:pPr>
            <w:r w:rsidRPr="00D2239A">
              <w:rPr>
                <w:rFonts w:cs="Times New Roman"/>
                <w:sz w:val="18"/>
                <w:szCs w:val="18"/>
              </w:rPr>
              <w:t>Monthly probability of other-cause death</w:t>
            </w:r>
          </w:p>
        </w:tc>
        <w:tc>
          <w:tcPr>
            <w:tcW w:w="2160" w:type="dxa"/>
          </w:tcPr>
          <w:p w14:paraId="67ECE2F3" w14:textId="77777777" w:rsidR="005A03C4" w:rsidRPr="00D2239A" w:rsidRDefault="005A03C4" w:rsidP="005544F2">
            <w:pPr>
              <w:spacing w:line="276" w:lineRule="auto"/>
              <w:rPr>
                <w:rFonts w:cs="Times New Roman"/>
                <w:sz w:val="18"/>
                <w:szCs w:val="18"/>
              </w:rPr>
            </w:pPr>
            <m:oMath>
              <m:r>
                <w:rPr>
                  <w:rFonts w:ascii="Cambria Math" w:hAnsi="Cambria Math" w:cs="Times New Roman"/>
                  <w:sz w:val="18"/>
                  <w:szCs w:val="18"/>
                </w:rPr>
                <m:t>P</m:t>
              </m:r>
              <m:d>
                <m:dPr>
                  <m:ctrlPr>
                    <w:rPr>
                      <w:rFonts w:ascii="Cambria Math" w:hAnsi="Cambria Math" w:cs="Times New Roman"/>
                      <w:i/>
                      <w:sz w:val="18"/>
                      <w:szCs w:val="18"/>
                    </w:rPr>
                  </m:ctrlPr>
                </m:dPr>
                <m:e>
                  <m:r>
                    <w:rPr>
                      <w:rFonts w:ascii="Cambria Math" w:hAnsi="Cambria Math" w:cs="Times New Roman"/>
                      <w:sz w:val="18"/>
                      <w:szCs w:val="18"/>
                    </w:rPr>
                    <m:t>C</m:t>
                  </m:r>
                </m:e>
              </m:d>
              <m:r>
                <w:rPr>
                  <w:rFonts w:ascii="Cambria Math" w:hAnsi="Cambria Math" w:cs="Times New Roman"/>
                  <w:sz w:val="18"/>
                  <w:szCs w:val="18"/>
                </w:rPr>
                <m:t>=1-</m:t>
              </m:r>
              <m:func>
                <m:funcPr>
                  <m:ctrlPr>
                    <w:rPr>
                      <w:rFonts w:ascii="Cambria Math" w:hAnsi="Cambria Math" w:cs="Times New Roman"/>
                      <w:i/>
                      <w:sz w:val="18"/>
                      <w:szCs w:val="18"/>
                    </w:rPr>
                  </m:ctrlPr>
                </m:funcPr>
                <m:fName>
                  <m:r>
                    <m:rPr>
                      <m:sty m:val="p"/>
                    </m:rPr>
                    <w:rPr>
                      <w:rFonts w:ascii="Cambria Math" w:hAnsi="Cambria Math" w:cs="Times New Roman"/>
                      <w:sz w:val="18"/>
                      <w:szCs w:val="18"/>
                    </w:rPr>
                    <m:t>exp</m:t>
                  </m:r>
                </m:fName>
                <m:e>
                  <m:d>
                    <m:dPr>
                      <m:ctrlPr>
                        <w:rPr>
                          <w:rFonts w:ascii="Cambria Math" w:hAnsi="Cambria Math" w:cs="Times New Roman"/>
                          <w:i/>
                          <w:sz w:val="18"/>
                          <w:szCs w:val="18"/>
                        </w:rPr>
                      </m:ctrlPr>
                    </m:dPr>
                    <m:e>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r</m:t>
                          </m:r>
                        </m:e>
                        <m:sub>
                          <m:r>
                            <w:rPr>
                              <w:rFonts w:ascii="Cambria Math" w:hAnsi="Cambria Math" w:cs="Times New Roman"/>
                              <w:sz w:val="18"/>
                              <w:szCs w:val="18"/>
                            </w:rPr>
                            <m:t>O</m:t>
                          </m:r>
                        </m:sub>
                      </m:sSub>
                      <m:d>
                        <m:dPr>
                          <m:ctrlPr>
                            <w:rPr>
                              <w:rFonts w:ascii="Cambria Math" w:hAnsi="Cambria Math" w:cs="Times New Roman"/>
                              <w:i/>
                              <w:sz w:val="18"/>
                              <w:szCs w:val="18"/>
                            </w:rPr>
                          </m:ctrlPr>
                        </m:dPr>
                        <m:e>
                          <m:r>
                            <w:rPr>
                              <w:rFonts w:ascii="Cambria Math" w:hAnsi="Cambria Math" w:cs="Times New Roman"/>
                              <w:sz w:val="18"/>
                              <w:szCs w:val="18"/>
                            </w:rPr>
                            <m:t>C</m:t>
                          </m:r>
                        </m:e>
                      </m:d>
                    </m:e>
                  </m:d>
                </m:e>
              </m:func>
            </m:oMath>
            <w:r w:rsidRPr="00D2239A">
              <w:rPr>
                <w:rFonts w:cs="Times New Roman"/>
                <w:sz w:val="18"/>
                <w:szCs w:val="18"/>
              </w:rPr>
              <w:t xml:space="preserve"> </w:t>
            </w:r>
          </w:p>
        </w:tc>
        <w:tc>
          <w:tcPr>
            <w:tcW w:w="1400" w:type="dxa"/>
          </w:tcPr>
          <w:p w14:paraId="05CB7EA4" w14:textId="2C45F993" w:rsidR="005A03C4" w:rsidRPr="00D2239A" w:rsidRDefault="00672A08" w:rsidP="005544F2">
            <w:pPr>
              <w:spacing w:line="276" w:lineRule="auto"/>
              <w:jc w:val="right"/>
              <w:rPr>
                <w:rFonts w:cs="Times New Roman"/>
                <w:sz w:val="18"/>
                <w:szCs w:val="18"/>
              </w:rPr>
            </w:pPr>
            <w:r w:rsidRPr="00D2239A">
              <w:rPr>
                <w:rFonts w:cs="Times New Roman"/>
                <w:sz w:val="18"/>
                <w:szCs w:val="18"/>
              </w:rPr>
              <w:t>0.000173104</w:t>
            </w:r>
          </w:p>
        </w:tc>
        <w:tc>
          <w:tcPr>
            <w:tcW w:w="1205" w:type="dxa"/>
          </w:tcPr>
          <w:p w14:paraId="6AC5FE71" w14:textId="77777777" w:rsidR="005A03C4" w:rsidRPr="00D2239A" w:rsidRDefault="005A03C4" w:rsidP="005544F2">
            <w:pPr>
              <w:spacing w:line="276" w:lineRule="auto"/>
              <w:rPr>
                <w:rFonts w:cs="Times New Roman"/>
                <w:sz w:val="18"/>
                <w:szCs w:val="18"/>
              </w:rPr>
            </w:pPr>
          </w:p>
        </w:tc>
      </w:tr>
      <w:tr w:rsidR="006A52FD" w:rsidRPr="00D2239A" w14:paraId="6429E1B2" w14:textId="77777777" w:rsidTr="00E94DF2">
        <w:tc>
          <w:tcPr>
            <w:tcW w:w="317" w:type="dxa"/>
          </w:tcPr>
          <w:p w14:paraId="36EEE6E1" w14:textId="1EDB530F" w:rsidR="00575F97" w:rsidRPr="00D2239A" w:rsidRDefault="005A03C4" w:rsidP="005544F2">
            <w:pPr>
              <w:spacing w:line="276" w:lineRule="auto"/>
              <w:rPr>
                <w:rFonts w:cs="Times New Roman"/>
                <w:sz w:val="18"/>
                <w:szCs w:val="18"/>
              </w:rPr>
            </w:pPr>
            <w:r w:rsidRPr="00D2239A">
              <w:rPr>
                <w:rFonts w:cs="Times New Roman"/>
                <w:sz w:val="18"/>
                <w:szCs w:val="18"/>
              </w:rPr>
              <w:t>5</w:t>
            </w:r>
          </w:p>
        </w:tc>
        <w:tc>
          <w:tcPr>
            <w:tcW w:w="4268" w:type="dxa"/>
          </w:tcPr>
          <w:p w14:paraId="64F03CD7" w14:textId="35952D12" w:rsidR="00575F97" w:rsidRPr="00D2239A" w:rsidRDefault="00575F97" w:rsidP="005544F2">
            <w:pPr>
              <w:spacing w:line="276" w:lineRule="auto"/>
              <w:rPr>
                <w:rFonts w:cs="Times New Roman"/>
                <w:sz w:val="18"/>
                <w:szCs w:val="18"/>
              </w:rPr>
            </w:pPr>
            <w:r w:rsidRPr="00D2239A">
              <w:rPr>
                <w:rFonts w:cs="Times New Roman"/>
                <w:sz w:val="18"/>
                <w:szCs w:val="18"/>
              </w:rPr>
              <w:t>Monthly probability of opioid overdose death in a given health state</w:t>
            </w:r>
          </w:p>
        </w:tc>
        <w:tc>
          <w:tcPr>
            <w:tcW w:w="2160" w:type="dxa"/>
          </w:tcPr>
          <w:p w14:paraId="6F5AFBB0" w14:textId="77777777" w:rsidR="00575F97" w:rsidRPr="00D2239A" w:rsidRDefault="00575F97" w:rsidP="005544F2">
            <w:pPr>
              <w:spacing w:line="276" w:lineRule="auto"/>
              <w:rPr>
                <w:rFonts w:cs="Times New Roman"/>
                <w:sz w:val="18"/>
                <w:szCs w:val="18"/>
              </w:rPr>
            </w:pPr>
            <m:oMath>
              <m:r>
                <w:rPr>
                  <w:rFonts w:ascii="Cambria Math" w:hAnsi="Cambria Math" w:cs="Times New Roman"/>
                  <w:sz w:val="18"/>
                  <w:szCs w:val="18"/>
                </w:rPr>
                <m:t>P</m:t>
              </m:r>
              <m:d>
                <m:dPr>
                  <m:ctrlPr>
                    <w:rPr>
                      <w:rFonts w:ascii="Cambria Math" w:hAnsi="Cambria Math" w:cs="Times New Roman"/>
                      <w:i/>
                      <w:sz w:val="18"/>
                      <w:szCs w:val="18"/>
                    </w:rPr>
                  </m:ctrlPr>
                </m:dPr>
                <m:e>
                  <m:r>
                    <w:rPr>
                      <w:rFonts w:ascii="Cambria Math" w:hAnsi="Cambria Math" w:cs="Times New Roman"/>
                      <w:sz w:val="18"/>
                      <w:szCs w:val="18"/>
                    </w:rPr>
                    <m:t>A</m:t>
                  </m:r>
                </m:e>
              </m:d>
            </m:oMath>
            <w:r w:rsidRPr="00D2239A">
              <w:rPr>
                <w:rFonts w:cs="Times New Roman"/>
                <w:sz w:val="18"/>
                <w:szCs w:val="18"/>
              </w:rPr>
              <w:t xml:space="preserve"> </w:t>
            </w:r>
          </w:p>
        </w:tc>
        <w:tc>
          <w:tcPr>
            <w:tcW w:w="1400" w:type="dxa"/>
          </w:tcPr>
          <w:p w14:paraId="10768B3F" w14:textId="77777777" w:rsidR="00575F97" w:rsidRPr="00D2239A" w:rsidRDefault="00575F97" w:rsidP="005544F2">
            <w:pPr>
              <w:spacing w:line="276" w:lineRule="auto"/>
              <w:jc w:val="right"/>
              <w:rPr>
                <w:rFonts w:cs="Times New Roman"/>
                <w:sz w:val="18"/>
                <w:szCs w:val="18"/>
              </w:rPr>
            </w:pPr>
            <w:r w:rsidRPr="00D2239A">
              <w:rPr>
                <w:rFonts w:cs="Times New Roman"/>
                <w:sz w:val="18"/>
                <w:szCs w:val="18"/>
              </w:rPr>
              <w:t>0.00055475</w:t>
            </w:r>
          </w:p>
        </w:tc>
        <w:tc>
          <w:tcPr>
            <w:tcW w:w="1205" w:type="dxa"/>
          </w:tcPr>
          <w:p w14:paraId="2EC8B08D" w14:textId="462E1A67" w:rsidR="00575F97" w:rsidRPr="00D2239A" w:rsidRDefault="00E42C6C" w:rsidP="005544F2">
            <w:pPr>
              <w:spacing w:line="276" w:lineRule="auto"/>
              <w:rPr>
                <w:rFonts w:cs="Times New Roman"/>
                <w:sz w:val="18"/>
                <w:szCs w:val="18"/>
              </w:rPr>
            </w:pPr>
            <w:r w:rsidRPr="00D2239A">
              <w:rPr>
                <w:rFonts w:cs="Times New Roman"/>
                <w:sz w:val="18"/>
                <w:szCs w:val="18"/>
              </w:rPr>
              <w:t>From the individual’s overdose pathway</w:t>
            </w:r>
          </w:p>
        </w:tc>
      </w:tr>
      <w:tr w:rsidR="006A52FD" w:rsidRPr="00D2239A" w14:paraId="5BBBA7A9" w14:textId="77777777" w:rsidTr="00E94DF2">
        <w:tc>
          <w:tcPr>
            <w:tcW w:w="317" w:type="dxa"/>
          </w:tcPr>
          <w:p w14:paraId="7C9E88D8" w14:textId="77777777" w:rsidR="00575F97" w:rsidRPr="00D2239A" w:rsidRDefault="00575F97" w:rsidP="005544F2">
            <w:pPr>
              <w:spacing w:line="276" w:lineRule="auto"/>
              <w:rPr>
                <w:rFonts w:cs="Times New Roman"/>
                <w:sz w:val="18"/>
                <w:szCs w:val="18"/>
              </w:rPr>
            </w:pPr>
          </w:p>
        </w:tc>
        <w:tc>
          <w:tcPr>
            <w:tcW w:w="4268" w:type="dxa"/>
          </w:tcPr>
          <w:p w14:paraId="35C446A7" w14:textId="061C0954" w:rsidR="00575F97" w:rsidRPr="00D2239A" w:rsidRDefault="00575F97" w:rsidP="005544F2">
            <w:pPr>
              <w:spacing w:line="276" w:lineRule="auto"/>
              <w:rPr>
                <w:rFonts w:cs="Times New Roman"/>
                <w:sz w:val="18"/>
                <w:szCs w:val="18"/>
              </w:rPr>
            </w:pPr>
            <w:r w:rsidRPr="00D2239A">
              <w:rPr>
                <w:rFonts w:cs="Times New Roman"/>
                <w:sz w:val="18"/>
                <w:szCs w:val="18"/>
              </w:rPr>
              <w:t>Rate of opioid overdose death in the opioid population</w:t>
            </w:r>
          </w:p>
        </w:tc>
        <w:tc>
          <w:tcPr>
            <w:tcW w:w="2160" w:type="dxa"/>
          </w:tcPr>
          <w:p w14:paraId="45D7381A" w14:textId="77777777" w:rsidR="00575F97" w:rsidRPr="00D2239A" w:rsidRDefault="00000000" w:rsidP="005544F2">
            <w:pPr>
              <w:spacing w:line="276" w:lineRule="auto"/>
              <w:rPr>
                <w:rFonts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r</m:t>
                  </m:r>
                </m:e>
                <m:sub>
                  <m:r>
                    <w:rPr>
                      <w:rFonts w:ascii="Cambria Math" w:hAnsi="Cambria Math" w:cs="Times New Roman"/>
                      <w:sz w:val="18"/>
                      <w:szCs w:val="18"/>
                    </w:rPr>
                    <m:t>O</m:t>
                  </m:r>
                </m:sub>
              </m:sSub>
              <m:d>
                <m:dPr>
                  <m:ctrlPr>
                    <w:rPr>
                      <w:rFonts w:ascii="Cambria Math" w:hAnsi="Cambria Math" w:cs="Times New Roman"/>
                      <w:i/>
                      <w:sz w:val="18"/>
                      <w:szCs w:val="18"/>
                    </w:rPr>
                  </m:ctrlPr>
                </m:dPr>
                <m:e>
                  <m:r>
                    <w:rPr>
                      <w:rFonts w:ascii="Cambria Math" w:hAnsi="Cambria Math" w:cs="Times New Roman"/>
                      <w:sz w:val="18"/>
                      <w:szCs w:val="18"/>
                    </w:rPr>
                    <m:t>A</m:t>
                  </m:r>
                </m:e>
              </m:d>
              <m:r>
                <w:rPr>
                  <w:rFonts w:ascii="Cambria Math" w:hAnsi="Cambria Math" w:cs="Times New Roman"/>
                  <w:sz w:val="18"/>
                  <w:szCs w:val="18"/>
                </w:rPr>
                <m:t>=-</m:t>
              </m:r>
              <m:func>
                <m:funcPr>
                  <m:ctrlPr>
                    <w:rPr>
                      <w:rFonts w:ascii="Cambria Math" w:hAnsi="Cambria Math" w:cs="Times New Roman"/>
                      <w:i/>
                      <w:sz w:val="18"/>
                      <w:szCs w:val="18"/>
                    </w:rPr>
                  </m:ctrlPr>
                </m:funcPr>
                <m:fName>
                  <m:r>
                    <m:rPr>
                      <m:sty m:val="p"/>
                    </m:rPr>
                    <w:rPr>
                      <w:rFonts w:ascii="Cambria Math" w:hAnsi="Cambria Math" w:cs="Times New Roman"/>
                      <w:sz w:val="18"/>
                      <w:szCs w:val="18"/>
                    </w:rPr>
                    <m:t>log</m:t>
                  </m:r>
                </m:fName>
                <m:e>
                  <m:d>
                    <m:dPr>
                      <m:ctrlPr>
                        <w:rPr>
                          <w:rFonts w:ascii="Cambria Math" w:hAnsi="Cambria Math" w:cs="Times New Roman"/>
                          <w:i/>
                          <w:sz w:val="18"/>
                          <w:szCs w:val="18"/>
                        </w:rPr>
                      </m:ctrlPr>
                    </m:dPr>
                    <m:e>
                      <m:r>
                        <w:rPr>
                          <w:rFonts w:ascii="Cambria Math" w:hAnsi="Cambria Math" w:cs="Times New Roman"/>
                          <w:sz w:val="18"/>
                          <w:szCs w:val="18"/>
                        </w:rPr>
                        <m:t>1-P</m:t>
                      </m:r>
                      <m:d>
                        <m:dPr>
                          <m:ctrlPr>
                            <w:rPr>
                              <w:rFonts w:ascii="Cambria Math" w:hAnsi="Cambria Math" w:cs="Times New Roman"/>
                              <w:i/>
                              <w:sz w:val="18"/>
                              <w:szCs w:val="18"/>
                            </w:rPr>
                          </m:ctrlPr>
                        </m:dPr>
                        <m:e>
                          <m:r>
                            <w:rPr>
                              <w:rFonts w:ascii="Cambria Math" w:hAnsi="Cambria Math" w:cs="Times New Roman"/>
                              <w:sz w:val="18"/>
                              <w:szCs w:val="18"/>
                            </w:rPr>
                            <m:t>A</m:t>
                          </m:r>
                        </m:e>
                      </m:d>
                    </m:e>
                  </m:d>
                </m:e>
              </m:func>
            </m:oMath>
            <w:r w:rsidR="00575F97" w:rsidRPr="00D2239A">
              <w:rPr>
                <w:rFonts w:cs="Times New Roman"/>
                <w:sz w:val="18"/>
                <w:szCs w:val="18"/>
              </w:rPr>
              <w:t xml:space="preserve"> </w:t>
            </w:r>
          </w:p>
        </w:tc>
        <w:tc>
          <w:tcPr>
            <w:tcW w:w="1400" w:type="dxa"/>
          </w:tcPr>
          <w:p w14:paraId="6C902990" w14:textId="76F87233" w:rsidR="00575F97" w:rsidRPr="00D2239A" w:rsidRDefault="00672A08" w:rsidP="005544F2">
            <w:pPr>
              <w:spacing w:line="276" w:lineRule="auto"/>
              <w:jc w:val="right"/>
              <w:rPr>
                <w:rFonts w:cs="Times New Roman"/>
                <w:sz w:val="18"/>
                <w:szCs w:val="18"/>
              </w:rPr>
            </w:pPr>
            <w:r w:rsidRPr="00D2239A">
              <w:rPr>
                <w:rFonts w:cs="Times New Roman"/>
                <w:sz w:val="18"/>
                <w:szCs w:val="18"/>
              </w:rPr>
              <w:t>0.000554904</w:t>
            </w:r>
          </w:p>
        </w:tc>
        <w:tc>
          <w:tcPr>
            <w:tcW w:w="1205" w:type="dxa"/>
          </w:tcPr>
          <w:p w14:paraId="71977DA2" w14:textId="77777777" w:rsidR="00575F97" w:rsidRPr="00D2239A" w:rsidRDefault="00575F97" w:rsidP="005544F2">
            <w:pPr>
              <w:spacing w:line="276" w:lineRule="auto"/>
              <w:rPr>
                <w:rFonts w:cs="Times New Roman"/>
                <w:sz w:val="18"/>
                <w:szCs w:val="18"/>
              </w:rPr>
            </w:pPr>
          </w:p>
        </w:tc>
      </w:tr>
      <w:tr w:rsidR="006A52FD" w:rsidRPr="00D2239A" w14:paraId="2ECAE239" w14:textId="77777777" w:rsidTr="00E94DF2">
        <w:tc>
          <w:tcPr>
            <w:tcW w:w="317" w:type="dxa"/>
          </w:tcPr>
          <w:p w14:paraId="10D86D46" w14:textId="77777777" w:rsidR="00575F97" w:rsidRPr="00D2239A" w:rsidRDefault="00575F97" w:rsidP="005544F2">
            <w:pPr>
              <w:spacing w:line="276" w:lineRule="auto"/>
              <w:rPr>
                <w:rFonts w:cs="Times New Roman"/>
                <w:sz w:val="18"/>
                <w:szCs w:val="18"/>
              </w:rPr>
            </w:pPr>
          </w:p>
        </w:tc>
        <w:tc>
          <w:tcPr>
            <w:tcW w:w="4268" w:type="dxa"/>
          </w:tcPr>
          <w:p w14:paraId="491BE951" w14:textId="68F4C28C" w:rsidR="00575F97" w:rsidRPr="00D2239A" w:rsidRDefault="00575F97" w:rsidP="005544F2">
            <w:pPr>
              <w:spacing w:line="276" w:lineRule="auto"/>
              <w:rPr>
                <w:rFonts w:cs="Times New Roman"/>
                <w:sz w:val="18"/>
                <w:szCs w:val="18"/>
              </w:rPr>
            </w:pPr>
            <w:r w:rsidRPr="00D2239A">
              <w:rPr>
                <w:rFonts w:cs="Times New Roman"/>
                <w:sz w:val="18"/>
                <w:szCs w:val="18"/>
              </w:rPr>
              <w:t>Rate of opioid-related non-overdose death in the opioid population</w:t>
            </w:r>
          </w:p>
        </w:tc>
        <w:tc>
          <w:tcPr>
            <w:tcW w:w="2160" w:type="dxa"/>
          </w:tcPr>
          <w:p w14:paraId="4ED2A9FB" w14:textId="77777777" w:rsidR="00575F97" w:rsidRPr="00D2239A" w:rsidRDefault="00000000" w:rsidP="005544F2">
            <w:pPr>
              <w:spacing w:line="276" w:lineRule="auto"/>
              <w:rPr>
                <w:rFonts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r</m:t>
                  </m:r>
                </m:e>
                <m:sub>
                  <m:r>
                    <w:rPr>
                      <w:rFonts w:ascii="Cambria Math" w:hAnsi="Cambria Math" w:cs="Times New Roman"/>
                      <w:sz w:val="18"/>
                      <w:szCs w:val="18"/>
                    </w:rPr>
                    <m:t>O</m:t>
                  </m:r>
                </m:sub>
              </m:sSub>
              <m:d>
                <m:dPr>
                  <m:ctrlPr>
                    <w:rPr>
                      <w:rFonts w:ascii="Cambria Math" w:hAnsi="Cambria Math" w:cs="Times New Roman"/>
                      <w:i/>
                      <w:sz w:val="18"/>
                      <w:szCs w:val="18"/>
                    </w:rPr>
                  </m:ctrlPr>
                </m:dPr>
                <m:e>
                  <m:r>
                    <w:rPr>
                      <w:rFonts w:ascii="Cambria Math" w:hAnsi="Cambria Math" w:cs="Times New Roman"/>
                      <w:sz w:val="18"/>
                      <w:szCs w:val="18"/>
                    </w:rPr>
                    <m:t>B</m:t>
                  </m:r>
                </m:e>
              </m:d>
              <m:r>
                <w:rPr>
                  <w:rFonts w:ascii="Cambria Math" w:hAnsi="Cambria Math" w:cs="Times New Roman"/>
                  <w:sz w:val="18"/>
                  <w:szCs w:val="18"/>
                </w:rPr>
                <m:t>=</m:t>
              </m:r>
            </m:oMath>
            <w:r w:rsidR="00575F97" w:rsidRPr="00D2239A">
              <w:rPr>
                <w:rFonts w:cs="Times New Roman"/>
                <w:sz w:val="18"/>
                <w:szCs w:val="18"/>
              </w:rPr>
              <w:t xml:space="preserve"> </w:t>
            </w:r>
          </w:p>
          <w:p w14:paraId="02CFEF0F" w14:textId="77777777" w:rsidR="00575F97" w:rsidRPr="00D2239A" w:rsidRDefault="00000000" w:rsidP="005544F2">
            <w:pPr>
              <w:spacing w:line="276" w:lineRule="auto"/>
              <w:rPr>
                <w:rFonts w:cs="Times New Roman"/>
                <w:sz w:val="18"/>
                <w:szCs w:val="18"/>
              </w:rPr>
            </w:pPr>
            <m:oMath>
              <m:func>
                <m:funcPr>
                  <m:ctrlPr>
                    <w:rPr>
                      <w:rFonts w:ascii="Cambria Math" w:hAnsi="Cambria Math" w:cs="Times New Roman"/>
                      <w:i/>
                      <w:sz w:val="18"/>
                      <w:szCs w:val="18"/>
                    </w:rPr>
                  </m:ctrlPr>
                </m:funcPr>
                <m:fName>
                  <m:r>
                    <m:rPr>
                      <m:sty m:val="p"/>
                    </m:rPr>
                    <w:rPr>
                      <w:rFonts w:ascii="Cambria Math" w:hAnsi="Cambria Math" w:cs="Times New Roman"/>
                      <w:sz w:val="18"/>
                      <w:szCs w:val="18"/>
                    </w:rPr>
                    <m:t>max</m:t>
                  </m:r>
                </m:fName>
                <m:e>
                  <m:d>
                    <m:dPr>
                      <m:begChr m:val="{"/>
                      <m:endChr m:val="}"/>
                      <m:ctrlPr>
                        <w:rPr>
                          <w:rFonts w:ascii="Cambria Math" w:hAnsi="Cambria Math" w:cs="Times New Roman"/>
                          <w:i/>
                          <w:sz w:val="18"/>
                          <w:szCs w:val="18"/>
                        </w:rPr>
                      </m:ctrlPr>
                    </m:dPr>
                    <m:e>
                      <m:r>
                        <w:rPr>
                          <w:rFonts w:ascii="Cambria Math" w:hAnsi="Cambria Math" w:cs="Times New Roman"/>
                          <w:sz w:val="18"/>
                          <w:szCs w:val="18"/>
                        </w:rPr>
                        <m:t>0,</m:t>
                      </m:r>
                      <m:r>
                        <m:rPr>
                          <m:nor/>
                        </m:rPr>
                        <w:rPr>
                          <w:rFonts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r</m:t>
                          </m:r>
                        </m:e>
                        <m:sub>
                          <m:r>
                            <w:rPr>
                              <w:rFonts w:ascii="Cambria Math" w:hAnsi="Cambria Math" w:cs="Times New Roman"/>
                              <w:sz w:val="18"/>
                              <w:szCs w:val="18"/>
                            </w:rPr>
                            <m:t>O</m:t>
                          </m:r>
                        </m:sub>
                      </m:sSub>
                      <m:d>
                        <m:dPr>
                          <m:ctrlPr>
                            <w:rPr>
                              <w:rFonts w:ascii="Cambria Math" w:hAnsi="Cambria Math" w:cs="Times New Roman"/>
                              <w:i/>
                              <w:sz w:val="18"/>
                              <w:szCs w:val="18"/>
                            </w:rPr>
                          </m:ctrlPr>
                        </m:dPr>
                        <m:e>
                          <m:r>
                            <w:rPr>
                              <w:rFonts w:ascii="Cambria Math" w:hAnsi="Cambria Math" w:cs="Times New Roman"/>
                              <w:sz w:val="18"/>
                              <w:szCs w:val="18"/>
                            </w:rPr>
                            <m:t>ABC</m:t>
                          </m:r>
                        </m:e>
                      </m:d>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r</m:t>
                          </m:r>
                        </m:e>
                        <m:sub>
                          <m:r>
                            <w:rPr>
                              <w:rFonts w:ascii="Cambria Math" w:hAnsi="Cambria Math" w:cs="Times New Roman"/>
                              <w:sz w:val="18"/>
                              <w:szCs w:val="18"/>
                            </w:rPr>
                            <m:t>O</m:t>
                          </m:r>
                        </m:sub>
                      </m:sSub>
                      <m:d>
                        <m:dPr>
                          <m:ctrlPr>
                            <w:rPr>
                              <w:rFonts w:ascii="Cambria Math" w:hAnsi="Cambria Math" w:cs="Times New Roman"/>
                              <w:i/>
                              <w:sz w:val="18"/>
                              <w:szCs w:val="18"/>
                            </w:rPr>
                          </m:ctrlPr>
                        </m:dPr>
                        <m:e>
                          <m:r>
                            <w:rPr>
                              <w:rFonts w:ascii="Cambria Math" w:hAnsi="Cambria Math" w:cs="Times New Roman"/>
                              <w:sz w:val="18"/>
                              <w:szCs w:val="18"/>
                            </w:rPr>
                            <m:t>A</m:t>
                          </m:r>
                        </m:e>
                      </m:d>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r</m:t>
                          </m:r>
                        </m:e>
                        <m:sub>
                          <m:r>
                            <w:rPr>
                              <w:rFonts w:ascii="Cambria Math" w:hAnsi="Cambria Math" w:cs="Times New Roman"/>
                              <w:sz w:val="18"/>
                              <w:szCs w:val="18"/>
                            </w:rPr>
                            <m:t>O</m:t>
                          </m:r>
                        </m:sub>
                      </m:sSub>
                      <m:d>
                        <m:dPr>
                          <m:ctrlPr>
                            <w:rPr>
                              <w:rFonts w:ascii="Cambria Math" w:hAnsi="Cambria Math" w:cs="Times New Roman"/>
                              <w:i/>
                              <w:sz w:val="18"/>
                              <w:szCs w:val="18"/>
                            </w:rPr>
                          </m:ctrlPr>
                        </m:dPr>
                        <m:e>
                          <m:r>
                            <w:rPr>
                              <w:rFonts w:ascii="Cambria Math" w:hAnsi="Cambria Math" w:cs="Times New Roman"/>
                              <w:sz w:val="18"/>
                              <w:szCs w:val="18"/>
                            </w:rPr>
                            <m:t>C</m:t>
                          </m:r>
                        </m:e>
                      </m:d>
                    </m:e>
                  </m:d>
                  <m:r>
                    <m:rPr>
                      <m:sty m:val="p"/>
                    </m:rPr>
                    <w:rPr>
                      <w:rFonts w:ascii="Cambria Math" w:hAnsi="Cambria Math" w:cs="Times New Roman"/>
                      <w:sz w:val="18"/>
                      <w:szCs w:val="18"/>
                    </w:rPr>
                    <m:t xml:space="preserve"> </m:t>
                  </m:r>
                </m:e>
              </m:func>
            </m:oMath>
            <w:r w:rsidR="00575F97" w:rsidRPr="00D2239A">
              <w:rPr>
                <w:rFonts w:cs="Times New Roman"/>
                <w:sz w:val="18"/>
                <w:szCs w:val="18"/>
              </w:rPr>
              <w:t xml:space="preserve"> </w:t>
            </w:r>
          </w:p>
        </w:tc>
        <w:tc>
          <w:tcPr>
            <w:tcW w:w="1400" w:type="dxa"/>
          </w:tcPr>
          <w:p w14:paraId="7E12C300" w14:textId="35A63319" w:rsidR="00575F97" w:rsidRPr="00D2239A" w:rsidRDefault="00672A08" w:rsidP="005544F2">
            <w:pPr>
              <w:spacing w:line="276" w:lineRule="auto"/>
              <w:jc w:val="right"/>
              <w:rPr>
                <w:rFonts w:cs="Times New Roman"/>
                <w:sz w:val="18"/>
                <w:szCs w:val="18"/>
              </w:rPr>
            </w:pPr>
            <w:r w:rsidRPr="00D2239A">
              <w:rPr>
                <w:rFonts w:cs="Times New Roman"/>
                <w:sz w:val="18"/>
                <w:szCs w:val="18"/>
              </w:rPr>
              <w:t>0.000212015</w:t>
            </w:r>
          </w:p>
        </w:tc>
        <w:tc>
          <w:tcPr>
            <w:tcW w:w="1205" w:type="dxa"/>
          </w:tcPr>
          <w:p w14:paraId="30CFCBD1" w14:textId="77777777" w:rsidR="00575F97" w:rsidRPr="00D2239A" w:rsidRDefault="00575F97" w:rsidP="005544F2">
            <w:pPr>
              <w:spacing w:line="276" w:lineRule="auto"/>
              <w:rPr>
                <w:rFonts w:cs="Times New Roman"/>
                <w:sz w:val="18"/>
                <w:szCs w:val="18"/>
              </w:rPr>
            </w:pPr>
          </w:p>
        </w:tc>
      </w:tr>
      <w:tr w:rsidR="005544F2" w:rsidRPr="00D2239A" w14:paraId="4B4D7133" w14:textId="77777777" w:rsidTr="00E94DF2">
        <w:tc>
          <w:tcPr>
            <w:tcW w:w="317" w:type="dxa"/>
          </w:tcPr>
          <w:p w14:paraId="388A41CF" w14:textId="77777777" w:rsidR="00575F97" w:rsidRPr="00D2239A" w:rsidRDefault="00575F97" w:rsidP="005544F2">
            <w:pPr>
              <w:spacing w:line="276" w:lineRule="auto"/>
              <w:rPr>
                <w:rFonts w:cs="Times New Roman"/>
                <w:sz w:val="18"/>
                <w:szCs w:val="18"/>
              </w:rPr>
            </w:pPr>
          </w:p>
        </w:tc>
        <w:tc>
          <w:tcPr>
            <w:tcW w:w="4268" w:type="dxa"/>
          </w:tcPr>
          <w:p w14:paraId="3855819E" w14:textId="59E4C5EF" w:rsidR="00575F97" w:rsidRPr="00D2239A" w:rsidRDefault="00575F97" w:rsidP="005544F2">
            <w:pPr>
              <w:spacing w:line="276" w:lineRule="auto"/>
              <w:rPr>
                <w:rFonts w:cs="Times New Roman"/>
                <w:sz w:val="18"/>
                <w:szCs w:val="18"/>
              </w:rPr>
            </w:pPr>
            <w:r w:rsidRPr="00D2239A">
              <w:rPr>
                <w:rFonts w:cs="Times New Roman"/>
                <w:sz w:val="18"/>
                <w:szCs w:val="18"/>
              </w:rPr>
              <w:t>Monthly probability of opioid-related non-overdose death</w:t>
            </w:r>
          </w:p>
        </w:tc>
        <w:tc>
          <w:tcPr>
            <w:tcW w:w="2160" w:type="dxa"/>
          </w:tcPr>
          <w:p w14:paraId="435A6D3B" w14:textId="77777777" w:rsidR="00575F97" w:rsidRPr="00D2239A" w:rsidRDefault="00575F97" w:rsidP="005544F2">
            <w:pPr>
              <w:spacing w:line="276" w:lineRule="auto"/>
              <w:rPr>
                <w:rFonts w:cs="Times New Roman"/>
                <w:sz w:val="18"/>
                <w:szCs w:val="18"/>
              </w:rPr>
            </w:pPr>
            <m:oMath>
              <m:r>
                <w:rPr>
                  <w:rFonts w:ascii="Cambria Math" w:hAnsi="Cambria Math" w:cs="Times New Roman"/>
                  <w:sz w:val="18"/>
                  <w:szCs w:val="18"/>
                </w:rPr>
                <m:t>P</m:t>
              </m:r>
              <m:d>
                <m:dPr>
                  <m:ctrlPr>
                    <w:rPr>
                      <w:rFonts w:ascii="Cambria Math" w:hAnsi="Cambria Math" w:cs="Times New Roman"/>
                      <w:i/>
                      <w:sz w:val="18"/>
                      <w:szCs w:val="18"/>
                    </w:rPr>
                  </m:ctrlPr>
                </m:dPr>
                <m:e>
                  <m:r>
                    <w:rPr>
                      <w:rFonts w:ascii="Cambria Math" w:hAnsi="Cambria Math" w:cs="Times New Roman"/>
                      <w:sz w:val="18"/>
                      <w:szCs w:val="18"/>
                    </w:rPr>
                    <m:t>B</m:t>
                  </m:r>
                </m:e>
              </m:d>
              <m:r>
                <w:rPr>
                  <w:rFonts w:ascii="Cambria Math" w:hAnsi="Cambria Math" w:cs="Times New Roman"/>
                  <w:sz w:val="18"/>
                  <w:szCs w:val="18"/>
                </w:rPr>
                <m:t>=1-</m:t>
              </m:r>
              <m:func>
                <m:funcPr>
                  <m:ctrlPr>
                    <w:rPr>
                      <w:rFonts w:ascii="Cambria Math" w:hAnsi="Cambria Math" w:cs="Times New Roman"/>
                      <w:i/>
                      <w:sz w:val="18"/>
                      <w:szCs w:val="18"/>
                    </w:rPr>
                  </m:ctrlPr>
                </m:funcPr>
                <m:fName>
                  <m:r>
                    <m:rPr>
                      <m:sty m:val="p"/>
                    </m:rPr>
                    <w:rPr>
                      <w:rFonts w:ascii="Cambria Math" w:hAnsi="Cambria Math" w:cs="Times New Roman"/>
                      <w:sz w:val="18"/>
                      <w:szCs w:val="18"/>
                    </w:rPr>
                    <m:t>exp</m:t>
                  </m:r>
                </m:fName>
                <m:e>
                  <m:d>
                    <m:dPr>
                      <m:ctrlPr>
                        <w:rPr>
                          <w:rFonts w:ascii="Cambria Math" w:hAnsi="Cambria Math" w:cs="Times New Roman"/>
                          <w:i/>
                          <w:sz w:val="18"/>
                          <w:szCs w:val="18"/>
                        </w:rPr>
                      </m:ctrlPr>
                    </m:dPr>
                    <m:e>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r</m:t>
                          </m:r>
                        </m:e>
                        <m:sub>
                          <m:r>
                            <w:rPr>
                              <w:rFonts w:ascii="Cambria Math" w:hAnsi="Cambria Math" w:cs="Times New Roman"/>
                              <w:sz w:val="18"/>
                              <w:szCs w:val="18"/>
                            </w:rPr>
                            <m:t>O</m:t>
                          </m:r>
                        </m:sub>
                      </m:sSub>
                      <m:d>
                        <m:dPr>
                          <m:ctrlPr>
                            <w:rPr>
                              <w:rFonts w:ascii="Cambria Math" w:hAnsi="Cambria Math" w:cs="Times New Roman"/>
                              <w:i/>
                              <w:sz w:val="18"/>
                              <w:szCs w:val="18"/>
                            </w:rPr>
                          </m:ctrlPr>
                        </m:dPr>
                        <m:e>
                          <m:r>
                            <w:rPr>
                              <w:rFonts w:ascii="Cambria Math" w:hAnsi="Cambria Math" w:cs="Times New Roman"/>
                              <w:sz w:val="18"/>
                              <w:szCs w:val="18"/>
                            </w:rPr>
                            <m:t>B</m:t>
                          </m:r>
                        </m:e>
                      </m:d>
                    </m:e>
                  </m:d>
                </m:e>
              </m:func>
            </m:oMath>
            <w:r w:rsidRPr="00D2239A">
              <w:rPr>
                <w:rFonts w:cs="Times New Roman"/>
                <w:sz w:val="18"/>
                <w:szCs w:val="18"/>
              </w:rPr>
              <w:t xml:space="preserve"> </w:t>
            </w:r>
          </w:p>
        </w:tc>
        <w:tc>
          <w:tcPr>
            <w:tcW w:w="1400" w:type="dxa"/>
          </w:tcPr>
          <w:p w14:paraId="7F1D3A4F" w14:textId="16507BE3" w:rsidR="00575F97" w:rsidRPr="00D2239A" w:rsidRDefault="00672A08" w:rsidP="005544F2">
            <w:pPr>
              <w:spacing w:line="276" w:lineRule="auto"/>
              <w:jc w:val="right"/>
              <w:rPr>
                <w:rFonts w:cs="Times New Roman"/>
                <w:sz w:val="18"/>
                <w:szCs w:val="18"/>
              </w:rPr>
            </w:pPr>
            <w:r w:rsidRPr="00D2239A">
              <w:rPr>
                <w:rFonts w:cs="Times New Roman"/>
                <w:sz w:val="18"/>
                <w:szCs w:val="18"/>
              </w:rPr>
              <w:t>0.000211992</w:t>
            </w:r>
          </w:p>
        </w:tc>
        <w:tc>
          <w:tcPr>
            <w:tcW w:w="1205" w:type="dxa"/>
          </w:tcPr>
          <w:p w14:paraId="1F52ECA6" w14:textId="77777777" w:rsidR="00575F97" w:rsidRPr="00D2239A" w:rsidRDefault="00575F97" w:rsidP="005544F2">
            <w:pPr>
              <w:spacing w:line="276" w:lineRule="auto"/>
              <w:rPr>
                <w:rFonts w:cs="Times New Roman"/>
                <w:sz w:val="18"/>
                <w:szCs w:val="18"/>
              </w:rPr>
            </w:pPr>
          </w:p>
        </w:tc>
      </w:tr>
    </w:tbl>
    <w:p w14:paraId="1B8D67DF" w14:textId="77777777" w:rsidR="008F590E" w:rsidRPr="00D2239A" w:rsidRDefault="008F590E" w:rsidP="008F590E">
      <w:pPr>
        <w:spacing w:after="0" w:line="360" w:lineRule="auto"/>
        <w:rPr>
          <w:rFonts w:cs="Times New Roman"/>
          <w:sz w:val="22"/>
          <w:szCs w:val="22"/>
        </w:rPr>
      </w:pPr>
    </w:p>
    <w:p w14:paraId="1C305C68" w14:textId="77777777" w:rsidR="00810E32" w:rsidRPr="00EF4250" w:rsidRDefault="00810E32" w:rsidP="00810E32">
      <w:pPr>
        <w:spacing w:after="0" w:line="276" w:lineRule="auto"/>
        <w:rPr>
          <w:rFonts w:cs="Times New Roman"/>
          <w:szCs w:val="20"/>
        </w:rPr>
      </w:pPr>
      <w:r w:rsidRPr="00EF4250">
        <w:rPr>
          <w:rFonts w:cs="Times New Roman"/>
          <w:i/>
          <w:iCs/>
          <w:szCs w:val="20"/>
          <w:u w:val="single"/>
        </w:rPr>
        <w:t>Prescription Opioid Misuse</w:t>
      </w:r>
      <w:r w:rsidRPr="00EF4250">
        <w:rPr>
          <w:rFonts w:cs="Times New Roman"/>
          <w:szCs w:val="20"/>
          <w:u w:val="single"/>
        </w:rPr>
        <w:t xml:space="preserve"> state</w:t>
      </w:r>
      <w:r w:rsidRPr="00EF4250">
        <w:rPr>
          <w:rFonts w:cs="Times New Roman"/>
          <w:szCs w:val="20"/>
        </w:rPr>
        <w:t xml:space="preserve">: We assumed no opioid-related non-overdose mortality (i.e., </w:t>
      </w:r>
      <m:oMath>
        <m:r>
          <w:rPr>
            <w:rFonts w:ascii="Cambria Math" w:hAnsi="Cambria Math" w:cs="Times New Roman"/>
            <w:szCs w:val="20"/>
          </w:rPr>
          <m:t>P</m:t>
        </m:r>
        <m:d>
          <m:dPr>
            <m:ctrlPr>
              <w:rPr>
                <w:rFonts w:ascii="Cambria Math" w:hAnsi="Cambria Math" w:cs="Times New Roman"/>
                <w:i/>
                <w:szCs w:val="20"/>
              </w:rPr>
            </m:ctrlPr>
          </m:dPr>
          <m:e>
            <m:r>
              <w:rPr>
                <w:rFonts w:ascii="Cambria Math" w:hAnsi="Cambria Math" w:cs="Times New Roman"/>
                <w:szCs w:val="20"/>
              </w:rPr>
              <m:t>B</m:t>
            </m:r>
          </m:e>
        </m:d>
        <m:r>
          <w:rPr>
            <w:rFonts w:ascii="Cambria Math" w:hAnsi="Cambria Math" w:cs="Times New Roman"/>
            <w:szCs w:val="20"/>
          </w:rPr>
          <m:t>=0</m:t>
        </m:r>
      </m:oMath>
      <w:r w:rsidRPr="00EF4250">
        <w:rPr>
          <w:rFonts w:cs="Times New Roman"/>
          <w:szCs w:val="20"/>
        </w:rPr>
        <w:t xml:space="preserve">) considering the minimal risk of infection from prescription opioid misuse. </w:t>
      </w:r>
    </w:p>
    <w:p w14:paraId="0655C1A0" w14:textId="77777777" w:rsidR="00810E32" w:rsidRPr="00EF4250" w:rsidRDefault="00810E32" w:rsidP="00810E32">
      <w:pPr>
        <w:spacing w:after="0" w:line="276" w:lineRule="auto"/>
        <w:rPr>
          <w:rFonts w:cs="Times New Roman"/>
          <w:szCs w:val="20"/>
        </w:rPr>
      </w:pPr>
    </w:p>
    <w:p w14:paraId="22F1C150" w14:textId="77777777" w:rsidR="00810E32" w:rsidRPr="00EF4250" w:rsidRDefault="00810E32" w:rsidP="00810E32">
      <w:pPr>
        <w:spacing w:after="0" w:line="276" w:lineRule="auto"/>
        <w:rPr>
          <w:rFonts w:cs="Times New Roman"/>
          <w:szCs w:val="20"/>
        </w:rPr>
      </w:pPr>
      <w:r w:rsidRPr="00EF4250">
        <w:rPr>
          <w:rFonts w:cs="Times New Roman"/>
          <w:i/>
          <w:iCs/>
          <w:szCs w:val="20"/>
          <w:u w:val="single"/>
        </w:rPr>
        <w:t>Recovery</w:t>
      </w:r>
      <w:r w:rsidRPr="00EF4250">
        <w:rPr>
          <w:rFonts w:cs="Times New Roman"/>
          <w:szCs w:val="20"/>
          <w:u w:val="single"/>
        </w:rPr>
        <w:t xml:space="preserve"> state</w:t>
      </w:r>
      <w:r w:rsidRPr="00EF4250">
        <w:rPr>
          <w:rFonts w:cs="Times New Roman"/>
          <w:szCs w:val="20"/>
        </w:rPr>
        <w:t xml:space="preserve">: Based on our assumption that individuals in the </w:t>
      </w:r>
      <w:r w:rsidRPr="00EF4250">
        <w:rPr>
          <w:rFonts w:cs="Times New Roman"/>
          <w:i/>
          <w:iCs/>
          <w:szCs w:val="20"/>
        </w:rPr>
        <w:t xml:space="preserve">Recovery </w:t>
      </w:r>
      <w:r w:rsidRPr="00EF4250">
        <w:rPr>
          <w:rFonts w:cs="Times New Roman"/>
          <w:szCs w:val="20"/>
        </w:rPr>
        <w:t xml:space="preserve">state have no active opioid use, individuals were not at risk of any opioid-related mortality (including both overdose and non-overdose deaths). </w:t>
      </w:r>
    </w:p>
    <w:p w14:paraId="2F91D7A8" w14:textId="77777777" w:rsidR="00810E32" w:rsidRPr="00EF4250" w:rsidRDefault="00810E32" w:rsidP="00810E32">
      <w:pPr>
        <w:spacing w:after="0" w:line="276" w:lineRule="auto"/>
        <w:rPr>
          <w:rFonts w:cs="Times New Roman"/>
          <w:szCs w:val="20"/>
        </w:rPr>
      </w:pPr>
    </w:p>
    <w:p w14:paraId="090B0759" w14:textId="77777777" w:rsidR="00810E32" w:rsidRPr="00EF4250" w:rsidRDefault="00810E32" w:rsidP="00810E32">
      <w:pPr>
        <w:spacing w:after="0" w:line="276" w:lineRule="auto"/>
        <w:rPr>
          <w:rFonts w:cs="Times New Roman"/>
          <w:szCs w:val="20"/>
        </w:rPr>
      </w:pPr>
      <w:r w:rsidRPr="00EF4250">
        <w:rPr>
          <w:rFonts w:cs="Times New Roman"/>
          <w:i/>
          <w:iCs/>
          <w:szCs w:val="20"/>
          <w:u w:val="single"/>
        </w:rPr>
        <w:t>Illicit Opioid Use</w:t>
      </w:r>
      <w:r w:rsidRPr="00EF4250">
        <w:rPr>
          <w:rFonts w:cs="Times New Roman"/>
          <w:szCs w:val="20"/>
          <w:u w:val="single"/>
        </w:rPr>
        <w:t xml:space="preserve"> state</w:t>
      </w:r>
      <w:r w:rsidRPr="00EF4250">
        <w:rPr>
          <w:rFonts w:cs="Times New Roman"/>
          <w:szCs w:val="20"/>
        </w:rPr>
        <w:t xml:space="preserve">: We followed the same approach as described above for estimating the three types of mortality. </w:t>
      </w:r>
    </w:p>
    <w:p w14:paraId="0725A778" w14:textId="77777777" w:rsidR="00810E32" w:rsidRPr="00EF4250" w:rsidRDefault="00810E32" w:rsidP="00810E32">
      <w:pPr>
        <w:spacing w:after="0" w:line="276" w:lineRule="auto"/>
        <w:rPr>
          <w:rFonts w:cs="Times New Roman"/>
          <w:szCs w:val="20"/>
        </w:rPr>
      </w:pPr>
    </w:p>
    <w:p w14:paraId="1AD68BE3" w14:textId="7331A95B" w:rsidR="008F590E" w:rsidRPr="00EF4250" w:rsidRDefault="009677BB" w:rsidP="00754108">
      <w:pPr>
        <w:spacing w:after="0" w:line="276" w:lineRule="auto"/>
        <w:rPr>
          <w:rFonts w:cs="Times New Roman"/>
          <w:szCs w:val="20"/>
        </w:rPr>
      </w:pPr>
      <w:r w:rsidRPr="00EF4250">
        <w:rPr>
          <w:rFonts w:cs="Times New Roman"/>
          <w:i/>
          <w:iCs/>
          <w:szCs w:val="20"/>
          <w:u w:val="single"/>
        </w:rPr>
        <w:t>MOUD</w:t>
      </w:r>
      <w:r w:rsidRPr="00EF4250">
        <w:rPr>
          <w:rFonts w:cs="Times New Roman"/>
          <w:szCs w:val="20"/>
          <w:u w:val="single"/>
        </w:rPr>
        <w:t xml:space="preserve"> state</w:t>
      </w:r>
      <w:r w:rsidR="00696C18" w:rsidRPr="00EF4250">
        <w:rPr>
          <w:rFonts w:cs="Times New Roman"/>
          <w:szCs w:val="20"/>
        </w:rPr>
        <w:t>:</w:t>
      </w:r>
      <w:r w:rsidRPr="00EF4250">
        <w:rPr>
          <w:rFonts w:cs="Times New Roman"/>
          <w:szCs w:val="20"/>
        </w:rPr>
        <w:t xml:space="preserve"> </w:t>
      </w:r>
      <w:r w:rsidR="005E11B1" w:rsidRPr="005E11B1">
        <w:rPr>
          <w:rFonts w:cs="Times New Roman"/>
          <w:szCs w:val="20"/>
        </w:rPr>
        <w:t>For the MOUD state, the risk of opioid-related non-overdose mortality was reduced by the mortality ratio between those in treatment and those out of treatment</w:t>
      </w:r>
      <w:r w:rsidR="005E11B1">
        <w:rPr>
          <w:rFonts w:cs="Times New Roman"/>
          <w:szCs w:val="20"/>
        </w:rPr>
        <w:t xml:space="preserve">. </w:t>
      </w:r>
      <w:r w:rsidR="00696C18" w:rsidRPr="00EF4250">
        <w:rPr>
          <w:rFonts w:cs="Times New Roman"/>
          <w:szCs w:val="20"/>
        </w:rPr>
        <w:t>W</w:t>
      </w:r>
      <w:r w:rsidR="008F590E" w:rsidRPr="00EF4250">
        <w:rPr>
          <w:rFonts w:cs="Times New Roman"/>
          <w:szCs w:val="20"/>
        </w:rPr>
        <w:t>e estimated medication-specific risk ratios of opioid-related non-overdose mortality for individuals in</w:t>
      </w:r>
      <w:r w:rsidR="00262CBB" w:rsidRPr="00EF4250">
        <w:rPr>
          <w:rFonts w:cs="Times New Roman"/>
          <w:szCs w:val="20"/>
        </w:rPr>
        <w:t xml:space="preserve"> </w:t>
      </w:r>
      <w:r w:rsidR="008F590E" w:rsidRPr="00EF4250">
        <w:rPr>
          <w:rFonts w:cs="Times New Roman"/>
          <w:szCs w:val="20"/>
        </w:rPr>
        <w:t>treatment versus out-of-treatment using data</w:t>
      </w:r>
      <w:r w:rsidRPr="00EF4250">
        <w:rPr>
          <w:rFonts w:cs="Times New Roman"/>
          <w:szCs w:val="20"/>
        </w:rPr>
        <w:t xml:space="preserve"> (stratified by methadone and buprenorphine)</w:t>
      </w:r>
      <w:r w:rsidR="007967AC" w:rsidRPr="00EF4250">
        <w:rPr>
          <w:rFonts w:cs="Times New Roman"/>
          <w:szCs w:val="20"/>
        </w:rPr>
        <w:t>.</w:t>
      </w:r>
      <w:r w:rsidR="008F590E" w:rsidRPr="00EF4250">
        <w:rPr>
          <w:rFonts w:cs="Times New Roman"/>
          <w:szCs w:val="20"/>
        </w:rPr>
        <w:t xml:space="preserve"> </w:t>
      </w:r>
      <w:r w:rsidRPr="00EF4250">
        <w:rPr>
          <w:rFonts w:cs="Times New Roman"/>
          <w:szCs w:val="20"/>
        </w:rPr>
        <w:t>The following worksheet (</w:t>
      </w:r>
      <w:r w:rsidR="00A87FBF" w:rsidRPr="00626C29">
        <w:rPr>
          <w:b/>
          <w:szCs w:val="20"/>
        </w:rPr>
        <w:t xml:space="preserve">Supplementary </w:t>
      </w:r>
      <w:r w:rsidRPr="00EF4250">
        <w:rPr>
          <w:rFonts w:cs="Times New Roman"/>
          <w:b/>
          <w:bCs/>
          <w:szCs w:val="20"/>
        </w:rPr>
        <w:t xml:space="preserve">Table </w:t>
      </w:r>
      <w:r w:rsidR="00F92FB6">
        <w:rPr>
          <w:rFonts w:cs="Times New Roman"/>
          <w:b/>
          <w:bCs/>
          <w:szCs w:val="20"/>
        </w:rPr>
        <w:t>14</w:t>
      </w:r>
      <w:r w:rsidRPr="00EF4250">
        <w:rPr>
          <w:rFonts w:cs="Times New Roman"/>
          <w:szCs w:val="20"/>
        </w:rPr>
        <w:t>) shows the derivation of the risk ratios, using the values for methadone</w:t>
      </w:r>
      <w:r w:rsidR="00F230D7" w:rsidRPr="00EF4250">
        <w:rPr>
          <w:rFonts w:cs="Times New Roman"/>
          <w:szCs w:val="20"/>
        </w:rPr>
        <w:t xml:space="preserve"> </w:t>
      </w:r>
      <w:r w:rsidR="007967AC" w:rsidRPr="00EF4250">
        <w:rPr>
          <w:rFonts w:cs="Times New Roman"/>
          <w:szCs w:val="20"/>
        </w:rPr>
        <w:t xml:space="preserve">from </w:t>
      </w:r>
      <w:r w:rsidR="00F230D7" w:rsidRPr="00EF4250">
        <w:rPr>
          <w:rFonts w:cs="Times New Roman"/>
          <w:szCs w:val="20"/>
        </w:rPr>
        <w:t xml:space="preserve">Sordo </w:t>
      </w:r>
      <w:r w:rsidR="00F230D7" w:rsidRPr="00EF4250">
        <w:rPr>
          <w:rFonts w:cs="Times New Roman"/>
          <w:i/>
          <w:iCs/>
          <w:szCs w:val="20"/>
        </w:rPr>
        <w:t>et al.</w:t>
      </w:r>
      <w:r w:rsidR="00F230D7" w:rsidRPr="00EF4250">
        <w:rPr>
          <w:rFonts w:cs="Times New Roman"/>
          <w:szCs w:val="20"/>
        </w:rPr>
        <w:t xml:space="preserve"> (2017).</w:t>
      </w:r>
      <w:r w:rsidR="00F230D7" w:rsidRPr="00EF4250">
        <w:rPr>
          <w:rFonts w:cs="Times New Roman"/>
          <w:szCs w:val="20"/>
        </w:rPr>
        <w:fldChar w:fldCharType="begin"/>
      </w:r>
      <w:r w:rsidR="00F64A4C">
        <w:rPr>
          <w:rFonts w:cs="Times New Roman"/>
          <w:szCs w:val="20"/>
        </w:rPr>
        <w:instrText xml:space="preserve"> ADDIN EN.CITE &lt;EndNote&gt;&lt;Cite&gt;&lt;Author&gt;Sordo&lt;/Author&gt;&lt;Year&gt;2017&lt;/Year&gt;&lt;RecNum&gt;369&lt;/RecNum&gt;&lt;DisplayText&gt;&lt;style face="superscript"&gt;34&lt;/style&gt;&lt;/DisplayText&gt;&lt;record&gt;&lt;rec-number&gt;369&lt;/rec-number&gt;&lt;foreign-keys&gt;&lt;key app="EN" db-id="vvr02fsw8wr2f5et2p8pzr0qs25d59ewpfta" timestamp="1768585740"&gt;369&lt;/key&gt;&lt;/foreign-keys&gt;&lt;ref-type name="Journal Article"&gt;17&lt;/ref-type&gt;&lt;contributors&gt;&lt;authors&gt;&lt;author&gt;Sordo, Luis&lt;/author&gt;&lt;author&gt;Barrio, Gregorio&lt;/author&gt;&lt;author&gt;Bravo, Maria J&lt;/author&gt;&lt;author&gt;Indave, B Iciar&lt;/author&gt;&lt;author&gt;Degenhardt, Louisa&lt;/author&gt;&lt;author&gt;Wiessing, Lucas&lt;/author&gt;&lt;author&gt;Ferri, Marica&lt;/author&gt;&lt;author&gt;Pastor-Barriuso, Roberto&lt;/author&gt;&lt;/authors&gt;&lt;/contributors&gt;&lt;titles&gt;&lt;title&gt;Mortality risk during and after opioid substitution treatment: systematic review and meta-analysis of cohort studies&lt;/title&gt;&lt;secondary-title&gt;bmj&lt;/secondary-title&gt;&lt;/titles&gt;&lt;periodical&gt;&lt;full-title&gt;bmj&lt;/full-title&gt;&lt;/periodical&gt;&lt;volume&gt;357&lt;/volume&gt;&lt;dates&gt;&lt;year&gt;2017&lt;/year&gt;&lt;/dates&gt;&lt;isbn&gt;0959-8138&lt;/isbn&gt;&lt;urls&gt;&lt;/urls&gt;&lt;/record&gt;&lt;/Cite&gt;&lt;/EndNote&gt;</w:instrText>
      </w:r>
      <w:r w:rsidR="00F230D7" w:rsidRPr="00EF4250">
        <w:rPr>
          <w:rFonts w:cs="Times New Roman"/>
          <w:szCs w:val="20"/>
        </w:rPr>
        <w:fldChar w:fldCharType="separate"/>
      </w:r>
      <w:r w:rsidR="00200014" w:rsidRPr="00EF4250">
        <w:rPr>
          <w:rFonts w:cs="Times New Roman"/>
          <w:noProof/>
          <w:szCs w:val="20"/>
          <w:vertAlign w:val="superscript"/>
        </w:rPr>
        <w:t>34</w:t>
      </w:r>
      <w:r w:rsidR="00F230D7" w:rsidRPr="00EF4250">
        <w:rPr>
          <w:rFonts w:cs="Times New Roman"/>
          <w:szCs w:val="20"/>
        </w:rPr>
        <w:fldChar w:fldCharType="end"/>
      </w:r>
      <w:r w:rsidRPr="00EF4250">
        <w:rPr>
          <w:rFonts w:cs="Times New Roman"/>
          <w:szCs w:val="20"/>
        </w:rPr>
        <w:t>. N</w:t>
      </w:r>
      <w:r w:rsidR="008F590E" w:rsidRPr="00EF4250">
        <w:rPr>
          <w:rFonts w:cs="Times New Roman"/>
          <w:szCs w:val="20"/>
        </w:rPr>
        <w:t xml:space="preserve">altrexone, which was not included in </w:t>
      </w:r>
      <w:r w:rsidRPr="00EF4250">
        <w:rPr>
          <w:rFonts w:cs="Times New Roman"/>
          <w:szCs w:val="20"/>
        </w:rPr>
        <w:t>Sordo</w:t>
      </w:r>
      <w:r w:rsidR="000D24D0" w:rsidRPr="00EF4250">
        <w:rPr>
          <w:rFonts w:cs="Times New Roman"/>
          <w:szCs w:val="20"/>
        </w:rPr>
        <w:t>’s</w:t>
      </w:r>
      <w:r w:rsidRPr="00EF4250">
        <w:rPr>
          <w:rFonts w:cs="Times New Roman"/>
          <w:szCs w:val="20"/>
        </w:rPr>
        <w:t xml:space="preserve"> </w:t>
      </w:r>
      <w:r w:rsidR="008F590E" w:rsidRPr="00EF4250">
        <w:rPr>
          <w:rFonts w:cs="Times New Roman"/>
          <w:szCs w:val="20"/>
        </w:rPr>
        <w:t xml:space="preserve">study, was assumed to have the same risk ratio as buprenorphine. </w:t>
      </w:r>
      <w:r w:rsidR="001A4F6E" w:rsidRPr="00EF4250">
        <w:rPr>
          <w:rFonts w:cs="Times New Roman"/>
          <w:szCs w:val="20"/>
        </w:rPr>
        <w:t xml:space="preserve">We then multiplied the estimated risk ratio with the </w:t>
      </w:r>
      <m:oMath>
        <m:r>
          <w:rPr>
            <w:rFonts w:ascii="Cambria Math" w:hAnsi="Cambria Math" w:cs="Times New Roman"/>
            <w:szCs w:val="20"/>
          </w:rPr>
          <m:t>P(B)</m:t>
        </m:r>
      </m:oMath>
      <w:r w:rsidR="001A4F6E" w:rsidRPr="00EF4250">
        <w:rPr>
          <w:rFonts w:cs="Times New Roman"/>
          <w:szCs w:val="20"/>
        </w:rPr>
        <w:t xml:space="preserve"> for the OUD state to obtain the estimate of the probability of opioid-related non-overdose death for the individual currently </w:t>
      </w:r>
      <w:r w:rsidR="00262CBB" w:rsidRPr="00EF4250">
        <w:rPr>
          <w:rFonts w:cs="Times New Roman"/>
          <w:szCs w:val="20"/>
        </w:rPr>
        <w:t xml:space="preserve">on </w:t>
      </w:r>
      <w:r w:rsidR="001A4F6E" w:rsidRPr="00EF4250">
        <w:rPr>
          <w:rFonts w:cs="Times New Roman"/>
          <w:szCs w:val="20"/>
        </w:rPr>
        <w:t xml:space="preserve">a given MOUD treatment. </w:t>
      </w:r>
    </w:p>
    <w:p w14:paraId="278B6C5A" w14:textId="59605AD3" w:rsidR="009677BB" w:rsidRPr="00EF4250" w:rsidRDefault="00A87FBF" w:rsidP="00272ED0">
      <w:pPr>
        <w:pStyle w:val="table-title"/>
        <w:ind w:left="0" w:firstLine="0"/>
        <w:rPr>
          <w:rFonts w:ascii="Times New Roman" w:hAnsi="Times New Roman"/>
          <w:szCs w:val="20"/>
        </w:rPr>
      </w:pPr>
      <w:r w:rsidRPr="00626C29">
        <w:rPr>
          <w:rFonts w:ascii="Times New Roman" w:hAnsi="Times New Roman"/>
          <w:b/>
          <w:szCs w:val="20"/>
        </w:rPr>
        <w:t xml:space="preserve">Supplementary </w:t>
      </w:r>
      <w:r w:rsidR="009677BB" w:rsidRPr="00EF4250">
        <w:rPr>
          <w:rFonts w:ascii="Times New Roman" w:hAnsi="Times New Roman"/>
          <w:b/>
          <w:szCs w:val="20"/>
        </w:rPr>
        <w:t xml:space="preserve">Table </w:t>
      </w:r>
      <w:r w:rsidR="00F92FB6">
        <w:rPr>
          <w:rFonts w:ascii="Times New Roman" w:hAnsi="Times New Roman"/>
          <w:b/>
          <w:szCs w:val="20"/>
        </w:rPr>
        <w:t>14</w:t>
      </w:r>
      <w:r w:rsidR="009677BB" w:rsidRPr="00EF4250">
        <w:rPr>
          <w:rFonts w:ascii="Times New Roman" w:hAnsi="Times New Roman"/>
          <w:b/>
          <w:szCs w:val="20"/>
        </w:rPr>
        <w:t>.</w:t>
      </w:r>
      <w:r w:rsidR="009677BB" w:rsidRPr="00EF4250">
        <w:rPr>
          <w:rFonts w:ascii="Times New Roman" w:hAnsi="Times New Roman"/>
          <w:szCs w:val="20"/>
        </w:rPr>
        <w:t xml:space="preserve"> Worksheet for estimating the risk ratio of opioid-related non-overdose mortality for </w:t>
      </w:r>
      <w:r w:rsidR="00CB6C17" w:rsidRPr="00EF4250">
        <w:rPr>
          <w:rFonts w:ascii="Times New Roman" w:hAnsi="Times New Roman"/>
          <w:szCs w:val="20"/>
        </w:rPr>
        <w:t>the MOUD state with methadone compared with the OUD state</w:t>
      </w:r>
      <w:r w:rsidR="009677BB" w:rsidRPr="00EF4250">
        <w:rPr>
          <w:rFonts w:ascii="Times New Roman" w:hAnsi="Times New Roman"/>
          <w:szCs w:val="20"/>
        </w:rPr>
        <w:t>.</w:t>
      </w:r>
    </w:p>
    <w:tbl>
      <w:tblPr>
        <w:tblStyle w:val="TableGrid"/>
        <w:tblW w:w="8075" w:type="dxa"/>
        <w:tblLook w:val="04A0" w:firstRow="1" w:lastRow="0" w:firstColumn="1" w:lastColumn="0" w:noHBand="0" w:noVBand="1"/>
      </w:tblPr>
      <w:tblGrid>
        <w:gridCol w:w="4673"/>
        <w:gridCol w:w="1701"/>
        <w:gridCol w:w="1701"/>
      </w:tblGrid>
      <w:tr w:rsidR="000D24D0" w:rsidRPr="00D2239A" w14:paraId="5506C48E" w14:textId="6E6868CF" w:rsidTr="00814F89">
        <w:tc>
          <w:tcPr>
            <w:tcW w:w="4673" w:type="dxa"/>
          </w:tcPr>
          <w:p w14:paraId="19D80586" w14:textId="5568C240" w:rsidR="00814F89" w:rsidRPr="00D2239A" w:rsidRDefault="00814F89" w:rsidP="003F54CF">
            <w:pPr>
              <w:spacing w:line="276" w:lineRule="auto"/>
              <w:rPr>
                <w:rFonts w:cs="Times New Roman"/>
                <w:b/>
                <w:bCs/>
                <w:sz w:val="18"/>
                <w:szCs w:val="18"/>
              </w:rPr>
            </w:pPr>
            <w:r w:rsidRPr="00D2239A">
              <w:rPr>
                <w:rFonts w:cs="Times New Roman"/>
                <w:b/>
                <w:bCs/>
                <w:sz w:val="18"/>
                <w:szCs w:val="18"/>
              </w:rPr>
              <w:t>Rate (deaths per 1000 person years)</w:t>
            </w:r>
          </w:p>
        </w:tc>
        <w:tc>
          <w:tcPr>
            <w:tcW w:w="1701" w:type="dxa"/>
          </w:tcPr>
          <w:p w14:paraId="0F589989" w14:textId="2EF0EBD7" w:rsidR="00814F89" w:rsidRPr="00D2239A" w:rsidRDefault="00814F89" w:rsidP="00C0798F">
            <w:pPr>
              <w:spacing w:line="276" w:lineRule="auto"/>
              <w:jc w:val="center"/>
              <w:rPr>
                <w:rFonts w:cs="Times New Roman"/>
                <w:b/>
                <w:bCs/>
                <w:sz w:val="18"/>
                <w:szCs w:val="18"/>
              </w:rPr>
            </w:pPr>
            <w:r w:rsidRPr="00D2239A">
              <w:rPr>
                <w:rFonts w:cs="Times New Roman"/>
                <w:b/>
                <w:bCs/>
                <w:sz w:val="18"/>
                <w:szCs w:val="18"/>
              </w:rPr>
              <w:t>Value for methadone</w:t>
            </w:r>
          </w:p>
        </w:tc>
        <w:tc>
          <w:tcPr>
            <w:tcW w:w="1701" w:type="dxa"/>
          </w:tcPr>
          <w:p w14:paraId="3689BEF1" w14:textId="6B9461BB" w:rsidR="00814F89" w:rsidRPr="00D2239A" w:rsidRDefault="00814F89" w:rsidP="00C0798F">
            <w:pPr>
              <w:spacing w:line="276" w:lineRule="auto"/>
              <w:jc w:val="center"/>
              <w:rPr>
                <w:rFonts w:cs="Times New Roman"/>
                <w:b/>
                <w:bCs/>
                <w:sz w:val="18"/>
                <w:szCs w:val="18"/>
              </w:rPr>
            </w:pPr>
            <w:r w:rsidRPr="00D2239A">
              <w:rPr>
                <w:rFonts w:cs="Times New Roman"/>
                <w:b/>
                <w:bCs/>
                <w:sz w:val="18"/>
                <w:szCs w:val="18"/>
              </w:rPr>
              <w:t xml:space="preserve">Value for </w:t>
            </w:r>
            <w:r w:rsidR="00EC3631" w:rsidRPr="00D2239A">
              <w:rPr>
                <w:rFonts w:cs="Times New Roman"/>
                <w:b/>
                <w:bCs/>
                <w:sz w:val="18"/>
                <w:szCs w:val="18"/>
              </w:rPr>
              <w:t>buprenorphine</w:t>
            </w:r>
          </w:p>
        </w:tc>
      </w:tr>
      <w:tr w:rsidR="000D24D0" w:rsidRPr="00D2239A" w14:paraId="676CA546" w14:textId="5D6EF333" w:rsidTr="00814F89">
        <w:tc>
          <w:tcPr>
            <w:tcW w:w="4673" w:type="dxa"/>
          </w:tcPr>
          <w:p w14:paraId="7FAF66BB" w14:textId="2B283965" w:rsidR="00814F89" w:rsidRPr="00D2239A" w:rsidRDefault="00814F89" w:rsidP="003F54CF">
            <w:pPr>
              <w:spacing w:line="276" w:lineRule="auto"/>
              <w:rPr>
                <w:rFonts w:cs="Times New Roman"/>
                <w:sz w:val="18"/>
                <w:szCs w:val="18"/>
              </w:rPr>
            </w:pPr>
            <w:r w:rsidRPr="00D2239A">
              <w:rPr>
                <w:rFonts w:cs="Times New Roman"/>
                <w:sz w:val="18"/>
                <w:szCs w:val="18"/>
              </w:rPr>
              <w:t>All-cause mortality in treatment</w:t>
            </w:r>
          </w:p>
        </w:tc>
        <w:tc>
          <w:tcPr>
            <w:tcW w:w="1701" w:type="dxa"/>
          </w:tcPr>
          <w:p w14:paraId="07050A66" w14:textId="77777777" w:rsidR="00814F89" w:rsidRPr="00D2239A" w:rsidRDefault="00814F89" w:rsidP="00C0798F">
            <w:pPr>
              <w:spacing w:line="276" w:lineRule="auto"/>
              <w:jc w:val="center"/>
              <w:rPr>
                <w:rFonts w:cs="Times New Roman"/>
                <w:sz w:val="18"/>
                <w:szCs w:val="18"/>
              </w:rPr>
            </w:pPr>
            <w:r w:rsidRPr="00D2239A">
              <w:rPr>
                <w:rFonts w:cs="Times New Roman"/>
                <w:sz w:val="18"/>
                <w:szCs w:val="18"/>
              </w:rPr>
              <w:t>11.3</w:t>
            </w:r>
          </w:p>
        </w:tc>
        <w:tc>
          <w:tcPr>
            <w:tcW w:w="1701" w:type="dxa"/>
          </w:tcPr>
          <w:p w14:paraId="0474C898" w14:textId="749BE3F8" w:rsidR="00814F89" w:rsidRPr="00D2239A" w:rsidRDefault="00921B62" w:rsidP="00C0798F">
            <w:pPr>
              <w:spacing w:line="276" w:lineRule="auto"/>
              <w:jc w:val="center"/>
              <w:rPr>
                <w:rFonts w:cs="Times New Roman"/>
                <w:sz w:val="18"/>
                <w:szCs w:val="18"/>
              </w:rPr>
            </w:pPr>
            <w:r w:rsidRPr="00D2239A">
              <w:rPr>
                <w:rFonts w:cs="Times New Roman"/>
                <w:sz w:val="18"/>
                <w:szCs w:val="18"/>
              </w:rPr>
              <w:t>4.3</w:t>
            </w:r>
          </w:p>
        </w:tc>
      </w:tr>
      <w:tr w:rsidR="000D24D0" w:rsidRPr="00D2239A" w14:paraId="6A12C681" w14:textId="0F401343" w:rsidTr="00814F89">
        <w:tc>
          <w:tcPr>
            <w:tcW w:w="4673" w:type="dxa"/>
          </w:tcPr>
          <w:p w14:paraId="4E0D4D70" w14:textId="4C999B33" w:rsidR="00814F89" w:rsidRPr="00D2239A" w:rsidRDefault="00814F89" w:rsidP="003F54CF">
            <w:pPr>
              <w:spacing w:line="276" w:lineRule="auto"/>
              <w:rPr>
                <w:rFonts w:cs="Times New Roman"/>
                <w:sz w:val="18"/>
                <w:szCs w:val="18"/>
              </w:rPr>
            </w:pPr>
            <w:r w:rsidRPr="00D2239A">
              <w:rPr>
                <w:rFonts w:cs="Times New Roman"/>
                <w:sz w:val="18"/>
                <w:szCs w:val="18"/>
              </w:rPr>
              <w:t>All-cause mortality out of treatment</w:t>
            </w:r>
          </w:p>
        </w:tc>
        <w:tc>
          <w:tcPr>
            <w:tcW w:w="1701" w:type="dxa"/>
          </w:tcPr>
          <w:p w14:paraId="6F60A7D0" w14:textId="77777777" w:rsidR="00814F89" w:rsidRPr="00D2239A" w:rsidRDefault="00814F89" w:rsidP="00C0798F">
            <w:pPr>
              <w:spacing w:line="276" w:lineRule="auto"/>
              <w:jc w:val="center"/>
              <w:rPr>
                <w:rFonts w:cs="Times New Roman"/>
                <w:sz w:val="18"/>
                <w:szCs w:val="18"/>
              </w:rPr>
            </w:pPr>
            <w:r w:rsidRPr="00D2239A">
              <w:rPr>
                <w:rFonts w:cs="Times New Roman"/>
                <w:sz w:val="18"/>
                <w:szCs w:val="18"/>
              </w:rPr>
              <w:t>36.1</w:t>
            </w:r>
          </w:p>
        </w:tc>
        <w:tc>
          <w:tcPr>
            <w:tcW w:w="1701" w:type="dxa"/>
          </w:tcPr>
          <w:p w14:paraId="282FB2FB" w14:textId="40B2CA1D" w:rsidR="00814F89" w:rsidRPr="00D2239A" w:rsidRDefault="00921B62" w:rsidP="00C0798F">
            <w:pPr>
              <w:spacing w:line="276" w:lineRule="auto"/>
              <w:jc w:val="center"/>
              <w:rPr>
                <w:rFonts w:cs="Times New Roman"/>
                <w:sz w:val="18"/>
                <w:szCs w:val="18"/>
              </w:rPr>
            </w:pPr>
            <w:r w:rsidRPr="00D2239A">
              <w:rPr>
                <w:rFonts w:cs="Times New Roman"/>
                <w:sz w:val="18"/>
                <w:szCs w:val="18"/>
              </w:rPr>
              <w:t>9.5</w:t>
            </w:r>
          </w:p>
        </w:tc>
      </w:tr>
      <w:tr w:rsidR="000D24D0" w:rsidRPr="00D2239A" w14:paraId="64BD655B" w14:textId="48F1FF28" w:rsidTr="00814F89">
        <w:tc>
          <w:tcPr>
            <w:tcW w:w="4673" w:type="dxa"/>
          </w:tcPr>
          <w:p w14:paraId="6D562B16" w14:textId="77777777" w:rsidR="00814F89" w:rsidRPr="00D2239A" w:rsidRDefault="00814F89" w:rsidP="003F54CF">
            <w:pPr>
              <w:spacing w:line="276" w:lineRule="auto"/>
              <w:rPr>
                <w:rFonts w:cs="Times New Roman"/>
                <w:sz w:val="18"/>
                <w:szCs w:val="18"/>
              </w:rPr>
            </w:pPr>
            <w:r w:rsidRPr="00D2239A">
              <w:rPr>
                <w:rFonts w:cs="Times New Roman"/>
                <w:sz w:val="18"/>
                <w:szCs w:val="18"/>
              </w:rPr>
              <w:t>Opioid overdose mortality in treatment</w:t>
            </w:r>
          </w:p>
        </w:tc>
        <w:tc>
          <w:tcPr>
            <w:tcW w:w="1701" w:type="dxa"/>
          </w:tcPr>
          <w:p w14:paraId="1DBFDE3C" w14:textId="77777777" w:rsidR="00814F89" w:rsidRPr="00D2239A" w:rsidRDefault="00814F89" w:rsidP="00C0798F">
            <w:pPr>
              <w:spacing w:line="276" w:lineRule="auto"/>
              <w:jc w:val="center"/>
              <w:rPr>
                <w:rFonts w:cs="Times New Roman"/>
                <w:sz w:val="18"/>
                <w:szCs w:val="18"/>
              </w:rPr>
            </w:pPr>
            <w:r w:rsidRPr="00D2239A">
              <w:rPr>
                <w:rFonts w:cs="Times New Roman"/>
                <w:sz w:val="18"/>
                <w:szCs w:val="18"/>
              </w:rPr>
              <w:t>2.6</w:t>
            </w:r>
          </w:p>
        </w:tc>
        <w:tc>
          <w:tcPr>
            <w:tcW w:w="1701" w:type="dxa"/>
          </w:tcPr>
          <w:p w14:paraId="06D66F50" w14:textId="2F1C961A" w:rsidR="00814F89" w:rsidRPr="00D2239A" w:rsidRDefault="00921B62" w:rsidP="00C0798F">
            <w:pPr>
              <w:spacing w:line="276" w:lineRule="auto"/>
              <w:jc w:val="center"/>
              <w:rPr>
                <w:rFonts w:cs="Times New Roman"/>
                <w:sz w:val="18"/>
                <w:szCs w:val="18"/>
              </w:rPr>
            </w:pPr>
            <w:r w:rsidRPr="00D2239A">
              <w:rPr>
                <w:rFonts w:cs="Times New Roman"/>
                <w:sz w:val="18"/>
                <w:szCs w:val="18"/>
              </w:rPr>
              <w:t>1.4</w:t>
            </w:r>
          </w:p>
        </w:tc>
      </w:tr>
      <w:tr w:rsidR="000D24D0" w:rsidRPr="00D2239A" w14:paraId="5CCB8616" w14:textId="6B78F201" w:rsidTr="00814F89">
        <w:tc>
          <w:tcPr>
            <w:tcW w:w="4673" w:type="dxa"/>
          </w:tcPr>
          <w:p w14:paraId="50E651CA" w14:textId="77777777" w:rsidR="00814F89" w:rsidRPr="00D2239A" w:rsidRDefault="00814F89" w:rsidP="003F54CF">
            <w:pPr>
              <w:spacing w:line="276" w:lineRule="auto"/>
              <w:rPr>
                <w:rFonts w:cs="Times New Roman"/>
                <w:sz w:val="18"/>
                <w:szCs w:val="18"/>
              </w:rPr>
            </w:pPr>
            <w:r w:rsidRPr="00D2239A">
              <w:rPr>
                <w:rFonts w:cs="Times New Roman"/>
                <w:sz w:val="18"/>
                <w:szCs w:val="18"/>
              </w:rPr>
              <w:t>Opioid overdose mortality out of treatment</w:t>
            </w:r>
          </w:p>
        </w:tc>
        <w:tc>
          <w:tcPr>
            <w:tcW w:w="1701" w:type="dxa"/>
            <w:vAlign w:val="bottom"/>
          </w:tcPr>
          <w:p w14:paraId="2EDC8448" w14:textId="77777777" w:rsidR="00814F89" w:rsidRPr="00D2239A" w:rsidRDefault="00814F89" w:rsidP="00C0798F">
            <w:pPr>
              <w:spacing w:line="276" w:lineRule="auto"/>
              <w:jc w:val="center"/>
              <w:rPr>
                <w:rFonts w:cs="Times New Roman"/>
                <w:sz w:val="18"/>
                <w:szCs w:val="18"/>
              </w:rPr>
            </w:pPr>
            <w:r w:rsidRPr="00D2239A">
              <w:rPr>
                <w:rFonts w:cs="Times New Roman"/>
                <w:sz w:val="18"/>
                <w:szCs w:val="18"/>
              </w:rPr>
              <w:t>12.7</w:t>
            </w:r>
          </w:p>
        </w:tc>
        <w:tc>
          <w:tcPr>
            <w:tcW w:w="1701" w:type="dxa"/>
          </w:tcPr>
          <w:p w14:paraId="19E8F512" w14:textId="26247076" w:rsidR="00814F89" w:rsidRPr="00D2239A" w:rsidRDefault="00921B62" w:rsidP="00C0798F">
            <w:pPr>
              <w:spacing w:line="276" w:lineRule="auto"/>
              <w:jc w:val="center"/>
              <w:rPr>
                <w:rFonts w:cs="Times New Roman"/>
                <w:sz w:val="18"/>
                <w:szCs w:val="18"/>
              </w:rPr>
            </w:pPr>
            <w:r w:rsidRPr="00D2239A">
              <w:rPr>
                <w:rFonts w:cs="Times New Roman"/>
                <w:sz w:val="18"/>
                <w:szCs w:val="18"/>
              </w:rPr>
              <w:t>4.6</w:t>
            </w:r>
          </w:p>
        </w:tc>
      </w:tr>
      <w:tr w:rsidR="000D24D0" w:rsidRPr="00D2239A" w14:paraId="5BD48B1E" w14:textId="190E6BD0" w:rsidTr="005F41EF">
        <w:tc>
          <w:tcPr>
            <w:tcW w:w="4673" w:type="dxa"/>
            <w:tcBorders>
              <w:bottom w:val="single" w:sz="4" w:space="0" w:color="auto"/>
            </w:tcBorders>
          </w:tcPr>
          <w:p w14:paraId="06E3E239" w14:textId="77777777" w:rsidR="00814F89" w:rsidRPr="00D2239A" w:rsidRDefault="00814F89" w:rsidP="003F54CF">
            <w:pPr>
              <w:spacing w:line="276" w:lineRule="auto"/>
              <w:rPr>
                <w:rFonts w:cs="Times New Roman"/>
                <w:sz w:val="18"/>
                <w:szCs w:val="18"/>
              </w:rPr>
            </w:pPr>
            <w:r w:rsidRPr="00D2239A">
              <w:rPr>
                <w:rFonts w:cs="Times New Roman"/>
                <w:sz w:val="18"/>
                <w:szCs w:val="18"/>
              </w:rPr>
              <w:t>Opioid-related non-overdose mortality in treatment</w:t>
            </w:r>
          </w:p>
        </w:tc>
        <w:tc>
          <w:tcPr>
            <w:tcW w:w="1701" w:type="dxa"/>
            <w:tcBorders>
              <w:bottom w:val="single" w:sz="4" w:space="0" w:color="auto"/>
            </w:tcBorders>
            <w:vAlign w:val="bottom"/>
          </w:tcPr>
          <w:p w14:paraId="6F6A4B38" w14:textId="77777777" w:rsidR="00814F89" w:rsidRPr="00D2239A" w:rsidRDefault="00814F89" w:rsidP="00C0798F">
            <w:pPr>
              <w:spacing w:line="276" w:lineRule="auto"/>
              <w:jc w:val="center"/>
              <w:rPr>
                <w:rFonts w:cs="Times New Roman"/>
                <w:sz w:val="18"/>
                <w:szCs w:val="18"/>
              </w:rPr>
            </w:pPr>
            <w:r w:rsidRPr="00D2239A">
              <w:rPr>
                <w:rFonts w:cs="Times New Roman"/>
                <w:sz w:val="18"/>
                <w:szCs w:val="18"/>
              </w:rPr>
              <w:t>11.3 – 2.6 = 8.7</w:t>
            </w:r>
          </w:p>
        </w:tc>
        <w:tc>
          <w:tcPr>
            <w:tcW w:w="1701" w:type="dxa"/>
            <w:tcBorders>
              <w:bottom w:val="single" w:sz="4" w:space="0" w:color="auto"/>
            </w:tcBorders>
          </w:tcPr>
          <w:p w14:paraId="594ACDD9" w14:textId="79477C2A" w:rsidR="00814F89" w:rsidRPr="00D2239A" w:rsidRDefault="00921B62" w:rsidP="00C0798F">
            <w:pPr>
              <w:spacing w:line="276" w:lineRule="auto"/>
              <w:jc w:val="center"/>
              <w:rPr>
                <w:rFonts w:cs="Times New Roman"/>
                <w:sz w:val="18"/>
                <w:szCs w:val="18"/>
              </w:rPr>
            </w:pPr>
            <w:r w:rsidRPr="00D2239A">
              <w:rPr>
                <w:rFonts w:cs="Times New Roman"/>
                <w:sz w:val="18"/>
                <w:szCs w:val="18"/>
              </w:rPr>
              <w:t>2.9</w:t>
            </w:r>
          </w:p>
        </w:tc>
      </w:tr>
      <w:tr w:rsidR="000D24D0" w:rsidRPr="00D2239A" w14:paraId="5896151F" w14:textId="25C7DC05" w:rsidTr="005F41EF">
        <w:tc>
          <w:tcPr>
            <w:tcW w:w="4673" w:type="dxa"/>
            <w:tcBorders>
              <w:bottom w:val="single" w:sz="4" w:space="0" w:color="auto"/>
            </w:tcBorders>
          </w:tcPr>
          <w:p w14:paraId="03E9EDC5" w14:textId="77777777" w:rsidR="00814F89" w:rsidRPr="00D2239A" w:rsidRDefault="00814F89" w:rsidP="003F54CF">
            <w:pPr>
              <w:spacing w:line="276" w:lineRule="auto"/>
              <w:rPr>
                <w:rFonts w:cs="Times New Roman"/>
                <w:sz w:val="18"/>
                <w:szCs w:val="18"/>
              </w:rPr>
            </w:pPr>
            <w:r w:rsidRPr="00D2239A">
              <w:rPr>
                <w:rFonts w:cs="Times New Roman"/>
                <w:sz w:val="18"/>
                <w:szCs w:val="18"/>
              </w:rPr>
              <w:t>Opioid-related non-overdose mortality out of treatment</w:t>
            </w:r>
          </w:p>
        </w:tc>
        <w:tc>
          <w:tcPr>
            <w:tcW w:w="1701" w:type="dxa"/>
            <w:tcBorders>
              <w:bottom w:val="single" w:sz="4" w:space="0" w:color="auto"/>
            </w:tcBorders>
            <w:vAlign w:val="bottom"/>
          </w:tcPr>
          <w:p w14:paraId="4053594F" w14:textId="77777777" w:rsidR="00814F89" w:rsidRPr="00D2239A" w:rsidRDefault="00814F89" w:rsidP="00C0798F">
            <w:pPr>
              <w:spacing w:line="276" w:lineRule="auto"/>
              <w:jc w:val="center"/>
              <w:rPr>
                <w:rFonts w:cs="Times New Roman"/>
                <w:sz w:val="18"/>
                <w:szCs w:val="18"/>
              </w:rPr>
            </w:pPr>
            <w:r w:rsidRPr="00D2239A">
              <w:rPr>
                <w:rFonts w:cs="Times New Roman"/>
                <w:sz w:val="18"/>
                <w:szCs w:val="18"/>
              </w:rPr>
              <w:t>36.1 – 12.7 = 23.4</w:t>
            </w:r>
          </w:p>
        </w:tc>
        <w:tc>
          <w:tcPr>
            <w:tcW w:w="1701" w:type="dxa"/>
            <w:tcBorders>
              <w:bottom w:val="single" w:sz="4" w:space="0" w:color="auto"/>
            </w:tcBorders>
          </w:tcPr>
          <w:p w14:paraId="7F506BA7" w14:textId="6E7BB26A" w:rsidR="00814F89" w:rsidRPr="00D2239A" w:rsidRDefault="00921B62" w:rsidP="00C0798F">
            <w:pPr>
              <w:spacing w:line="276" w:lineRule="auto"/>
              <w:jc w:val="center"/>
              <w:rPr>
                <w:rFonts w:cs="Times New Roman"/>
                <w:sz w:val="18"/>
                <w:szCs w:val="18"/>
              </w:rPr>
            </w:pPr>
            <w:r w:rsidRPr="00D2239A">
              <w:rPr>
                <w:rFonts w:cs="Times New Roman"/>
                <w:sz w:val="18"/>
                <w:szCs w:val="18"/>
              </w:rPr>
              <w:t>4.9</w:t>
            </w:r>
          </w:p>
        </w:tc>
      </w:tr>
      <w:tr w:rsidR="000D24D0" w:rsidRPr="00D2239A" w14:paraId="7C2E5178" w14:textId="4B3EDC94" w:rsidTr="005F41EF">
        <w:tc>
          <w:tcPr>
            <w:tcW w:w="4673" w:type="dxa"/>
            <w:tcBorders>
              <w:top w:val="single" w:sz="4" w:space="0" w:color="auto"/>
            </w:tcBorders>
          </w:tcPr>
          <w:p w14:paraId="10B535E8" w14:textId="77777777" w:rsidR="00814F89" w:rsidRPr="00D2239A" w:rsidRDefault="00814F89" w:rsidP="003F54CF">
            <w:pPr>
              <w:spacing w:line="276" w:lineRule="auto"/>
              <w:rPr>
                <w:rFonts w:cs="Times New Roman"/>
                <w:b/>
                <w:bCs/>
                <w:sz w:val="18"/>
                <w:szCs w:val="18"/>
              </w:rPr>
            </w:pPr>
            <w:r w:rsidRPr="00D2239A">
              <w:rPr>
                <w:rFonts w:cs="Times New Roman"/>
                <w:b/>
                <w:bCs/>
                <w:sz w:val="18"/>
                <w:szCs w:val="18"/>
              </w:rPr>
              <w:t>Risk ratio</w:t>
            </w:r>
          </w:p>
        </w:tc>
        <w:tc>
          <w:tcPr>
            <w:tcW w:w="1701" w:type="dxa"/>
            <w:tcBorders>
              <w:top w:val="single" w:sz="4" w:space="0" w:color="auto"/>
            </w:tcBorders>
            <w:vAlign w:val="bottom"/>
          </w:tcPr>
          <w:p w14:paraId="12E1D17D" w14:textId="77777777" w:rsidR="00814F89" w:rsidRPr="00D2239A" w:rsidRDefault="00814F89" w:rsidP="00C0798F">
            <w:pPr>
              <w:spacing w:line="276" w:lineRule="auto"/>
              <w:jc w:val="center"/>
              <w:rPr>
                <w:rFonts w:cs="Times New Roman"/>
                <w:b/>
                <w:bCs/>
                <w:sz w:val="18"/>
                <w:szCs w:val="18"/>
              </w:rPr>
            </w:pPr>
            <w:r w:rsidRPr="00D2239A">
              <w:rPr>
                <w:rFonts w:cs="Times New Roman"/>
                <w:b/>
                <w:bCs/>
                <w:sz w:val="18"/>
                <w:szCs w:val="18"/>
              </w:rPr>
              <w:t>8.7 / 23.4 = 0.37</w:t>
            </w:r>
          </w:p>
        </w:tc>
        <w:tc>
          <w:tcPr>
            <w:tcW w:w="1701" w:type="dxa"/>
            <w:tcBorders>
              <w:top w:val="single" w:sz="4" w:space="0" w:color="auto"/>
            </w:tcBorders>
          </w:tcPr>
          <w:p w14:paraId="45A0FDCB" w14:textId="79B4D7AA" w:rsidR="00814F89" w:rsidRPr="00D2239A" w:rsidRDefault="00921B62" w:rsidP="00C0798F">
            <w:pPr>
              <w:spacing w:line="276" w:lineRule="auto"/>
              <w:jc w:val="center"/>
              <w:rPr>
                <w:rFonts w:cs="Times New Roman"/>
                <w:b/>
                <w:bCs/>
                <w:sz w:val="18"/>
                <w:szCs w:val="18"/>
              </w:rPr>
            </w:pPr>
            <w:r w:rsidRPr="00D2239A">
              <w:rPr>
                <w:rFonts w:cs="Times New Roman"/>
                <w:b/>
                <w:bCs/>
                <w:sz w:val="18"/>
                <w:szCs w:val="18"/>
              </w:rPr>
              <w:t>2.9 / 4.9 = 0.59</w:t>
            </w:r>
          </w:p>
        </w:tc>
      </w:tr>
    </w:tbl>
    <w:p w14:paraId="7215AB1C" w14:textId="77777777" w:rsidR="0053409C" w:rsidRPr="00D2239A" w:rsidRDefault="0053409C" w:rsidP="003F54CF">
      <w:pPr>
        <w:spacing w:line="276" w:lineRule="auto"/>
        <w:rPr>
          <w:rFonts w:cs="Times New Roman"/>
          <w:b/>
          <w:bCs/>
          <w:color w:val="385623" w:themeColor="accent6" w:themeShade="80"/>
          <w:szCs w:val="20"/>
        </w:rPr>
      </w:pPr>
    </w:p>
    <w:p w14:paraId="631B974E" w14:textId="059A8471" w:rsidR="007A04E9" w:rsidRPr="00D2239A" w:rsidRDefault="00964BBC" w:rsidP="00363E8B">
      <w:pPr>
        <w:pStyle w:val="Heading1"/>
      </w:pPr>
      <w:bookmarkStart w:id="38" w:name="_Toc206680998"/>
      <w:bookmarkStart w:id="39" w:name="_Hlk161053797"/>
      <w:bookmarkStart w:id="40" w:name="_Toc226020688"/>
      <w:r w:rsidRPr="00D2239A">
        <w:t>S1.</w:t>
      </w:r>
      <w:r w:rsidR="00C11A80" w:rsidRPr="00D2239A">
        <w:t>5</w:t>
      </w:r>
      <w:r w:rsidRPr="00D2239A">
        <w:t>. Model calibration</w:t>
      </w:r>
      <w:bookmarkEnd w:id="38"/>
      <w:bookmarkEnd w:id="40"/>
    </w:p>
    <w:bookmarkEnd w:id="39"/>
    <w:p w14:paraId="5358D0B7" w14:textId="000961D9" w:rsidR="00835609" w:rsidRPr="00EF4250" w:rsidRDefault="00252B0B" w:rsidP="000F7FBE">
      <w:pPr>
        <w:spacing w:line="276" w:lineRule="auto"/>
        <w:rPr>
          <w:rFonts w:cs="Times New Roman"/>
          <w:szCs w:val="20"/>
        </w:rPr>
      </w:pPr>
      <w:r w:rsidRPr="00EF4250">
        <w:rPr>
          <w:rFonts w:cs="Times New Roman"/>
          <w:szCs w:val="20"/>
        </w:rPr>
        <w:t>Some</w:t>
      </w:r>
      <w:r w:rsidR="008A388C" w:rsidRPr="00EF4250">
        <w:rPr>
          <w:rFonts w:cs="Times New Roman"/>
          <w:szCs w:val="20"/>
        </w:rPr>
        <w:t xml:space="preserve"> </w:t>
      </w:r>
      <w:r w:rsidR="00835609" w:rsidRPr="00EF4250">
        <w:rPr>
          <w:rFonts w:cs="Times New Roman"/>
          <w:szCs w:val="20"/>
        </w:rPr>
        <w:t>model parameters</w:t>
      </w:r>
      <w:r w:rsidR="008A388C" w:rsidRPr="00EF4250">
        <w:rPr>
          <w:rFonts w:cs="Times New Roman"/>
          <w:szCs w:val="20"/>
        </w:rPr>
        <w:t>, such as transition probabilities between health states, were</w:t>
      </w:r>
      <w:r w:rsidR="00835609" w:rsidRPr="00EF4250">
        <w:rPr>
          <w:rFonts w:cs="Times New Roman"/>
          <w:szCs w:val="20"/>
        </w:rPr>
        <w:t xml:space="preserve"> not directly observable </w:t>
      </w:r>
      <w:r w:rsidR="008A388C" w:rsidRPr="00EF4250">
        <w:rPr>
          <w:rFonts w:cs="Times New Roman"/>
          <w:szCs w:val="20"/>
        </w:rPr>
        <w:t xml:space="preserve">from data, nor had existing </w:t>
      </w:r>
      <w:r w:rsidR="00835609" w:rsidRPr="00EF4250">
        <w:rPr>
          <w:rFonts w:cs="Times New Roman"/>
          <w:szCs w:val="20"/>
        </w:rPr>
        <w:t>estimates readily available from literature</w:t>
      </w:r>
      <w:r w:rsidR="008A388C" w:rsidRPr="00EF4250">
        <w:rPr>
          <w:rFonts w:cs="Times New Roman"/>
          <w:szCs w:val="20"/>
        </w:rPr>
        <w:t xml:space="preserve">. To estimate these parameter values, we applied </w:t>
      </w:r>
      <w:r w:rsidR="00C91A0F" w:rsidRPr="00EF4250">
        <w:rPr>
          <w:rFonts w:cs="Times New Roman"/>
          <w:szCs w:val="20"/>
        </w:rPr>
        <w:t xml:space="preserve">a </w:t>
      </w:r>
      <w:r w:rsidR="00835609" w:rsidRPr="00EF4250">
        <w:rPr>
          <w:rFonts w:cs="Times New Roman"/>
          <w:szCs w:val="20"/>
        </w:rPr>
        <w:t>model calibration</w:t>
      </w:r>
      <w:r w:rsidR="008A388C" w:rsidRPr="00EF4250">
        <w:rPr>
          <w:rFonts w:cs="Times New Roman"/>
          <w:szCs w:val="20"/>
        </w:rPr>
        <w:t xml:space="preserve"> approach</w:t>
      </w:r>
      <w:r w:rsidR="00835609" w:rsidRPr="00EF4250">
        <w:rPr>
          <w:rFonts w:cs="Times New Roman"/>
          <w:szCs w:val="20"/>
        </w:rPr>
        <w:t xml:space="preserve">. </w:t>
      </w:r>
      <w:r w:rsidR="00513608" w:rsidRPr="00EF4250">
        <w:rPr>
          <w:rFonts w:cs="Times New Roman"/>
          <w:szCs w:val="20"/>
        </w:rPr>
        <w:t>Calibration targets include</w:t>
      </w:r>
      <w:r w:rsidR="00262CBB" w:rsidRPr="00EF4250">
        <w:rPr>
          <w:rFonts w:cs="Times New Roman"/>
          <w:szCs w:val="20"/>
        </w:rPr>
        <w:t>d</w:t>
      </w:r>
      <w:r w:rsidR="00513608" w:rsidRPr="00EF4250">
        <w:rPr>
          <w:rFonts w:cs="Times New Roman"/>
          <w:szCs w:val="20"/>
        </w:rPr>
        <w:t xml:space="preserve"> </w:t>
      </w:r>
      <w:r w:rsidR="002E2310" w:rsidRPr="00EF4250">
        <w:rPr>
          <w:rFonts w:cs="Times New Roman"/>
          <w:szCs w:val="20"/>
        </w:rPr>
        <w:t xml:space="preserve">eight </w:t>
      </w:r>
      <w:r w:rsidR="00513608" w:rsidRPr="00EF4250">
        <w:rPr>
          <w:rFonts w:cs="Times New Roman"/>
          <w:szCs w:val="20"/>
        </w:rPr>
        <w:t xml:space="preserve">HCS outcome measures and </w:t>
      </w:r>
      <w:r w:rsidR="002E2310" w:rsidRPr="00EF4250">
        <w:rPr>
          <w:rFonts w:cs="Times New Roman"/>
          <w:szCs w:val="20"/>
        </w:rPr>
        <w:t xml:space="preserve">three </w:t>
      </w:r>
      <w:r w:rsidR="00513608" w:rsidRPr="00EF4250">
        <w:rPr>
          <w:rFonts w:cs="Times New Roman"/>
          <w:szCs w:val="20"/>
        </w:rPr>
        <w:t>prevalence estimates from other sources</w:t>
      </w:r>
      <w:r w:rsidR="001A7349" w:rsidRPr="00EF4250">
        <w:rPr>
          <w:rFonts w:cs="Times New Roman"/>
          <w:szCs w:val="20"/>
        </w:rPr>
        <w:t>. T</w:t>
      </w:r>
      <w:r w:rsidR="002F698B" w:rsidRPr="00EF4250">
        <w:rPr>
          <w:rFonts w:cs="Times New Roman"/>
          <w:szCs w:val="20"/>
        </w:rPr>
        <w:t xml:space="preserve">he </w:t>
      </w:r>
      <w:r w:rsidR="001A7349" w:rsidRPr="00EF4250">
        <w:rPr>
          <w:rFonts w:cs="Times New Roman"/>
          <w:szCs w:val="20"/>
        </w:rPr>
        <w:t xml:space="preserve">calibration </w:t>
      </w:r>
      <w:r w:rsidR="002F698B" w:rsidRPr="00EF4250">
        <w:rPr>
          <w:rFonts w:cs="Times New Roman"/>
          <w:szCs w:val="20"/>
        </w:rPr>
        <w:t xml:space="preserve">process </w:t>
      </w:r>
      <w:r w:rsidR="00262CBB" w:rsidRPr="00EF4250">
        <w:rPr>
          <w:rFonts w:cs="Times New Roman"/>
          <w:szCs w:val="20"/>
        </w:rPr>
        <w:t xml:space="preserve">was </w:t>
      </w:r>
      <w:r w:rsidR="002F698B" w:rsidRPr="00EF4250">
        <w:rPr>
          <w:rFonts w:cs="Times New Roman"/>
          <w:szCs w:val="20"/>
        </w:rPr>
        <w:t>repeated for each</w:t>
      </w:r>
      <w:r w:rsidR="0002251A" w:rsidRPr="00EF4250">
        <w:rPr>
          <w:rFonts w:cs="Times New Roman"/>
          <w:szCs w:val="20"/>
        </w:rPr>
        <w:t xml:space="preserve"> of the </w:t>
      </w:r>
      <w:r w:rsidR="006C71A2">
        <w:rPr>
          <w:rFonts w:cs="Times New Roman"/>
          <w:szCs w:val="20"/>
        </w:rPr>
        <w:t>26</w:t>
      </w:r>
      <w:r w:rsidR="002F698B" w:rsidRPr="00EF4250">
        <w:rPr>
          <w:rFonts w:cs="Times New Roman"/>
          <w:szCs w:val="20"/>
        </w:rPr>
        <w:t xml:space="preserve"> communit</w:t>
      </w:r>
      <w:r w:rsidR="0002251A" w:rsidRPr="00EF4250">
        <w:rPr>
          <w:rFonts w:cs="Times New Roman"/>
          <w:szCs w:val="20"/>
        </w:rPr>
        <w:t>ies</w:t>
      </w:r>
      <w:r w:rsidR="00513608" w:rsidRPr="00EF4250">
        <w:rPr>
          <w:rFonts w:cs="Times New Roman"/>
          <w:szCs w:val="20"/>
        </w:rPr>
        <w:t xml:space="preserve"> (</w:t>
      </w:r>
      <w:r w:rsidR="00A87FBF" w:rsidRPr="00626C29">
        <w:rPr>
          <w:b/>
          <w:szCs w:val="20"/>
        </w:rPr>
        <w:t xml:space="preserve">Supplementary </w:t>
      </w:r>
      <w:r w:rsidR="00513608" w:rsidRPr="00EF4250">
        <w:rPr>
          <w:rFonts w:cs="Times New Roman"/>
          <w:b/>
          <w:bCs/>
          <w:szCs w:val="20"/>
        </w:rPr>
        <w:t xml:space="preserve">Table </w:t>
      </w:r>
      <w:r w:rsidR="00272ED0">
        <w:rPr>
          <w:rFonts w:cs="Times New Roman"/>
          <w:b/>
          <w:bCs/>
          <w:szCs w:val="20"/>
        </w:rPr>
        <w:t>15</w:t>
      </w:r>
      <w:r w:rsidR="00513608" w:rsidRPr="00EF4250">
        <w:rPr>
          <w:rFonts w:cs="Times New Roman"/>
          <w:szCs w:val="20"/>
        </w:rPr>
        <w:t xml:space="preserve">). </w:t>
      </w:r>
    </w:p>
    <w:p w14:paraId="24D46030" w14:textId="3DE7DBF7" w:rsidR="00835609" w:rsidRPr="00EF4250" w:rsidRDefault="00A87FBF" w:rsidP="006622EC">
      <w:pPr>
        <w:pStyle w:val="table-title"/>
        <w:rPr>
          <w:rFonts w:ascii="Times New Roman" w:hAnsi="Times New Roman"/>
          <w:szCs w:val="20"/>
        </w:rPr>
      </w:pPr>
      <w:r w:rsidRPr="00626C29">
        <w:rPr>
          <w:rFonts w:ascii="Times New Roman" w:hAnsi="Times New Roman"/>
          <w:b/>
          <w:szCs w:val="20"/>
        </w:rPr>
        <w:t xml:space="preserve">Supplementary </w:t>
      </w:r>
      <w:r w:rsidR="00667131" w:rsidRPr="00EF4250">
        <w:rPr>
          <w:rFonts w:ascii="Times New Roman" w:hAnsi="Times New Roman"/>
          <w:b/>
          <w:szCs w:val="20"/>
        </w:rPr>
        <w:t xml:space="preserve">Table </w:t>
      </w:r>
      <w:r>
        <w:rPr>
          <w:rFonts w:ascii="Times New Roman" w:hAnsi="Times New Roman"/>
          <w:b/>
          <w:szCs w:val="20"/>
        </w:rPr>
        <w:t>1</w:t>
      </w:r>
      <w:r w:rsidR="00F92FB6">
        <w:rPr>
          <w:rFonts w:ascii="Times New Roman" w:hAnsi="Times New Roman"/>
          <w:b/>
          <w:szCs w:val="20"/>
        </w:rPr>
        <w:t>5</w:t>
      </w:r>
      <w:r w:rsidR="00667131" w:rsidRPr="00EF4250">
        <w:rPr>
          <w:rFonts w:ascii="Times New Roman" w:hAnsi="Times New Roman"/>
          <w:szCs w:val="20"/>
        </w:rPr>
        <w:t xml:space="preserve">. </w:t>
      </w:r>
      <w:r w:rsidR="00651E9E" w:rsidRPr="00EF4250">
        <w:rPr>
          <w:rFonts w:ascii="Times New Roman" w:hAnsi="Times New Roman"/>
          <w:szCs w:val="20"/>
        </w:rPr>
        <w:t>Calibration targets and data sources.</w:t>
      </w:r>
    </w:p>
    <w:tbl>
      <w:tblPr>
        <w:tblStyle w:val="TableGrid"/>
        <w:tblW w:w="9355" w:type="dxa"/>
        <w:tblLook w:val="04A0" w:firstRow="1" w:lastRow="0" w:firstColumn="1" w:lastColumn="0" w:noHBand="0" w:noVBand="1"/>
      </w:tblPr>
      <w:tblGrid>
        <w:gridCol w:w="2965"/>
        <w:gridCol w:w="1622"/>
        <w:gridCol w:w="1798"/>
        <w:gridCol w:w="2970"/>
      </w:tblGrid>
      <w:tr w:rsidR="00232C4C" w:rsidRPr="00D2239A" w14:paraId="74334380" w14:textId="0E308F9F" w:rsidTr="005018FF">
        <w:trPr>
          <w:trHeight w:val="260"/>
        </w:trPr>
        <w:tc>
          <w:tcPr>
            <w:tcW w:w="2965" w:type="dxa"/>
          </w:tcPr>
          <w:p w14:paraId="040CFE10" w14:textId="51B80D42" w:rsidR="00461362" w:rsidRPr="00D2239A" w:rsidRDefault="00461362" w:rsidP="0074120C">
            <w:pPr>
              <w:pStyle w:val="table-headers"/>
              <w:spacing w:before="0" w:after="0"/>
              <w:rPr>
                <w:rFonts w:ascii="Times New Roman" w:hAnsi="Times New Roman"/>
                <w:b/>
                <w:bCs w:val="0"/>
                <w:snapToGrid w:val="0"/>
                <w:color w:val="auto"/>
                <w:lang w:val="en-CA"/>
              </w:rPr>
            </w:pPr>
            <w:r w:rsidRPr="00D2239A">
              <w:rPr>
                <w:rFonts w:ascii="Times New Roman" w:hAnsi="Times New Roman"/>
                <w:b/>
                <w:bCs w:val="0"/>
                <w:snapToGrid w:val="0"/>
                <w:color w:val="auto"/>
                <w:lang w:val="en-CA"/>
              </w:rPr>
              <w:t>Measure</w:t>
            </w:r>
            <w:r w:rsidR="005018FF" w:rsidRPr="00D2239A">
              <w:rPr>
                <w:rFonts w:ascii="Times New Roman" w:hAnsi="Times New Roman"/>
                <w:b/>
                <w:bCs w:val="0"/>
                <w:snapToGrid w:val="0"/>
                <w:color w:val="auto"/>
                <w:lang w:val="en-CA"/>
              </w:rPr>
              <w:t>s</w:t>
            </w:r>
          </w:p>
        </w:tc>
        <w:tc>
          <w:tcPr>
            <w:tcW w:w="1622" w:type="dxa"/>
          </w:tcPr>
          <w:p w14:paraId="017B54A7" w14:textId="1CE18C53" w:rsidR="00461362" w:rsidRPr="00D2239A" w:rsidRDefault="00461362" w:rsidP="0074120C">
            <w:pPr>
              <w:pStyle w:val="table-headers"/>
              <w:spacing w:before="0" w:after="0"/>
              <w:rPr>
                <w:rFonts w:ascii="Times New Roman" w:hAnsi="Times New Roman"/>
                <w:b/>
                <w:bCs w:val="0"/>
                <w:snapToGrid w:val="0"/>
                <w:color w:val="auto"/>
                <w:lang w:val="en-CA"/>
              </w:rPr>
            </w:pPr>
            <w:r w:rsidRPr="00D2239A">
              <w:rPr>
                <w:rFonts w:ascii="Times New Roman" w:hAnsi="Times New Roman"/>
                <w:b/>
                <w:bCs w:val="0"/>
                <w:snapToGrid w:val="0"/>
                <w:color w:val="auto"/>
                <w:lang w:val="en-CA"/>
              </w:rPr>
              <w:t>Source</w:t>
            </w:r>
            <w:r w:rsidR="005018FF" w:rsidRPr="00D2239A">
              <w:rPr>
                <w:rFonts w:ascii="Times New Roman" w:hAnsi="Times New Roman"/>
                <w:b/>
                <w:bCs w:val="0"/>
                <w:snapToGrid w:val="0"/>
                <w:color w:val="auto"/>
                <w:lang w:val="en-CA"/>
              </w:rPr>
              <w:t>s</w:t>
            </w:r>
          </w:p>
        </w:tc>
        <w:tc>
          <w:tcPr>
            <w:tcW w:w="1798" w:type="dxa"/>
          </w:tcPr>
          <w:p w14:paraId="736B3DEB" w14:textId="39B88C94" w:rsidR="00461362" w:rsidRPr="00D2239A" w:rsidRDefault="005F7807" w:rsidP="00944E82">
            <w:pPr>
              <w:pStyle w:val="table-headers"/>
              <w:spacing w:before="0" w:after="0"/>
              <w:jc w:val="center"/>
              <w:rPr>
                <w:rFonts w:ascii="Times New Roman" w:hAnsi="Times New Roman"/>
                <w:b/>
                <w:bCs w:val="0"/>
                <w:snapToGrid w:val="0"/>
                <w:color w:val="auto"/>
                <w:lang w:val="en-CA"/>
              </w:rPr>
            </w:pPr>
            <w:r w:rsidRPr="00D2239A">
              <w:rPr>
                <w:rFonts w:ascii="Times New Roman" w:hAnsi="Times New Roman"/>
                <w:b/>
                <w:bCs w:val="0"/>
                <w:snapToGrid w:val="0"/>
                <w:color w:val="auto"/>
                <w:lang w:val="en-CA"/>
              </w:rPr>
              <w:t>Year range</w:t>
            </w:r>
          </w:p>
        </w:tc>
        <w:tc>
          <w:tcPr>
            <w:tcW w:w="2970" w:type="dxa"/>
          </w:tcPr>
          <w:p w14:paraId="78028C24" w14:textId="7993F8CC" w:rsidR="00461362" w:rsidRPr="00D2239A" w:rsidRDefault="00461362" w:rsidP="0074120C">
            <w:pPr>
              <w:pStyle w:val="table-headers"/>
              <w:spacing w:before="0" w:after="0"/>
              <w:rPr>
                <w:rFonts w:ascii="Times New Roman" w:hAnsi="Times New Roman"/>
                <w:b/>
                <w:bCs w:val="0"/>
                <w:snapToGrid w:val="0"/>
                <w:color w:val="auto"/>
                <w:lang w:val="en-CA"/>
              </w:rPr>
            </w:pPr>
            <w:r w:rsidRPr="00D2239A">
              <w:rPr>
                <w:rFonts w:ascii="Times New Roman" w:hAnsi="Times New Roman"/>
                <w:b/>
                <w:bCs w:val="0"/>
                <w:snapToGrid w:val="0"/>
                <w:color w:val="auto"/>
                <w:lang w:val="en-CA"/>
              </w:rPr>
              <w:t>Model counterpart</w:t>
            </w:r>
          </w:p>
        </w:tc>
      </w:tr>
      <w:tr w:rsidR="00232C4C" w:rsidRPr="00D2239A" w14:paraId="3A736C6A" w14:textId="14C748ED" w:rsidTr="005018FF">
        <w:trPr>
          <w:trHeight w:val="260"/>
        </w:trPr>
        <w:tc>
          <w:tcPr>
            <w:tcW w:w="2965" w:type="dxa"/>
          </w:tcPr>
          <w:p w14:paraId="48A498BA" w14:textId="5FFA7712" w:rsidR="00461362" w:rsidRPr="00D2239A" w:rsidRDefault="00461362" w:rsidP="0074120C">
            <w:pPr>
              <w:pStyle w:val="table-headers"/>
              <w:spacing w:before="0" w:after="0"/>
              <w:rPr>
                <w:rFonts w:ascii="Times New Roman" w:hAnsi="Times New Roman"/>
                <w:b/>
                <w:bCs w:val="0"/>
                <w:snapToGrid w:val="0"/>
                <w:color w:val="auto"/>
                <w:lang w:val="en-CA"/>
              </w:rPr>
            </w:pPr>
            <w:r w:rsidRPr="00D2239A">
              <w:rPr>
                <w:rFonts w:ascii="Times New Roman" w:hAnsi="Times New Roman"/>
                <w:b/>
                <w:bCs w:val="0"/>
                <w:snapToGrid w:val="0"/>
                <w:color w:val="auto"/>
                <w:lang w:val="en-CA"/>
              </w:rPr>
              <w:lastRenderedPageBreak/>
              <w:t>HCS outcome measures</w:t>
            </w:r>
          </w:p>
        </w:tc>
        <w:tc>
          <w:tcPr>
            <w:tcW w:w="1622" w:type="dxa"/>
          </w:tcPr>
          <w:p w14:paraId="6D83FA40" w14:textId="77777777" w:rsidR="00461362" w:rsidRPr="00D2239A" w:rsidRDefault="00461362" w:rsidP="0074120C">
            <w:pPr>
              <w:pStyle w:val="table-headers"/>
              <w:spacing w:before="0" w:after="0"/>
              <w:rPr>
                <w:rFonts w:ascii="Times New Roman" w:hAnsi="Times New Roman"/>
                <w:b/>
                <w:bCs w:val="0"/>
                <w:snapToGrid w:val="0"/>
                <w:color w:val="auto"/>
                <w:lang w:val="en-CA"/>
              </w:rPr>
            </w:pPr>
          </w:p>
        </w:tc>
        <w:tc>
          <w:tcPr>
            <w:tcW w:w="1798" w:type="dxa"/>
          </w:tcPr>
          <w:p w14:paraId="7B244B8D" w14:textId="77777777" w:rsidR="00461362" w:rsidRPr="00D2239A" w:rsidRDefault="00461362" w:rsidP="00944E82">
            <w:pPr>
              <w:pStyle w:val="table-headers"/>
              <w:spacing w:before="0" w:after="0"/>
              <w:jc w:val="center"/>
              <w:rPr>
                <w:rFonts w:ascii="Times New Roman" w:hAnsi="Times New Roman"/>
                <w:b/>
                <w:bCs w:val="0"/>
                <w:snapToGrid w:val="0"/>
                <w:color w:val="auto"/>
                <w:lang w:val="en-CA"/>
              </w:rPr>
            </w:pPr>
          </w:p>
        </w:tc>
        <w:tc>
          <w:tcPr>
            <w:tcW w:w="2970" w:type="dxa"/>
          </w:tcPr>
          <w:p w14:paraId="3C456BB6" w14:textId="77777777" w:rsidR="00461362" w:rsidRPr="00D2239A" w:rsidRDefault="00461362" w:rsidP="0074120C">
            <w:pPr>
              <w:pStyle w:val="table-headers"/>
              <w:spacing w:before="0" w:after="0"/>
              <w:rPr>
                <w:rFonts w:ascii="Times New Roman" w:hAnsi="Times New Roman"/>
                <w:b/>
                <w:bCs w:val="0"/>
                <w:snapToGrid w:val="0"/>
                <w:color w:val="auto"/>
                <w:lang w:val="en-CA"/>
              </w:rPr>
            </w:pPr>
          </w:p>
        </w:tc>
      </w:tr>
      <w:tr w:rsidR="00232C4C" w:rsidRPr="00D2239A" w14:paraId="774BCC95" w14:textId="4E42071F" w:rsidTr="005018FF">
        <w:trPr>
          <w:trHeight w:val="278"/>
        </w:trPr>
        <w:tc>
          <w:tcPr>
            <w:tcW w:w="2965" w:type="dxa"/>
          </w:tcPr>
          <w:p w14:paraId="3E4DF928" w14:textId="6766EF7C" w:rsidR="00461362" w:rsidRPr="00D2239A" w:rsidRDefault="00461362" w:rsidP="00461362">
            <w:pPr>
              <w:pStyle w:val="table-text"/>
              <w:spacing w:before="0" w:after="0"/>
              <w:rPr>
                <w:rFonts w:ascii="Times New Roman" w:hAnsi="Times New Roman"/>
                <w:szCs w:val="18"/>
                <w:lang w:val="en-CA"/>
              </w:rPr>
            </w:pPr>
            <w:r w:rsidRPr="00D2239A">
              <w:rPr>
                <w:rFonts w:ascii="Times New Roman" w:hAnsi="Times New Roman"/>
                <w:szCs w:val="18"/>
              </w:rPr>
              <w:t>A.1 Number of opioid overdose deaths among HCS community residents</w:t>
            </w:r>
          </w:p>
        </w:tc>
        <w:tc>
          <w:tcPr>
            <w:tcW w:w="1622" w:type="dxa"/>
          </w:tcPr>
          <w:p w14:paraId="505C4461" w14:textId="28C2A058" w:rsidR="00461362" w:rsidRPr="00D2239A" w:rsidRDefault="00461362" w:rsidP="00461362">
            <w:pPr>
              <w:pStyle w:val="table-text"/>
              <w:spacing w:before="0" w:after="0"/>
              <w:rPr>
                <w:rFonts w:ascii="Times New Roman" w:hAnsi="Times New Roman"/>
                <w:szCs w:val="18"/>
                <w:vertAlign w:val="superscript"/>
                <w:lang w:val="en-CA"/>
              </w:rPr>
            </w:pPr>
            <w:r w:rsidRPr="00D2239A">
              <w:rPr>
                <w:rFonts w:ascii="Times New Roman" w:hAnsi="Times New Roman"/>
                <w:szCs w:val="18"/>
                <w:lang w:val="en-CA"/>
              </w:rPr>
              <w:t xml:space="preserve">Death certificates </w:t>
            </w:r>
            <w:proofErr w:type="spellStart"/>
            <w:r w:rsidRPr="00D2239A">
              <w:rPr>
                <w:rFonts w:ascii="Times New Roman" w:hAnsi="Times New Roman"/>
                <w:szCs w:val="18"/>
                <w:lang w:val="en-CA"/>
              </w:rPr>
              <w:t>data</w:t>
            </w:r>
            <w:r w:rsidR="007F456C" w:rsidRPr="00D2239A">
              <w:rPr>
                <w:rFonts w:ascii="Times New Roman" w:hAnsi="Times New Roman"/>
                <w:szCs w:val="18"/>
                <w:vertAlign w:val="superscript"/>
                <w:lang w:val="en-CA"/>
              </w:rPr>
              <w:t>a</w:t>
            </w:r>
            <w:proofErr w:type="spellEnd"/>
          </w:p>
        </w:tc>
        <w:tc>
          <w:tcPr>
            <w:tcW w:w="1798" w:type="dxa"/>
          </w:tcPr>
          <w:p w14:paraId="7EB816B3" w14:textId="05090596" w:rsidR="00461362" w:rsidRPr="00D2239A" w:rsidRDefault="00902BA0" w:rsidP="00944E82">
            <w:pPr>
              <w:pStyle w:val="table-text"/>
              <w:spacing w:before="0" w:after="0"/>
              <w:jc w:val="center"/>
              <w:rPr>
                <w:rFonts w:ascii="Times New Roman" w:hAnsi="Times New Roman"/>
                <w:szCs w:val="18"/>
                <w:lang w:val="en-CA"/>
              </w:rPr>
            </w:pPr>
            <w:r w:rsidRPr="00D2239A">
              <w:rPr>
                <w:rFonts w:ascii="Times New Roman" w:hAnsi="Times New Roman"/>
                <w:szCs w:val="18"/>
                <w:lang w:val="en-CA"/>
              </w:rPr>
              <w:t>2017</w:t>
            </w:r>
            <w:r w:rsidR="00461362" w:rsidRPr="00D2239A">
              <w:rPr>
                <w:rFonts w:ascii="Times New Roman" w:hAnsi="Times New Roman"/>
                <w:szCs w:val="18"/>
                <w:lang w:val="en-CA"/>
              </w:rPr>
              <w:t>–</w:t>
            </w:r>
            <w:r w:rsidR="00F92FB6">
              <w:rPr>
                <w:rFonts w:ascii="Times New Roman" w:hAnsi="Times New Roman"/>
                <w:szCs w:val="18"/>
                <w:lang w:val="en-CA"/>
              </w:rPr>
              <w:t>2024</w:t>
            </w:r>
          </w:p>
        </w:tc>
        <w:tc>
          <w:tcPr>
            <w:tcW w:w="2970" w:type="dxa"/>
          </w:tcPr>
          <w:p w14:paraId="56182094" w14:textId="6C45A5F9" w:rsidR="00461362" w:rsidRPr="00D2239A" w:rsidRDefault="00461362" w:rsidP="00461362">
            <w:pPr>
              <w:pStyle w:val="table-text"/>
              <w:spacing w:before="0" w:after="0"/>
              <w:rPr>
                <w:rFonts w:ascii="Times New Roman" w:hAnsi="Times New Roman"/>
                <w:szCs w:val="18"/>
                <w:lang w:val="en-CA"/>
              </w:rPr>
            </w:pPr>
            <w:r w:rsidRPr="00D2239A">
              <w:rPr>
                <w:rFonts w:ascii="Times New Roman" w:hAnsi="Times New Roman"/>
                <w:szCs w:val="18"/>
              </w:rPr>
              <w:t>Number of individuals who transitioned into “</w:t>
            </w:r>
            <w:r w:rsidR="0046608A" w:rsidRPr="00D2239A">
              <w:rPr>
                <w:rFonts w:ascii="Times New Roman" w:hAnsi="Times New Roman"/>
                <w:szCs w:val="18"/>
              </w:rPr>
              <w:t>o</w:t>
            </w:r>
            <w:r w:rsidRPr="00D2239A">
              <w:rPr>
                <w:rFonts w:ascii="Times New Roman" w:hAnsi="Times New Roman"/>
                <w:szCs w:val="18"/>
              </w:rPr>
              <w:t xml:space="preserve">verdose death” in the </w:t>
            </w:r>
            <w:r w:rsidR="0046608A" w:rsidRPr="00D2239A">
              <w:rPr>
                <w:rFonts w:ascii="Times New Roman" w:hAnsi="Times New Roman"/>
                <w:szCs w:val="18"/>
              </w:rPr>
              <w:t>o</w:t>
            </w:r>
            <w:r w:rsidRPr="00D2239A">
              <w:rPr>
                <w:rFonts w:ascii="Times New Roman" w:hAnsi="Times New Roman"/>
                <w:szCs w:val="18"/>
              </w:rPr>
              <w:t>verdose pathway</w:t>
            </w:r>
          </w:p>
        </w:tc>
      </w:tr>
      <w:tr w:rsidR="00232C4C" w:rsidRPr="00D2239A" w14:paraId="2E76F000" w14:textId="76A6B251" w:rsidTr="005018FF">
        <w:trPr>
          <w:trHeight w:val="278"/>
        </w:trPr>
        <w:tc>
          <w:tcPr>
            <w:tcW w:w="2965" w:type="dxa"/>
          </w:tcPr>
          <w:p w14:paraId="06CE9DED" w14:textId="7B6FA2E3" w:rsidR="00461362" w:rsidRPr="00D2239A" w:rsidRDefault="00461362" w:rsidP="00461362">
            <w:pPr>
              <w:pStyle w:val="table-text"/>
              <w:spacing w:before="0" w:after="0"/>
              <w:rPr>
                <w:rFonts w:ascii="Times New Roman" w:hAnsi="Times New Roman"/>
                <w:szCs w:val="18"/>
                <w:lang w:val="en-CA"/>
              </w:rPr>
            </w:pPr>
            <w:r w:rsidRPr="00D2239A">
              <w:rPr>
                <w:rFonts w:ascii="Times New Roman" w:hAnsi="Times New Roman"/>
                <w:szCs w:val="18"/>
              </w:rPr>
              <w:t>A.2.3 Number of nonfatal opioid overdose events</w:t>
            </w:r>
          </w:p>
        </w:tc>
        <w:tc>
          <w:tcPr>
            <w:tcW w:w="1622" w:type="dxa"/>
          </w:tcPr>
          <w:p w14:paraId="3F8D46F1" w14:textId="77777777" w:rsidR="00461362" w:rsidRPr="00D2239A" w:rsidRDefault="00461362" w:rsidP="00461362">
            <w:pPr>
              <w:pStyle w:val="table-text"/>
              <w:spacing w:before="0" w:after="0"/>
              <w:rPr>
                <w:rFonts w:ascii="Times New Roman" w:hAnsi="Times New Roman"/>
                <w:szCs w:val="18"/>
                <w:lang w:val="en-CA"/>
              </w:rPr>
            </w:pPr>
            <w:r w:rsidRPr="00D2239A">
              <w:rPr>
                <w:rFonts w:ascii="Times New Roman" w:hAnsi="Times New Roman"/>
                <w:szCs w:val="18"/>
                <w:lang w:val="en-CA"/>
              </w:rPr>
              <w:t>Hospital inpatient and emergency department data</w:t>
            </w:r>
          </w:p>
        </w:tc>
        <w:tc>
          <w:tcPr>
            <w:tcW w:w="1798" w:type="dxa"/>
          </w:tcPr>
          <w:p w14:paraId="29E76E15" w14:textId="309F8C42" w:rsidR="00461362" w:rsidRPr="00D2239A" w:rsidRDefault="00902BA0" w:rsidP="00944E82">
            <w:pPr>
              <w:pStyle w:val="table-text"/>
              <w:spacing w:before="0" w:after="0"/>
              <w:jc w:val="center"/>
              <w:rPr>
                <w:rFonts w:ascii="Times New Roman" w:hAnsi="Times New Roman"/>
                <w:szCs w:val="18"/>
                <w:lang w:val="en-CA"/>
              </w:rPr>
            </w:pPr>
            <w:r w:rsidRPr="00D2239A">
              <w:rPr>
                <w:rFonts w:ascii="Times New Roman" w:hAnsi="Times New Roman"/>
                <w:szCs w:val="18"/>
                <w:lang w:val="en-CA"/>
              </w:rPr>
              <w:t>2017–2019</w:t>
            </w:r>
          </w:p>
        </w:tc>
        <w:tc>
          <w:tcPr>
            <w:tcW w:w="2970" w:type="dxa"/>
          </w:tcPr>
          <w:p w14:paraId="7413C47C" w14:textId="61DA6528" w:rsidR="00461362" w:rsidRPr="00D2239A" w:rsidRDefault="00461362" w:rsidP="00461362">
            <w:pPr>
              <w:pStyle w:val="table-text"/>
              <w:spacing w:before="0" w:after="0"/>
              <w:rPr>
                <w:rFonts w:ascii="Times New Roman" w:hAnsi="Times New Roman"/>
                <w:szCs w:val="18"/>
                <w:lang w:val="en-CA"/>
              </w:rPr>
            </w:pPr>
            <w:r w:rsidRPr="00D2239A">
              <w:rPr>
                <w:rFonts w:ascii="Times New Roman" w:hAnsi="Times New Roman"/>
                <w:szCs w:val="18"/>
              </w:rPr>
              <w:t>Number of individuals who transitioned into “Reported non-fatal overdose” in the Overdose pathway</w:t>
            </w:r>
          </w:p>
        </w:tc>
      </w:tr>
      <w:tr w:rsidR="00232C4C" w:rsidRPr="00D2239A" w14:paraId="5A249E9A" w14:textId="3565BB04" w:rsidTr="005018FF">
        <w:trPr>
          <w:trHeight w:val="278"/>
        </w:trPr>
        <w:tc>
          <w:tcPr>
            <w:tcW w:w="2965" w:type="dxa"/>
          </w:tcPr>
          <w:p w14:paraId="5FFB90A3" w14:textId="72FE64E0" w:rsidR="00461362" w:rsidRPr="00D2239A" w:rsidRDefault="00461362" w:rsidP="00461362">
            <w:pPr>
              <w:pStyle w:val="table-text"/>
              <w:spacing w:before="0" w:after="0"/>
              <w:rPr>
                <w:rFonts w:ascii="Times New Roman" w:hAnsi="Times New Roman"/>
                <w:szCs w:val="18"/>
                <w:vertAlign w:val="superscript"/>
                <w:lang w:val="en-CA"/>
              </w:rPr>
            </w:pPr>
            <w:r w:rsidRPr="00D2239A">
              <w:rPr>
                <w:rFonts w:ascii="Times New Roman" w:hAnsi="Times New Roman"/>
                <w:szCs w:val="18"/>
              </w:rPr>
              <w:t xml:space="preserve">A.2.5.1 Number of individuals receiving buprenorphine products that are FDA approved for treatment of </w:t>
            </w:r>
            <w:proofErr w:type="spellStart"/>
            <w:r w:rsidRPr="00D2239A">
              <w:rPr>
                <w:rFonts w:ascii="Times New Roman" w:hAnsi="Times New Roman"/>
                <w:szCs w:val="18"/>
              </w:rPr>
              <w:t>OUD</w:t>
            </w:r>
            <w:r w:rsidR="00664B1A" w:rsidRPr="00D2239A">
              <w:rPr>
                <w:rFonts w:ascii="Times New Roman" w:hAnsi="Times New Roman"/>
                <w:szCs w:val="18"/>
                <w:vertAlign w:val="superscript"/>
              </w:rPr>
              <w:t>b</w:t>
            </w:r>
            <w:proofErr w:type="spellEnd"/>
          </w:p>
        </w:tc>
        <w:tc>
          <w:tcPr>
            <w:tcW w:w="1622" w:type="dxa"/>
          </w:tcPr>
          <w:p w14:paraId="50E899FA" w14:textId="2942DD55" w:rsidR="00461362" w:rsidRPr="00D2239A" w:rsidRDefault="00461362" w:rsidP="00461362">
            <w:pPr>
              <w:pStyle w:val="table-text"/>
              <w:spacing w:before="0" w:after="0"/>
              <w:rPr>
                <w:rFonts w:ascii="Times New Roman" w:hAnsi="Times New Roman"/>
                <w:szCs w:val="18"/>
                <w:lang w:val="en-CA"/>
              </w:rPr>
            </w:pPr>
            <w:r w:rsidRPr="00D2239A">
              <w:rPr>
                <w:rFonts w:ascii="Times New Roman" w:hAnsi="Times New Roman"/>
                <w:szCs w:val="18"/>
                <w:lang w:val="en-CA"/>
              </w:rPr>
              <w:t>Prescription Drug Monitoring Program data</w:t>
            </w:r>
          </w:p>
        </w:tc>
        <w:tc>
          <w:tcPr>
            <w:tcW w:w="1798" w:type="dxa"/>
          </w:tcPr>
          <w:p w14:paraId="0667E0B8" w14:textId="4628076F" w:rsidR="00461362" w:rsidRPr="00D2239A" w:rsidRDefault="00902BA0" w:rsidP="00944E82">
            <w:pPr>
              <w:pStyle w:val="table-text"/>
              <w:spacing w:before="0" w:after="0"/>
              <w:jc w:val="center"/>
              <w:rPr>
                <w:rFonts w:ascii="Times New Roman" w:hAnsi="Times New Roman"/>
                <w:szCs w:val="18"/>
                <w:lang w:val="en-CA"/>
              </w:rPr>
            </w:pPr>
            <w:r w:rsidRPr="00D2239A">
              <w:rPr>
                <w:rFonts w:ascii="Times New Roman" w:hAnsi="Times New Roman"/>
                <w:szCs w:val="18"/>
                <w:lang w:val="en-CA"/>
              </w:rPr>
              <w:t>2017–</w:t>
            </w:r>
            <w:r w:rsidR="00F92FB6">
              <w:rPr>
                <w:rFonts w:ascii="Times New Roman" w:hAnsi="Times New Roman"/>
                <w:szCs w:val="18"/>
                <w:lang w:val="en-CA"/>
              </w:rPr>
              <w:t>2023</w:t>
            </w:r>
          </w:p>
        </w:tc>
        <w:tc>
          <w:tcPr>
            <w:tcW w:w="2970" w:type="dxa"/>
          </w:tcPr>
          <w:p w14:paraId="1AC44692" w14:textId="613483E3" w:rsidR="00461362" w:rsidRPr="00D2239A" w:rsidRDefault="00461362" w:rsidP="00461362">
            <w:pPr>
              <w:pStyle w:val="table-text"/>
              <w:rPr>
                <w:rFonts w:ascii="Times New Roman" w:hAnsi="Times New Roman"/>
                <w:szCs w:val="18"/>
                <w:lang w:val="en-CA"/>
              </w:rPr>
            </w:pPr>
            <w:r w:rsidRPr="00D2239A">
              <w:rPr>
                <w:rFonts w:ascii="Times New Roman" w:hAnsi="Times New Roman"/>
                <w:szCs w:val="18"/>
              </w:rPr>
              <w:t xml:space="preserve">Number of individuals </w:t>
            </w:r>
            <w:r w:rsidR="00006CE0" w:rsidRPr="00D2239A">
              <w:rPr>
                <w:rFonts w:ascii="Times New Roman" w:hAnsi="Times New Roman"/>
                <w:szCs w:val="18"/>
              </w:rPr>
              <w:t xml:space="preserve">in the </w:t>
            </w:r>
            <w:r w:rsidR="00006CE0" w:rsidRPr="00D2239A">
              <w:rPr>
                <w:rFonts w:ascii="Times New Roman" w:hAnsi="Times New Roman"/>
                <w:b/>
                <w:bCs/>
                <w:szCs w:val="18"/>
              </w:rPr>
              <w:t>MOUD</w:t>
            </w:r>
            <w:r w:rsidR="00006CE0" w:rsidRPr="00D2239A">
              <w:rPr>
                <w:rFonts w:ascii="Times New Roman" w:hAnsi="Times New Roman"/>
                <w:szCs w:val="18"/>
              </w:rPr>
              <w:t xml:space="preserve"> state </w:t>
            </w:r>
            <w:r w:rsidRPr="00D2239A">
              <w:rPr>
                <w:rFonts w:ascii="Times New Roman" w:hAnsi="Times New Roman"/>
                <w:szCs w:val="18"/>
              </w:rPr>
              <w:t>with “Medication” = “Buprenorphine”</w:t>
            </w:r>
          </w:p>
        </w:tc>
      </w:tr>
      <w:tr w:rsidR="00232C4C" w:rsidRPr="00D2239A" w14:paraId="31C80B19" w14:textId="76D418C4" w:rsidTr="005018FF">
        <w:trPr>
          <w:trHeight w:val="278"/>
        </w:trPr>
        <w:tc>
          <w:tcPr>
            <w:tcW w:w="2965" w:type="dxa"/>
          </w:tcPr>
          <w:p w14:paraId="37452292" w14:textId="620A4957" w:rsidR="00461362" w:rsidRPr="00D2239A" w:rsidRDefault="00461362" w:rsidP="00461362">
            <w:pPr>
              <w:pStyle w:val="table-text"/>
              <w:spacing w:before="0" w:after="0"/>
              <w:rPr>
                <w:rFonts w:ascii="Times New Roman" w:hAnsi="Times New Roman"/>
                <w:szCs w:val="18"/>
                <w:vertAlign w:val="superscript"/>
                <w:lang w:val="en-CA"/>
              </w:rPr>
            </w:pPr>
            <w:r w:rsidRPr="00D2239A">
              <w:rPr>
                <w:rFonts w:ascii="Times New Roman" w:hAnsi="Times New Roman"/>
                <w:szCs w:val="18"/>
              </w:rPr>
              <w:t>A.2.5.2 Number of individuals receiving methadone</w:t>
            </w:r>
          </w:p>
        </w:tc>
        <w:tc>
          <w:tcPr>
            <w:tcW w:w="1622" w:type="dxa"/>
          </w:tcPr>
          <w:p w14:paraId="724C1B65" w14:textId="6B61FC42" w:rsidR="00461362" w:rsidRPr="00D2239A" w:rsidRDefault="00461362" w:rsidP="00461362">
            <w:pPr>
              <w:pStyle w:val="table-text"/>
              <w:spacing w:before="0" w:after="0"/>
              <w:rPr>
                <w:rFonts w:ascii="Times New Roman" w:hAnsi="Times New Roman"/>
                <w:szCs w:val="18"/>
                <w:lang w:val="en-CA"/>
              </w:rPr>
            </w:pPr>
            <w:r w:rsidRPr="00D2239A">
              <w:rPr>
                <w:rFonts w:ascii="Times New Roman" w:hAnsi="Times New Roman"/>
                <w:szCs w:val="18"/>
                <w:lang w:val="en-CA"/>
              </w:rPr>
              <w:t>Medicaid claims data</w:t>
            </w:r>
          </w:p>
        </w:tc>
        <w:tc>
          <w:tcPr>
            <w:tcW w:w="1798" w:type="dxa"/>
          </w:tcPr>
          <w:p w14:paraId="6CC3E228" w14:textId="7DA28AE4" w:rsidR="00461362" w:rsidRPr="00D2239A" w:rsidRDefault="00902BA0" w:rsidP="00944E82">
            <w:pPr>
              <w:jc w:val="center"/>
              <w:rPr>
                <w:rFonts w:cs="Times New Roman"/>
                <w:sz w:val="18"/>
                <w:szCs w:val="18"/>
                <w:lang w:val="en-CA"/>
              </w:rPr>
            </w:pPr>
            <w:r w:rsidRPr="00D2239A">
              <w:rPr>
                <w:rFonts w:cs="Times New Roman"/>
                <w:sz w:val="18"/>
                <w:szCs w:val="18"/>
                <w:lang w:val="en-CA"/>
              </w:rPr>
              <w:t>2017–2022</w:t>
            </w:r>
          </w:p>
        </w:tc>
        <w:tc>
          <w:tcPr>
            <w:tcW w:w="2970" w:type="dxa"/>
          </w:tcPr>
          <w:p w14:paraId="41C70D37" w14:textId="47BF5812" w:rsidR="00461362" w:rsidRPr="00D2239A" w:rsidRDefault="00461362" w:rsidP="00461362">
            <w:pPr>
              <w:rPr>
                <w:rFonts w:cs="Times New Roman"/>
                <w:sz w:val="18"/>
                <w:szCs w:val="18"/>
                <w:lang w:val="en-CA"/>
              </w:rPr>
            </w:pPr>
            <w:r w:rsidRPr="00D2239A">
              <w:rPr>
                <w:rFonts w:cs="Times New Roman"/>
                <w:sz w:val="18"/>
                <w:szCs w:val="18"/>
              </w:rPr>
              <w:t xml:space="preserve">Number of individuals </w:t>
            </w:r>
            <w:r w:rsidR="00006CE0" w:rsidRPr="00D2239A">
              <w:rPr>
                <w:rFonts w:cs="Times New Roman"/>
                <w:sz w:val="18"/>
                <w:szCs w:val="18"/>
              </w:rPr>
              <w:t xml:space="preserve">in the </w:t>
            </w:r>
            <w:r w:rsidR="00006CE0" w:rsidRPr="00D2239A">
              <w:rPr>
                <w:rFonts w:cs="Times New Roman"/>
                <w:b/>
                <w:bCs/>
                <w:sz w:val="18"/>
                <w:szCs w:val="18"/>
              </w:rPr>
              <w:t>MOUD</w:t>
            </w:r>
            <w:r w:rsidR="00006CE0" w:rsidRPr="00D2239A">
              <w:rPr>
                <w:rFonts w:cs="Times New Roman"/>
                <w:sz w:val="18"/>
                <w:szCs w:val="18"/>
              </w:rPr>
              <w:t xml:space="preserve"> state </w:t>
            </w:r>
            <w:r w:rsidRPr="00D2239A">
              <w:rPr>
                <w:rFonts w:cs="Times New Roman"/>
                <w:sz w:val="18"/>
                <w:szCs w:val="18"/>
              </w:rPr>
              <w:t>with “Medication” = “Methadone”</w:t>
            </w:r>
          </w:p>
        </w:tc>
      </w:tr>
      <w:tr w:rsidR="00232C4C" w:rsidRPr="00D2239A" w14:paraId="60EC0CEE" w14:textId="0C52D41F" w:rsidTr="005018FF">
        <w:trPr>
          <w:trHeight w:val="278"/>
        </w:trPr>
        <w:tc>
          <w:tcPr>
            <w:tcW w:w="2965" w:type="dxa"/>
          </w:tcPr>
          <w:p w14:paraId="278F8F99" w14:textId="1C0CA26A" w:rsidR="00461362" w:rsidRPr="00D2239A" w:rsidRDefault="00461362" w:rsidP="00461362">
            <w:pPr>
              <w:pStyle w:val="table-text"/>
              <w:spacing w:before="0" w:after="0"/>
              <w:rPr>
                <w:rFonts w:ascii="Times New Roman" w:hAnsi="Times New Roman"/>
                <w:szCs w:val="18"/>
                <w:vertAlign w:val="superscript"/>
                <w:lang w:val="en-CA"/>
              </w:rPr>
            </w:pPr>
            <w:r w:rsidRPr="00D2239A">
              <w:rPr>
                <w:rFonts w:ascii="Times New Roman" w:hAnsi="Times New Roman"/>
                <w:szCs w:val="18"/>
              </w:rPr>
              <w:t>A.2.5.3 Number of individuals receiving naltrexone (combined injectable and oral)</w:t>
            </w:r>
          </w:p>
        </w:tc>
        <w:tc>
          <w:tcPr>
            <w:tcW w:w="1622" w:type="dxa"/>
          </w:tcPr>
          <w:p w14:paraId="4984B2B4" w14:textId="69D967EC" w:rsidR="00461362" w:rsidRPr="00D2239A" w:rsidRDefault="00461362" w:rsidP="00461362">
            <w:pPr>
              <w:pStyle w:val="table-text"/>
              <w:spacing w:before="0" w:after="0"/>
              <w:rPr>
                <w:rFonts w:ascii="Times New Roman" w:hAnsi="Times New Roman"/>
                <w:szCs w:val="18"/>
                <w:lang w:val="en-CA"/>
              </w:rPr>
            </w:pPr>
            <w:r w:rsidRPr="00D2239A">
              <w:rPr>
                <w:rFonts w:ascii="Times New Roman" w:hAnsi="Times New Roman"/>
                <w:szCs w:val="18"/>
                <w:lang w:val="en-CA"/>
              </w:rPr>
              <w:t>Medicaid claims data</w:t>
            </w:r>
          </w:p>
        </w:tc>
        <w:tc>
          <w:tcPr>
            <w:tcW w:w="1798" w:type="dxa"/>
          </w:tcPr>
          <w:p w14:paraId="02C8803B" w14:textId="78CAEFE1" w:rsidR="00461362" w:rsidRPr="00D2239A" w:rsidRDefault="00902BA0" w:rsidP="00944E82">
            <w:pPr>
              <w:jc w:val="center"/>
              <w:rPr>
                <w:rFonts w:cs="Times New Roman"/>
                <w:sz w:val="18"/>
                <w:szCs w:val="18"/>
                <w:lang w:val="en-CA"/>
              </w:rPr>
            </w:pPr>
            <w:r w:rsidRPr="00D2239A">
              <w:rPr>
                <w:rFonts w:cs="Times New Roman"/>
                <w:sz w:val="18"/>
                <w:szCs w:val="18"/>
                <w:lang w:val="en-CA"/>
              </w:rPr>
              <w:t>2017–2022</w:t>
            </w:r>
          </w:p>
        </w:tc>
        <w:tc>
          <w:tcPr>
            <w:tcW w:w="2970" w:type="dxa"/>
          </w:tcPr>
          <w:p w14:paraId="60A05445" w14:textId="019A7972" w:rsidR="00461362" w:rsidRPr="00D2239A" w:rsidRDefault="00461362" w:rsidP="00461362">
            <w:pPr>
              <w:rPr>
                <w:rFonts w:cs="Times New Roman"/>
                <w:sz w:val="18"/>
                <w:szCs w:val="18"/>
                <w:lang w:val="en-CA"/>
              </w:rPr>
            </w:pPr>
            <w:r w:rsidRPr="00D2239A">
              <w:rPr>
                <w:rFonts w:cs="Times New Roman"/>
                <w:sz w:val="18"/>
                <w:szCs w:val="18"/>
              </w:rPr>
              <w:t xml:space="preserve">Number of individuals </w:t>
            </w:r>
            <w:r w:rsidR="00006CE0" w:rsidRPr="00D2239A">
              <w:rPr>
                <w:rFonts w:cs="Times New Roman"/>
                <w:sz w:val="18"/>
                <w:szCs w:val="18"/>
              </w:rPr>
              <w:t xml:space="preserve">in the </w:t>
            </w:r>
            <w:r w:rsidR="00006CE0" w:rsidRPr="00D2239A">
              <w:rPr>
                <w:rFonts w:cs="Times New Roman"/>
                <w:b/>
                <w:bCs/>
                <w:sz w:val="18"/>
                <w:szCs w:val="18"/>
              </w:rPr>
              <w:t>MOUD</w:t>
            </w:r>
            <w:r w:rsidR="00006CE0" w:rsidRPr="00D2239A">
              <w:rPr>
                <w:rFonts w:cs="Times New Roman"/>
                <w:sz w:val="18"/>
                <w:szCs w:val="18"/>
              </w:rPr>
              <w:t xml:space="preserve"> state </w:t>
            </w:r>
            <w:r w:rsidRPr="00D2239A">
              <w:rPr>
                <w:rFonts w:cs="Times New Roman"/>
                <w:sz w:val="18"/>
                <w:szCs w:val="18"/>
              </w:rPr>
              <w:t>with “Medication” = “Naltrexone”</w:t>
            </w:r>
          </w:p>
        </w:tc>
      </w:tr>
      <w:tr w:rsidR="00232C4C" w:rsidRPr="00D2239A" w14:paraId="2F7D24D9" w14:textId="01CDBEF3" w:rsidTr="005018FF">
        <w:trPr>
          <w:trHeight w:val="278"/>
        </w:trPr>
        <w:tc>
          <w:tcPr>
            <w:tcW w:w="2965" w:type="dxa"/>
          </w:tcPr>
          <w:p w14:paraId="5B686CC7" w14:textId="1E31C3E3" w:rsidR="00461362" w:rsidRPr="00D2239A" w:rsidRDefault="00461362" w:rsidP="00461362">
            <w:pPr>
              <w:pStyle w:val="table-text"/>
              <w:spacing w:before="0" w:after="0"/>
              <w:rPr>
                <w:rFonts w:ascii="Times New Roman" w:hAnsi="Times New Roman"/>
                <w:szCs w:val="18"/>
                <w:lang w:val="en-CA"/>
              </w:rPr>
            </w:pPr>
            <w:r w:rsidRPr="00D2239A">
              <w:rPr>
                <w:rFonts w:ascii="Times New Roman" w:hAnsi="Times New Roman"/>
                <w:szCs w:val="18"/>
              </w:rPr>
              <w:t xml:space="preserve">A.2.7.1 Number of individuals receiving buprenorphine products that are FDA approved for treatment of OUD that are retained beyond </w:t>
            </w:r>
            <w:r w:rsidR="00262CBB" w:rsidRPr="00D2239A">
              <w:rPr>
                <w:rFonts w:ascii="Times New Roman" w:hAnsi="Times New Roman"/>
                <w:szCs w:val="18"/>
              </w:rPr>
              <w:t>180 days</w:t>
            </w:r>
          </w:p>
        </w:tc>
        <w:tc>
          <w:tcPr>
            <w:tcW w:w="1622" w:type="dxa"/>
          </w:tcPr>
          <w:p w14:paraId="5021FD30" w14:textId="54944531" w:rsidR="00461362" w:rsidRPr="00D2239A" w:rsidRDefault="00461362" w:rsidP="00461362">
            <w:pPr>
              <w:pStyle w:val="table-text"/>
              <w:spacing w:before="0" w:after="0"/>
              <w:rPr>
                <w:rFonts w:ascii="Times New Roman" w:hAnsi="Times New Roman"/>
                <w:szCs w:val="18"/>
                <w:lang w:val="en-CA"/>
              </w:rPr>
            </w:pPr>
            <w:r w:rsidRPr="00D2239A">
              <w:rPr>
                <w:rFonts w:ascii="Times New Roman" w:hAnsi="Times New Roman"/>
                <w:szCs w:val="18"/>
                <w:lang w:val="en-CA"/>
              </w:rPr>
              <w:t>PDMP data</w:t>
            </w:r>
          </w:p>
        </w:tc>
        <w:tc>
          <w:tcPr>
            <w:tcW w:w="1798" w:type="dxa"/>
          </w:tcPr>
          <w:p w14:paraId="42FAEDAF" w14:textId="08B21328" w:rsidR="00461362" w:rsidRPr="00D2239A" w:rsidRDefault="00902BA0" w:rsidP="00944E82">
            <w:pPr>
              <w:jc w:val="center"/>
              <w:rPr>
                <w:rFonts w:cs="Times New Roman"/>
                <w:sz w:val="18"/>
                <w:szCs w:val="18"/>
                <w:lang w:val="en-CA"/>
              </w:rPr>
            </w:pPr>
            <w:r w:rsidRPr="00D2239A">
              <w:rPr>
                <w:rFonts w:cs="Times New Roman"/>
                <w:sz w:val="18"/>
                <w:szCs w:val="18"/>
                <w:lang w:val="en-CA"/>
              </w:rPr>
              <w:t>2017–</w:t>
            </w:r>
            <w:r w:rsidR="00F92FB6">
              <w:rPr>
                <w:rFonts w:cs="Times New Roman"/>
                <w:sz w:val="18"/>
                <w:szCs w:val="18"/>
                <w:lang w:val="en-CA"/>
              </w:rPr>
              <w:t>2023</w:t>
            </w:r>
          </w:p>
        </w:tc>
        <w:tc>
          <w:tcPr>
            <w:tcW w:w="2970" w:type="dxa"/>
          </w:tcPr>
          <w:p w14:paraId="4D23289F" w14:textId="5B311BA5" w:rsidR="00461362" w:rsidRPr="00D2239A" w:rsidRDefault="00461362" w:rsidP="00461362">
            <w:pPr>
              <w:rPr>
                <w:rFonts w:cs="Times New Roman"/>
                <w:sz w:val="18"/>
                <w:szCs w:val="18"/>
                <w:lang w:val="en-CA"/>
              </w:rPr>
            </w:pPr>
            <w:r w:rsidRPr="00D2239A">
              <w:rPr>
                <w:rFonts w:cs="Times New Roman"/>
                <w:sz w:val="18"/>
                <w:szCs w:val="18"/>
              </w:rPr>
              <w:t xml:space="preserve">Number of individuals </w:t>
            </w:r>
            <w:r w:rsidR="00006CE0" w:rsidRPr="00D2239A">
              <w:rPr>
                <w:rFonts w:cs="Times New Roman"/>
                <w:sz w:val="18"/>
                <w:szCs w:val="18"/>
              </w:rPr>
              <w:t xml:space="preserve">in the </w:t>
            </w:r>
            <w:r w:rsidR="00006CE0" w:rsidRPr="00D2239A">
              <w:rPr>
                <w:rFonts w:cs="Times New Roman"/>
                <w:b/>
                <w:bCs/>
                <w:sz w:val="18"/>
                <w:szCs w:val="18"/>
              </w:rPr>
              <w:t>MOUD</w:t>
            </w:r>
            <w:r w:rsidR="00006CE0" w:rsidRPr="00D2239A">
              <w:rPr>
                <w:rFonts w:cs="Times New Roman"/>
                <w:sz w:val="18"/>
                <w:szCs w:val="18"/>
              </w:rPr>
              <w:t xml:space="preserve"> state </w:t>
            </w:r>
            <w:r w:rsidRPr="00D2239A">
              <w:rPr>
                <w:rFonts w:cs="Times New Roman"/>
                <w:sz w:val="18"/>
                <w:szCs w:val="18"/>
              </w:rPr>
              <w:t xml:space="preserve">with “Medication” = “Buprenorphine” and “Time in </w:t>
            </w:r>
            <w:r w:rsidRPr="00D2239A">
              <w:rPr>
                <w:rFonts w:cs="Times New Roman"/>
                <w:b/>
                <w:bCs/>
                <w:sz w:val="18"/>
                <w:szCs w:val="18"/>
              </w:rPr>
              <w:t>MOUD</w:t>
            </w:r>
            <w:r w:rsidRPr="00D2239A">
              <w:rPr>
                <w:rFonts w:cs="Times New Roman"/>
                <w:sz w:val="18"/>
                <w:szCs w:val="18"/>
              </w:rPr>
              <w:t>” &gt; 6</w:t>
            </w:r>
            <w:r w:rsidR="00262CBB" w:rsidRPr="00D2239A">
              <w:rPr>
                <w:rFonts w:cs="Times New Roman"/>
                <w:sz w:val="18"/>
                <w:szCs w:val="18"/>
              </w:rPr>
              <w:t xml:space="preserve"> months</w:t>
            </w:r>
          </w:p>
        </w:tc>
      </w:tr>
      <w:tr w:rsidR="00232C4C" w:rsidRPr="00D2239A" w14:paraId="1DC435BD" w14:textId="58DA4C61" w:rsidTr="005018FF">
        <w:trPr>
          <w:trHeight w:val="278"/>
        </w:trPr>
        <w:tc>
          <w:tcPr>
            <w:tcW w:w="2965" w:type="dxa"/>
          </w:tcPr>
          <w:p w14:paraId="441A4C74" w14:textId="2470D6BE" w:rsidR="00461362" w:rsidRPr="00D2239A" w:rsidRDefault="00461362" w:rsidP="00461362">
            <w:pPr>
              <w:pStyle w:val="table-text"/>
              <w:spacing w:before="0" w:after="0"/>
              <w:rPr>
                <w:rFonts w:ascii="Times New Roman" w:hAnsi="Times New Roman"/>
                <w:szCs w:val="18"/>
                <w:vertAlign w:val="superscript"/>
                <w:lang w:val="en-CA"/>
              </w:rPr>
            </w:pPr>
            <w:r w:rsidRPr="00D2239A">
              <w:rPr>
                <w:rFonts w:ascii="Times New Roman" w:hAnsi="Times New Roman"/>
                <w:szCs w:val="18"/>
              </w:rPr>
              <w:t xml:space="preserve">A.2.7.2 Number of individuals receiving </w:t>
            </w:r>
            <w:r w:rsidR="00262CBB" w:rsidRPr="00D2239A">
              <w:rPr>
                <w:rFonts w:ascii="Times New Roman" w:hAnsi="Times New Roman"/>
                <w:szCs w:val="18"/>
              </w:rPr>
              <w:t>m</w:t>
            </w:r>
            <w:r w:rsidRPr="00D2239A">
              <w:rPr>
                <w:rFonts w:ascii="Times New Roman" w:hAnsi="Times New Roman"/>
                <w:szCs w:val="18"/>
              </w:rPr>
              <w:t xml:space="preserve">ethadone retained beyond </w:t>
            </w:r>
            <w:r w:rsidR="00262CBB" w:rsidRPr="00D2239A">
              <w:rPr>
                <w:rFonts w:ascii="Times New Roman" w:hAnsi="Times New Roman"/>
                <w:szCs w:val="18"/>
              </w:rPr>
              <w:t>180 days</w:t>
            </w:r>
          </w:p>
        </w:tc>
        <w:tc>
          <w:tcPr>
            <w:tcW w:w="1622" w:type="dxa"/>
          </w:tcPr>
          <w:p w14:paraId="3FF3E1B8" w14:textId="703F3636" w:rsidR="00461362" w:rsidRPr="00D2239A" w:rsidRDefault="00461362" w:rsidP="00461362">
            <w:pPr>
              <w:pStyle w:val="table-text"/>
              <w:spacing w:before="0" w:after="0"/>
              <w:rPr>
                <w:rFonts w:ascii="Times New Roman" w:hAnsi="Times New Roman"/>
                <w:szCs w:val="18"/>
                <w:lang w:val="en-CA"/>
              </w:rPr>
            </w:pPr>
            <w:r w:rsidRPr="00D2239A">
              <w:rPr>
                <w:rFonts w:ascii="Times New Roman" w:hAnsi="Times New Roman"/>
                <w:szCs w:val="18"/>
                <w:lang w:val="en-CA"/>
              </w:rPr>
              <w:t>Medicaid claims data</w:t>
            </w:r>
          </w:p>
        </w:tc>
        <w:tc>
          <w:tcPr>
            <w:tcW w:w="1798" w:type="dxa"/>
          </w:tcPr>
          <w:p w14:paraId="0A27390C" w14:textId="03B66CE0" w:rsidR="00461362" w:rsidRPr="00D2239A" w:rsidRDefault="00902BA0" w:rsidP="00944E82">
            <w:pPr>
              <w:jc w:val="center"/>
              <w:rPr>
                <w:rFonts w:cs="Times New Roman"/>
                <w:sz w:val="18"/>
                <w:szCs w:val="18"/>
                <w:lang w:val="en-CA"/>
              </w:rPr>
            </w:pPr>
            <w:r w:rsidRPr="00D2239A">
              <w:rPr>
                <w:rFonts w:cs="Times New Roman"/>
                <w:sz w:val="18"/>
                <w:szCs w:val="18"/>
                <w:lang w:val="en-CA"/>
              </w:rPr>
              <w:t>2017–2022</w:t>
            </w:r>
          </w:p>
        </w:tc>
        <w:tc>
          <w:tcPr>
            <w:tcW w:w="2970" w:type="dxa"/>
          </w:tcPr>
          <w:p w14:paraId="49B1164E" w14:textId="2234AF13" w:rsidR="00461362" w:rsidRPr="00D2239A" w:rsidRDefault="00461362" w:rsidP="00461362">
            <w:pPr>
              <w:rPr>
                <w:rFonts w:cs="Times New Roman"/>
                <w:sz w:val="18"/>
                <w:szCs w:val="18"/>
                <w:lang w:val="en-CA"/>
              </w:rPr>
            </w:pPr>
            <w:r w:rsidRPr="00D2239A">
              <w:rPr>
                <w:rFonts w:cs="Times New Roman"/>
                <w:sz w:val="18"/>
                <w:szCs w:val="18"/>
              </w:rPr>
              <w:t xml:space="preserve">Number of individuals </w:t>
            </w:r>
            <w:r w:rsidR="00006CE0" w:rsidRPr="00D2239A">
              <w:rPr>
                <w:rFonts w:cs="Times New Roman"/>
                <w:sz w:val="18"/>
                <w:szCs w:val="18"/>
              </w:rPr>
              <w:t xml:space="preserve">in the </w:t>
            </w:r>
            <w:r w:rsidR="00006CE0" w:rsidRPr="00D2239A">
              <w:rPr>
                <w:rFonts w:cs="Times New Roman"/>
                <w:b/>
                <w:bCs/>
                <w:sz w:val="18"/>
                <w:szCs w:val="18"/>
              </w:rPr>
              <w:t>MOUD</w:t>
            </w:r>
            <w:r w:rsidR="00006CE0" w:rsidRPr="00D2239A">
              <w:rPr>
                <w:rFonts w:cs="Times New Roman"/>
                <w:sz w:val="18"/>
                <w:szCs w:val="18"/>
              </w:rPr>
              <w:t xml:space="preserve"> state </w:t>
            </w:r>
            <w:r w:rsidRPr="00D2239A">
              <w:rPr>
                <w:rFonts w:cs="Times New Roman"/>
                <w:sz w:val="18"/>
                <w:szCs w:val="18"/>
              </w:rPr>
              <w:t xml:space="preserve">with “Medication” = “Methadone” and “Time in </w:t>
            </w:r>
            <w:r w:rsidRPr="00D2239A">
              <w:rPr>
                <w:rFonts w:cs="Times New Roman"/>
                <w:b/>
                <w:bCs/>
                <w:sz w:val="18"/>
                <w:szCs w:val="18"/>
              </w:rPr>
              <w:t>MOUD</w:t>
            </w:r>
            <w:r w:rsidRPr="00D2239A">
              <w:rPr>
                <w:rFonts w:cs="Times New Roman"/>
                <w:sz w:val="18"/>
                <w:szCs w:val="18"/>
              </w:rPr>
              <w:t>” &gt; 6</w:t>
            </w:r>
            <w:r w:rsidR="00262CBB" w:rsidRPr="00D2239A">
              <w:rPr>
                <w:rFonts w:cs="Times New Roman"/>
                <w:sz w:val="18"/>
                <w:szCs w:val="18"/>
              </w:rPr>
              <w:t xml:space="preserve"> months</w:t>
            </w:r>
          </w:p>
        </w:tc>
      </w:tr>
      <w:tr w:rsidR="00232C4C" w:rsidRPr="00D2239A" w14:paraId="041ED3D9" w14:textId="29B18BD9" w:rsidTr="005018FF">
        <w:trPr>
          <w:trHeight w:val="278"/>
        </w:trPr>
        <w:tc>
          <w:tcPr>
            <w:tcW w:w="2965" w:type="dxa"/>
          </w:tcPr>
          <w:p w14:paraId="48228797" w14:textId="17EB0A1F" w:rsidR="00461362" w:rsidRPr="00D2239A" w:rsidRDefault="00461362" w:rsidP="00461362">
            <w:pPr>
              <w:pStyle w:val="table-text"/>
              <w:spacing w:before="0" w:after="0"/>
              <w:rPr>
                <w:rFonts w:ascii="Times New Roman" w:hAnsi="Times New Roman"/>
                <w:szCs w:val="18"/>
                <w:vertAlign w:val="superscript"/>
                <w:lang w:val="en-CA"/>
              </w:rPr>
            </w:pPr>
            <w:r w:rsidRPr="00D2239A">
              <w:rPr>
                <w:rFonts w:ascii="Times New Roman" w:hAnsi="Times New Roman"/>
                <w:szCs w:val="18"/>
              </w:rPr>
              <w:t xml:space="preserve">A.2.7.3 Number of individuals receiving naltrexone retained beyond </w:t>
            </w:r>
            <w:r w:rsidR="00262CBB" w:rsidRPr="00D2239A">
              <w:rPr>
                <w:rFonts w:ascii="Times New Roman" w:hAnsi="Times New Roman"/>
                <w:szCs w:val="18"/>
              </w:rPr>
              <w:t>180 days</w:t>
            </w:r>
            <w:r w:rsidRPr="00D2239A">
              <w:rPr>
                <w:rFonts w:ascii="Times New Roman" w:hAnsi="Times New Roman"/>
                <w:szCs w:val="18"/>
              </w:rPr>
              <w:t xml:space="preserve"> (combined injectable and oral)</w:t>
            </w:r>
          </w:p>
        </w:tc>
        <w:tc>
          <w:tcPr>
            <w:tcW w:w="1622" w:type="dxa"/>
          </w:tcPr>
          <w:p w14:paraId="6FB88864" w14:textId="13547BD6" w:rsidR="00461362" w:rsidRPr="00D2239A" w:rsidRDefault="00461362" w:rsidP="00461362">
            <w:pPr>
              <w:pStyle w:val="table-text"/>
              <w:spacing w:before="0" w:after="0"/>
              <w:rPr>
                <w:rFonts w:ascii="Times New Roman" w:hAnsi="Times New Roman"/>
                <w:szCs w:val="18"/>
                <w:lang w:val="en-CA"/>
              </w:rPr>
            </w:pPr>
            <w:r w:rsidRPr="00D2239A">
              <w:rPr>
                <w:rFonts w:ascii="Times New Roman" w:hAnsi="Times New Roman"/>
                <w:szCs w:val="18"/>
                <w:lang w:val="en-CA"/>
              </w:rPr>
              <w:t>Medical claims data</w:t>
            </w:r>
          </w:p>
        </w:tc>
        <w:tc>
          <w:tcPr>
            <w:tcW w:w="1798" w:type="dxa"/>
          </w:tcPr>
          <w:p w14:paraId="15554AAF" w14:textId="07E691DC" w:rsidR="00461362" w:rsidRPr="00D2239A" w:rsidRDefault="00902BA0" w:rsidP="00944E82">
            <w:pPr>
              <w:jc w:val="center"/>
              <w:rPr>
                <w:rFonts w:cs="Times New Roman"/>
                <w:sz w:val="18"/>
                <w:szCs w:val="18"/>
                <w:lang w:val="en-CA"/>
              </w:rPr>
            </w:pPr>
            <w:r w:rsidRPr="00D2239A">
              <w:rPr>
                <w:rFonts w:cs="Times New Roman"/>
                <w:sz w:val="18"/>
                <w:szCs w:val="18"/>
                <w:lang w:val="en-CA"/>
              </w:rPr>
              <w:t>2017–2022</w:t>
            </w:r>
          </w:p>
        </w:tc>
        <w:tc>
          <w:tcPr>
            <w:tcW w:w="2970" w:type="dxa"/>
          </w:tcPr>
          <w:p w14:paraId="1B4ED1AF" w14:textId="169E5980" w:rsidR="00461362" w:rsidRPr="00D2239A" w:rsidRDefault="00461362" w:rsidP="00461362">
            <w:pPr>
              <w:rPr>
                <w:rFonts w:cs="Times New Roman"/>
                <w:sz w:val="18"/>
                <w:szCs w:val="18"/>
                <w:lang w:val="en-CA"/>
              </w:rPr>
            </w:pPr>
            <w:r w:rsidRPr="00D2239A">
              <w:rPr>
                <w:rFonts w:cs="Times New Roman"/>
                <w:sz w:val="18"/>
                <w:szCs w:val="18"/>
              </w:rPr>
              <w:t xml:space="preserve">Number of individuals </w:t>
            </w:r>
            <w:r w:rsidR="00006CE0" w:rsidRPr="00D2239A">
              <w:rPr>
                <w:rFonts w:cs="Times New Roman"/>
                <w:sz w:val="18"/>
                <w:szCs w:val="18"/>
              </w:rPr>
              <w:t xml:space="preserve">in the </w:t>
            </w:r>
            <w:r w:rsidR="00006CE0" w:rsidRPr="00D2239A">
              <w:rPr>
                <w:rFonts w:cs="Times New Roman"/>
                <w:b/>
                <w:bCs/>
                <w:sz w:val="18"/>
                <w:szCs w:val="18"/>
              </w:rPr>
              <w:t>MOUD</w:t>
            </w:r>
            <w:r w:rsidR="00006CE0" w:rsidRPr="00D2239A">
              <w:rPr>
                <w:rFonts w:cs="Times New Roman"/>
                <w:sz w:val="18"/>
                <w:szCs w:val="18"/>
              </w:rPr>
              <w:t xml:space="preserve"> state </w:t>
            </w:r>
            <w:r w:rsidRPr="00D2239A">
              <w:rPr>
                <w:rFonts w:cs="Times New Roman"/>
                <w:sz w:val="18"/>
                <w:szCs w:val="18"/>
              </w:rPr>
              <w:t xml:space="preserve">with “Medication” = “Naltrexone” and “Time in </w:t>
            </w:r>
            <w:r w:rsidRPr="00D2239A">
              <w:rPr>
                <w:rFonts w:cs="Times New Roman"/>
                <w:b/>
                <w:bCs/>
                <w:sz w:val="18"/>
                <w:szCs w:val="18"/>
              </w:rPr>
              <w:t>MOUD</w:t>
            </w:r>
            <w:r w:rsidRPr="00D2239A">
              <w:rPr>
                <w:rFonts w:cs="Times New Roman"/>
                <w:sz w:val="18"/>
                <w:szCs w:val="18"/>
              </w:rPr>
              <w:t>” &gt; 6</w:t>
            </w:r>
            <w:r w:rsidR="00262CBB" w:rsidRPr="00D2239A">
              <w:rPr>
                <w:rFonts w:cs="Times New Roman"/>
                <w:sz w:val="18"/>
                <w:szCs w:val="18"/>
              </w:rPr>
              <w:t xml:space="preserve"> months</w:t>
            </w:r>
          </w:p>
        </w:tc>
      </w:tr>
      <w:tr w:rsidR="00232C4C" w:rsidRPr="00D2239A" w14:paraId="6D2339AF" w14:textId="39CEF5D9" w:rsidTr="005018FF">
        <w:trPr>
          <w:trHeight w:val="278"/>
        </w:trPr>
        <w:tc>
          <w:tcPr>
            <w:tcW w:w="2965" w:type="dxa"/>
          </w:tcPr>
          <w:p w14:paraId="204F7F0D" w14:textId="2EF00B99" w:rsidR="00461362" w:rsidRPr="00D2239A" w:rsidRDefault="00252B0B" w:rsidP="00461362">
            <w:pPr>
              <w:pStyle w:val="table-text"/>
              <w:spacing w:before="0" w:after="0"/>
              <w:rPr>
                <w:rFonts w:ascii="Times New Roman" w:hAnsi="Times New Roman"/>
                <w:b/>
                <w:bCs/>
                <w:szCs w:val="18"/>
                <w:lang w:val="en-CA"/>
              </w:rPr>
            </w:pPr>
            <w:r w:rsidRPr="00D2239A">
              <w:rPr>
                <w:rFonts w:ascii="Times New Roman" w:hAnsi="Times New Roman"/>
                <w:b/>
                <w:bCs/>
                <w:szCs w:val="18"/>
                <w:lang w:val="en-CA"/>
              </w:rPr>
              <w:t>Prevalence estimates from other</w:t>
            </w:r>
            <w:r w:rsidR="00A60F5A" w:rsidRPr="00D2239A">
              <w:rPr>
                <w:rFonts w:ascii="Times New Roman" w:hAnsi="Times New Roman"/>
                <w:b/>
                <w:bCs/>
                <w:szCs w:val="18"/>
                <w:lang w:val="en-CA"/>
              </w:rPr>
              <w:t xml:space="preserve"> </w:t>
            </w:r>
            <w:proofErr w:type="spellStart"/>
            <w:r w:rsidR="00A60F5A" w:rsidRPr="00D2239A">
              <w:rPr>
                <w:rFonts w:ascii="Times New Roman" w:hAnsi="Times New Roman"/>
                <w:b/>
                <w:bCs/>
                <w:szCs w:val="18"/>
                <w:lang w:val="en-CA"/>
              </w:rPr>
              <w:t>sources</w:t>
            </w:r>
            <w:r w:rsidR="003D5FD8" w:rsidRPr="00D2239A">
              <w:rPr>
                <w:rFonts w:ascii="Times New Roman" w:hAnsi="Times New Roman"/>
                <w:szCs w:val="18"/>
                <w:vertAlign w:val="superscript"/>
                <w:lang w:val="en-CA"/>
              </w:rPr>
              <w:t>b</w:t>
            </w:r>
            <w:proofErr w:type="spellEnd"/>
            <w:r w:rsidR="00A60F5A" w:rsidRPr="00D2239A">
              <w:rPr>
                <w:rFonts w:ascii="Times New Roman" w:hAnsi="Times New Roman"/>
                <w:b/>
                <w:bCs/>
                <w:szCs w:val="18"/>
                <w:lang w:val="en-CA"/>
              </w:rPr>
              <w:t xml:space="preserve"> </w:t>
            </w:r>
          </w:p>
        </w:tc>
        <w:tc>
          <w:tcPr>
            <w:tcW w:w="1622" w:type="dxa"/>
          </w:tcPr>
          <w:p w14:paraId="24C9D244" w14:textId="77777777" w:rsidR="00461362" w:rsidRPr="00D2239A" w:rsidRDefault="00461362" w:rsidP="00461362">
            <w:pPr>
              <w:pStyle w:val="table-text"/>
              <w:spacing w:before="0" w:after="0"/>
              <w:rPr>
                <w:rFonts w:ascii="Times New Roman" w:hAnsi="Times New Roman"/>
                <w:szCs w:val="18"/>
                <w:lang w:val="en-CA"/>
              </w:rPr>
            </w:pPr>
          </w:p>
        </w:tc>
        <w:tc>
          <w:tcPr>
            <w:tcW w:w="1798" w:type="dxa"/>
          </w:tcPr>
          <w:p w14:paraId="6D944B8C" w14:textId="77777777" w:rsidR="00461362" w:rsidRPr="00D2239A" w:rsidRDefault="00461362" w:rsidP="00944E82">
            <w:pPr>
              <w:jc w:val="center"/>
              <w:rPr>
                <w:rFonts w:cs="Times New Roman"/>
                <w:sz w:val="18"/>
                <w:szCs w:val="18"/>
                <w:lang w:val="en-CA"/>
              </w:rPr>
            </w:pPr>
          </w:p>
        </w:tc>
        <w:tc>
          <w:tcPr>
            <w:tcW w:w="2970" w:type="dxa"/>
          </w:tcPr>
          <w:p w14:paraId="53BA666A" w14:textId="77777777" w:rsidR="00461362" w:rsidRPr="00D2239A" w:rsidRDefault="00461362" w:rsidP="00461362">
            <w:pPr>
              <w:rPr>
                <w:rFonts w:cs="Times New Roman"/>
                <w:sz w:val="18"/>
                <w:szCs w:val="18"/>
                <w:lang w:val="en-CA"/>
              </w:rPr>
            </w:pPr>
          </w:p>
        </w:tc>
      </w:tr>
      <w:tr w:rsidR="00232C4C" w:rsidRPr="00D2239A" w14:paraId="33F0AF11" w14:textId="30F7CF85" w:rsidTr="005018FF">
        <w:trPr>
          <w:trHeight w:val="278"/>
        </w:trPr>
        <w:tc>
          <w:tcPr>
            <w:tcW w:w="2965" w:type="dxa"/>
          </w:tcPr>
          <w:p w14:paraId="148518B8" w14:textId="5B881E69" w:rsidR="00461362" w:rsidRPr="00D2239A" w:rsidRDefault="00461362" w:rsidP="00461362">
            <w:pPr>
              <w:pStyle w:val="table-text"/>
              <w:spacing w:before="0" w:after="0"/>
              <w:rPr>
                <w:rFonts w:ascii="Times New Roman" w:hAnsi="Times New Roman"/>
                <w:szCs w:val="18"/>
                <w:lang w:val="en-CA"/>
              </w:rPr>
            </w:pPr>
            <w:r w:rsidRPr="00D2239A">
              <w:rPr>
                <w:rFonts w:ascii="Times New Roman" w:hAnsi="Times New Roman"/>
                <w:szCs w:val="18"/>
              </w:rPr>
              <w:t>Number of individuals misusing prescription opioids without OUD</w:t>
            </w:r>
          </w:p>
        </w:tc>
        <w:tc>
          <w:tcPr>
            <w:tcW w:w="1622" w:type="dxa"/>
          </w:tcPr>
          <w:p w14:paraId="5112171F" w14:textId="0C4405AC" w:rsidR="00461362" w:rsidRPr="00D2239A" w:rsidRDefault="00FE488A" w:rsidP="00461362">
            <w:pPr>
              <w:pStyle w:val="table-text"/>
              <w:spacing w:before="0" w:after="0"/>
              <w:rPr>
                <w:rFonts w:ascii="Times New Roman" w:hAnsi="Times New Roman"/>
                <w:szCs w:val="18"/>
                <w:lang w:val="en-CA"/>
              </w:rPr>
            </w:pPr>
            <w:r w:rsidRPr="00D2239A">
              <w:rPr>
                <w:rFonts w:ascii="Times New Roman" w:hAnsi="Times New Roman"/>
                <w:szCs w:val="18"/>
                <w:lang w:val="en-CA"/>
              </w:rPr>
              <w:t>Personal communication from NIDA</w:t>
            </w:r>
            <w:r w:rsidR="00007B86" w:rsidRPr="00D2239A">
              <w:rPr>
                <w:rFonts w:ascii="Times New Roman" w:hAnsi="Times New Roman"/>
                <w:szCs w:val="18"/>
                <w:lang w:val="en-CA"/>
              </w:rPr>
              <w:t xml:space="preserve"> (based on NSDUH data analysis)</w:t>
            </w:r>
          </w:p>
        </w:tc>
        <w:tc>
          <w:tcPr>
            <w:tcW w:w="1798" w:type="dxa"/>
          </w:tcPr>
          <w:p w14:paraId="3E0DD6A8" w14:textId="24ED0A61" w:rsidR="00461362" w:rsidRPr="00D2239A" w:rsidRDefault="00902BA0" w:rsidP="00944E82">
            <w:pPr>
              <w:jc w:val="center"/>
              <w:rPr>
                <w:rFonts w:cs="Times New Roman"/>
                <w:sz w:val="18"/>
                <w:szCs w:val="18"/>
                <w:lang w:val="en-CA"/>
              </w:rPr>
            </w:pPr>
            <w:r w:rsidRPr="00D2239A">
              <w:rPr>
                <w:rFonts w:cs="Times New Roman"/>
                <w:sz w:val="18"/>
                <w:szCs w:val="18"/>
                <w:lang w:val="en-CA"/>
              </w:rPr>
              <w:t>2017</w:t>
            </w:r>
            <w:r w:rsidR="00262CBB" w:rsidRPr="00D2239A">
              <w:rPr>
                <w:rFonts w:cs="Times New Roman"/>
                <w:sz w:val="18"/>
                <w:szCs w:val="18"/>
                <w:lang w:val="en-CA"/>
              </w:rPr>
              <w:t>–</w:t>
            </w:r>
            <w:r w:rsidRPr="00D2239A">
              <w:rPr>
                <w:rFonts w:cs="Times New Roman"/>
                <w:sz w:val="18"/>
                <w:szCs w:val="18"/>
                <w:lang w:val="en-CA"/>
              </w:rPr>
              <w:t>2019</w:t>
            </w:r>
          </w:p>
        </w:tc>
        <w:tc>
          <w:tcPr>
            <w:tcW w:w="2970" w:type="dxa"/>
          </w:tcPr>
          <w:p w14:paraId="2DE0E115" w14:textId="3A69F024" w:rsidR="00461362" w:rsidRPr="00D2239A" w:rsidRDefault="00461362" w:rsidP="00461362">
            <w:pPr>
              <w:rPr>
                <w:rFonts w:cs="Times New Roman"/>
                <w:sz w:val="18"/>
                <w:szCs w:val="18"/>
                <w:lang w:val="en-CA"/>
              </w:rPr>
            </w:pPr>
            <w:r w:rsidRPr="00D2239A">
              <w:rPr>
                <w:rFonts w:cs="Times New Roman"/>
                <w:sz w:val="18"/>
                <w:szCs w:val="18"/>
              </w:rPr>
              <w:t xml:space="preserve">Number of </w:t>
            </w:r>
            <w:r w:rsidR="00006CE0" w:rsidRPr="00D2239A">
              <w:rPr>
                <w:rFonts w:cs="Times New Roman"/>
                <w:sz w:val="18"/>
                <w:szCs w:val="18"/>
              </w:rPr>
              <w:t>individuals</w:t>
            </w:r>
            <w:r w:rsidR="00006CE0" w:rsidRPr="00D2239A">
              <w:rPr>
                <w:rFonts w:cs="Times New Roman"/>
                <w:b/>
                <w:bCs/>
                <w:sz w:val="18"/>
                <w:szCs w:val="18"/>
              </w:rPr>
              <w:t xml:space="preserve"> </w:t>
            </w:r>
            <w:r w:rsidR="00006CE0" w:rsidRPr="00D2239A">
              <w:rPr>
                <w:rFonts w:cs="Times New Roman"/>
                <w:sz w:val="18"/>
                <w:szCs w:val="18"/>
              </w:rPr>
              <w:t xml:space="preserve">in the </w:t>
            </w:r>
            <w:r w:rsidR="0046608A" w:rsidRPr="00D2239A">
              <w:rPr>
                <w:rFonts w:cs="Times New Roman"/>
                <w:b/>
                <w:bCs/>
                <w:sz w:val="18"/>
                <w:szCs w:val="18"/>
              </w:rPr>
              <w:t>prescription</w:t>
            </w:r>
            <w:r w:rsidRPr="00D2239A">
              <w:rPr>
                <w:rFonts w:cs="Times New Roman"/>
                <w:b/>
                <w:bCs/>
                <w:sz w:val="18"/>
                <w:szCs w:val="18"/>
              </w:rPr>
              <w:t xml:space="preserve"> opioid misuse</w:t>
            </w:r>
            <w:r w:rsidRPr="00D2239A">
              <w:rPr>
                <w:rFonts w:cs="Times New Roman"/>
                <w:sz w:val="18"/>
                <w:szCs w:val="18"/>
              </w:rPr>
              <w:t xml:space="preserve"> </w:t>
            </w:r>
            <w:r w:rsidR="00006CE0" w:rsidRPr="00D2239A">
              <w:rPr>
                <w:rFonts w:cs="Times New Roman"/>
                <w:sz w:val="18"/>
                <w:szCs w:val="18"/>
              </w:rPr>
              <w:t>state</w:t>
            </w:r>
          </w:p>
        </w:tc>
      </w:tr>
      <w:tr w:rsidR="00232C4C" w:rsidRPr="00D2239A" w14:paraId="1F74AA19" w14:textId="2727AC36" w:rsidTr="005018FF">
        <w:trPr>
          <w:trHeight w:val="278"/>
        </w:trPr>
        <w:tc>
          <w:tcPr>
            <w:tcW w:w="2965" w:type="dxa"/>
            <w:tcBorders>
              <w:bottom w:val="single" w:sz="4" w:space="0" w:color="auto"/>
            </w:tcBorders>
          </w:tcPr>
          <w:p w14:paraId="2172064C" w14:textId="75418FF8" w:rsidR="00461362" w:rsidRPr="00D2239A" w:rsidRDefault="00461362" w:rsidP="00461362">
            <w:pPr>
              <w:pStyle w:val="table-text"/>
              <w:spacing w:before="0" w:after="0"/>
              <w:rPr>
                <w:rFonts w:ascii="Times New Roman" w:hAnsi="Times New Roman"/>
                <w:szCs w:val="18"/>
                <w:lang w:val="en-CA"/>
              </w:rPr>
            </w:pPr>
            <w:r w:rsidRPr="00D2239A">
              <w:rPr>
                <w:rFonts w:ascii="Times New Roman" w:hAnsi="Times New Roman"/>
                <w:szCs w:val="18"/>
              </w:rPr>
              <w:t>Number of individuals using illicit opioids without OUD</w:t>
            </w:r>
          </w:p>
        </w:tc>
        <w:tc>
          <w:tcPr>
            <w:tcW w:w="1622" w:type="dxa"/>
            <w:tcBorders>
              <w:bottom w:val="single" w:sz="4" w:space="0" w:color="auto"/>
            </w:tcBorders>
          </w:tcPr>
          <w:p w14:paraId="2E685BF1" w14:textId="755C2FE9" w:rsidR="00461362" w:rsidRPr="00D2239A" w:rsidRDefault="00461362" w:rsidP="00461362">
            <w:pPr>
              <w:pStyle w:val="table-text"/>
              <w:spacing w:before="0" w:after="0"/>
              <w:rPr>
                <w:rFonts w:ascii="Times New Roman" w:hAnsi="Times New Roman"/>
                <w:szCs w:val="18"/>
                <w:lang w:val="en-CA"/>
              </w:rPr>
            </w:pPr>
            <w:r w:rsidRPr="00D2239A">
              <w:rPr>
                <w:rFonts w:ascii="Times New Roman" w:hAnsi="Times New Roman"/>
                <w:szCs w:val="18"/>
                <w:lang w:val="en-CA"/>
              </w:rPr>
              <w:t>NSDUH</w:t>
            </w:r>
            <w:r w:rsidR="001A149D" w:rsidRPr="00D2239A">
              <w:rPr>
                <w:rFonts w:ascii="Times New Roman" w:hAnsi="Times New Roman"/>
                <w:szCs w:val="18"/>
                <w:lang w:val="en-CA"/>
              </w:rPr>
              <w:fldChar w:fldCharType="begin"/>
            </w:r>
            <w:r w:rsidR="009959E5">
              <w:rPr>
                <w:rFonts w:ascii="Times New Roman" w:hAnsi="Times New Roman"/>
                <w:szCs w:val="18"/>
                <w:lang w:val="en-CA"/>
              </w:rPr>
              <w:instrText xml:space="preserve"> ADDIN EN.CITE &lt;EndNote&gt;&lt;Cite&gt;&lt;Author&gt;Substance Abuse and Mental Health Services Administration (SAMHSA)&lt;/Author&gt;&lt;RecNum&gt;441&lt;/RecNum&gt;&lt;DisplayText&gt;&lt;style face="superscript"&gt;12,13&lt;/style&gt;&lt;/DisplayText&gt;&lt;record&gt;&lt;rec-number&gt;441&lt;/rec-number&gt;&lt;foreign-keys&gt;&lt;key app="EN" db-id="avtevdx5n99twqeadeupredtzeaatxdp5xsr" timestamp="1727801651"&gt;441&lt;/key&gt;&lt;/foreign-keys&gt;&lt;ref-type name="Web Page"&gt;12&lt;/ref-type&gt;&lt;contributors&gt;&lt;authors&gt;&lt;author&gt;Substance Abuse and Mental Health Services Administration (SAMHSA),,&lt;/author&gt;&lt;/authors&gt;&lt;/contributors&gt;&lt;titles&gt;&lt;title&gt;National survey on drug use and health: 2-year RDAS (2016 to 2017) [Data set]&lt;/title&gt;&lt;/titles&gt;&lt;volume&gt;2023&lt;/volume&gt;&lt;number&gt;Jan 17&lt;/number&gt;&lt;dates&gt;&lt;/dates&gt;&lt;publisher&gt;Substance Abuse and Mental Health Data Archive&lt;/publisher&gt;&lt;urls&gt;&lt;related-urls&gt;&lt;url&gt;https://rdas.samhsa.gov/#/survey/NSDUH-2016-2017-RD02YR&lt;/url&gt;&lt;/related-urls&gt;&lt;/urls&gt;&lt;/record&gt;&lt;/Cite&gt;&lt;Cite&gt;&lt;Author&gt;Substance Abuse and Mental Health Services Administration (SAMHSA)&lt;/Author&gt;&lt;RecNum&gt;442&lt;/RecNum&gt;&lt;record&gt;&lt;rec-number&gt;442&lt;/rec-number&gt;&lt;foreign-keys&gt;&lt;key app="EN" db-id="avtevdx5n99twqeadeupredtzeaatxdp5xsr" timestamp="1727801651"&gt;442&lt;/key&gt;&lt;/foreign-keys&gt;&lt;ref-type name="Web Page"&gt;12&lt;/ref-type&gt;&lt;contributors&gt;&lt;authors&gt;&lt;author&gt;Substance Abuse and Mental Health Services Administration (SAMHSA),,&lt;/author&gt;&lt;/authors&gt;&lt;/contributors&gt;&lt;titles&gt;&lt;title&gt;National survey on drug use and health: 2-year RDAS (2017 to 2018) [Data set]&lt;/title&gt;&lt;/titles&gt;&lt;volume&gt;2023&lt;/volume&gt;&lt;number&gt;Jan 17&lt;/number&gt;&lt;dates&gt;&lt;/dates&gt;&lt;publisher&gt;Substance Abuse and Mental Health Data Archive&lt;/publisher&gt;&lt;urls&gt;&lt;related-urls&gt;&lt;url&gt;https://rdas.samhsa.gov/#/survey/NSDUH-2017-2018-RD02YR&lt;/url&gt;&lt;/related-urls&gt;&lt;/urls&gt;&lt;/record&gt;&lt;/Cite&gt;&lt;/EndNote&gt;</w:instrText>
            </w:r>
            <w:r w:rsidR="001A149D" w:rsidRPr="00D2239A">
              <w:rPr>
                <w:rFonts w:ascii="Times New Roman" w:hAnsi="Times New Roman"/>
                <w:szCs w:val="18"/>
                <w:lang w:val="en-CA"/>
              </w:rPr>
              <w:fldChar w:fldCharType="separate"/>
            </w:r>
            <w:r w:rsidR="001A149D" w:rsidRPr="00D2239A">
              <w:rPr>
                <w:rFonts w:ascii="Times New Roman" w:hAnsi="Times New Roman"/>
                <w:noProof/>
                <w:szCs w:val="18"/>
                <w:vertAlign w:val="superscript"/>
                <w:lang w:val="en-CA"/>
              </w:rPr>
              <w:t>12,13</w:t>
            </w:r>
            <w:r w:rsidR="001A149D" w:rsidRPr="00D2239A">
              <w:rPr>
                <w:rFonts w:ascii="Times New Roman" w:hAnsi="Times New Roman"/>
                <w:szCs w:val="18"/>
                <w:lang w:val="en-CA"/>
              </w:rPr>
              <w:fldChar w:fldCharType="end"/>
            </w:r>
            <w:r w:rsidRPr="00D2239A">
              <w:rPr>
                <w:rFonts w:ascii="Times New Roman" w:hAnsi="Times New Roman"/>
                <w:szCs w:val="18"/>
                <w:lang w:val="en-CA"/>
              </w:rPr>
              <w:t xml:space="preserve"> </w:t>
            </w:r>
          </w:p>
        </w:tc>
        <w:tc>
          <w:tcPr>
            <w:tcW w:w="1798" w:type="dxa"/>
            <w:tcBorders>
              <w:bottom w:val="single" w:sz="4" w:space="0" w:color="auto"/>
            </w:tcBorders>
          </w:tcPr>
          <w:p w14:paraId="749BFE38" w14:textId="670F2066" w:rsidR="00461362" w:rsidRPr="00D2239A" w:rsidRDefault="00902BA0" w:rsidP="00944E82">
            <w:pPr>
              <w:jc w:val="center"/>
              <w:rPr>
                <w:rFonts w:cs="Times New Roman"/>
                <w:sz w:val="18"/>
                <w:szCs w:val="18"/>
                <w:lang w:val="en-CA"/>
              </w:rPr>
            </w:pPr>
            <w:r w:rsidRPr="00D2239A">
              <w:rPr>
                <w:rFonts w:cs="Times New Roman"/>
                <w:sz w:val="18"/>
                <w:szCs w:val="18"/>
                <w:lang w:val="en-CA"/>
              </w:rPr>
              <w:t>2017</w:t>
            </w:r>
            <w:r w:rsidR="00262CBB" w:rsidRPr="00D2239A">
              <w:rPr>
                <w:rFonts w:cs="Times New Roman"/>
                <w:sz w:val="18"/>
                <w:szCs w:val="18"/>
                <w:lang w:val="en-CA"/>
              </w:rPr>
              <w:t>–</w:t>
            </w:r>
            <w:r w:rsidRPr="00D2239A">
              <w:rPr>
                <w:rFonts w:cs="Times New Roman"/>
                <w:sz w:val="18"/>
                <w:szCs w:val="18"/>
                <w:lang w:val="en-CA"/>
              </w:rPr>
              <w:t>2019</w:t>
            </w:r>
          </w:p>
        </w:tc>
        <w:tc>
          <w:tcPr>
            <w:tcW w:w="2970" w:type="dxa"/>
            <w:tcBorders>
              <w:bottom w:val="single" w:sz="4" w:space="0" w:color="auto"/>
            </w:tcBorders>
          </w:tcPr>
          <w:p w14:paraId="38065555" w14:textId="54A80894" w:rsidR="00461362" w:rsidRPr="00D2239A" w:rsidRDefault="00461362" w:rsidP="00461362">
            <w:pPr>
              <w:rPr>
                <w:rFonts w:cs="Times New Roman"/>
                <w:sz w:val="18"/>
                <w:szCs w:val="18"/>
                <w:lang w:val="en-CA"/>
              </w:rPr>
            </w:pPr>
            <w:r w:rsidRPr="00D2239A">
              <w:rPr>
                <w:rFonts w:cs="Times New Roman"/>
                <w:sz w:val="18"/>
                <w:szCs w:val="18"/>
              </w:rPr>
              <w:t>Number of</w:t>
            </w:r>
            <w:r w:rsidRPr="00D2239A">
              <w:rPr>
                <w:rFonts w:cs="Times New Roman"/>
                <w:b/>
                <w:bCs/>
                <w:sz w:val="18"/>
                <w:szCs w:val="18"/>
              </w:rPr>
              <w:t xml:space="preserve"> </w:t>
            </w:r>
            <w:r w:rsidR="00006CE0" w:rsidRPr="00D2239A">
              <w:rPr>
                <w:rFonts w:cs="Times New Roman"/>
                <w:sz w:val="18"/>
                <w:szCs w:val="18"/>
              </w:rPr>
              <w:t xml:space="preserve">individuals in the </w:t>
            </w:r>
            <w:r w:rsidR="00A60F5A" w:rsidRPr="00D2239A">
              <w:rPr>
                <w:rFonts w:cs="Times New Roman"/>
                <w:b/>
                <w:bCs/>
                <w:sz w:val="18"/>
                <w:szCs w:val="18"/>
              </w:rPr>
              <w:t>i</w:t>
            </w:r>
            <w:r w:rsidRPr="00D2239A">
              <w:rPr>
                <w:rFonts w:cs="Times New Roman"/>
                <w:b/>
                <w:bCs/>
                <w:sz w:val="18"/>
                <w:szCs w:val="18"/>
              </w:rPr>
              <w:t xml:space="preserve">llicit opioid use </w:t>
            </w:r>
            <w:r w:rsidR="00006CE0" w:rsidRPr="00D2239A">
              <w:rPr>
                <w:rFonts w:cs="Times New Roman"/>
                <w:sz w:val="18"/>
                <w:szCs w:val="18"/>
              </w:rPr>
              <w:t xml:space="preserve">state </w:t>
            </w:r>
          </w:p>
        </w:tc>
      </w:tr>
      <w:tr w:rsidR="00232C4C" w:rsidRPr="00D2239A" w14:paraId="1127D8B3" w14:textId="66045CD1" w:rsidTr="00661D37">
        <w:trPr>
          <w:trHeight w:val="278"/>
        </w:trPr>
        <w:tc>
          <w:tcPr>
            <w:tcW w:w="2965" w:type="dxa"/>
            <w:tcBorders>
              <w:bottom w:val="single" w:sz="4" w:space="0" w:color="auto"/>
            </w:tcBorders>
          </w:tcPr>
          <w:p w14:paraId="59DA1181" w14:textId="6EAA3F0F" w:rsidR="00461362" w:rsidRPr="00D2239A" w:rsidRDefault="00461362" w:rsidP="00461362">
            <w:pPr>
              <w:pStyle w:val="table-text"/>
              <w:spacing w:before="0" w:after="0"/>
              <w:rPr>
                <w:rFonts w:ascii="Times New Roman" w:hAnsi="Times New Roman"/>
                <w:szCs w:val="18"/>
                <w:lang w:val="en-CA"/>
              </w:rPr>
            </w:pPr>
            <w:r w:rsidRPr="00D2239A">
              <w:rPr>
                <w:rFonts w:ascii="Times New Roman" w:hAnsi="Times New Roman"/>
                <w:szCs w:val="18"/>
              </w:rPr>
              <w:t xml:space="preserve">Number of individuals </w:t>
            </w:r>
            <w:r w:rsidR="00262CBB" w:rsidRPr="00D2239A">
              <w:rPr>
                <w:rFonts w:ascii="Times New Roman" w:hAnsi="Times New Roman"/>
                <w:szCs w:val="18"/>
              </w:rPr>
              <w:t xml:space="preserve">with </w:t>
            </w:r>
            <w:r w:rsidRPr="00D2239A">
              <w:rPr>
                <w:rFonts w:ascii="Times New Roman" w:hAnsi="Times New Roman"/>
                <w:szCs w:val="18"/>
              </w:rPr>
              <w:t>OUD</w:t>
            </w:r>
          </w:p>
        </w:tc>
        <w:tc>
          <w:tcPr>
            <w:tcW w:w="1622" w:type="dxa"/>
            <w:tcBorders>
              <w:bottom w:val="single" w:sz="4" w:space="0" w:color="auto"/>
            </w:tcBorders>
          </w:tcPr>
          <w:p w14:paraId="1DDE709C" w14:textId="519C99BF" w:rsidR="00461362" w:rsidRPr="00D2239A" w:rsidRDefault="00461362" w:rsidP="00461362">
            <w:pPr>
              <w:pStyle w:val="table-text"/>
              <w:spacing w:before="0" w:after="0"/>
              <w:rPr>
                <w:rFonts w:ascii="Times New Roman" w:hAnsi="Times New Roman"/>
                <w:szCs w:val="18"/>
                <w:lang w:val="en-CA"/>
              </w:rPr>
            </w:pPr>
            <w:r w:rsidRPr="00D2239A">
              <w:rPr>
                <w:rFonts w:ascii="Times New Roman" w:hAnsi="Times New Roman"/>
                <w:szCs w:val="18"/>
                <w:lang w:val="en-CA"/>
              </w:rPr>
              <w:t>Medicaid claims data, American Community Survey, NSDUH, NSDUH RDAS</w:t>
            </w:r>
            <w:r w:rsidR="00862EA4" w:rsidRPr="00D2239A">
              <w:rPr>
                <w:rFonts w:ascii="Times New Roman" w:hAnsi="Times New Roman"/>
                <w:szCs w:val="18"/>
                <w:lang w:val="en-CA"/>
              </w:rPr>
              <w:fldChar w:fldCharType="begin"/>
            </w:r>
            <w:r w:rsidR="00862EA4" w:rsidRPr="00D2239A">
              <w:rPr>
                <w:rFonts w:ascii="Times New Roman" w:hAnsi="Times New Roman"/>
                <w:szCs w:val="18"/>
                <w:lang w:val="en-CA"/>
              </w:rPr>
              <w:instrText xml:space="preserve"> ADDIN EN.CITE &lt;EndNote&gt;&lt;Cite&gt;&lt;Author&gt;Dowd&lt;/Author&gt;&lt;Year&gt;2023&lt;/Year&gt;&lt;RecNum&gt;124&lt;/RecNum&gt;&lt;DisplayText&gt;&lt;style face="superscript"&gt;3&lt;/style&gt;&lt;/DisplayText&gt;&lt;record&gt;&lt;rec-number&gt;124&lt;/rec-number&gt;&lt;foreign-keys&gt;&lt;key app="EN" db-id="ffv9f0td1taf24ev0z1paazh2dx55xvtwsv9" timestamp="1713388380"&gt;124&lt;/key&gt;&lt;/foreign-keys&gt;&lt;ref-type name="Manuscript"&gt;36&lt;/ref-type&gt;&lt;contributors&gt;&lt;authors&gt;&lt;author&gt;Dowd, William N.&lt;/author&gt;&lt;author&gt;Chen, Qiushi&lt;/author&gt;&lt;author&gt;Chhatwal, Jagpreet&lt;/author&gt;&lt;author&gt;Barbosa, Carolina&lt;/author&gt;&lt;author&gt;Oga, Emmanuel&lt;/author&gt;&lt;author&gt;Kulkarni, Neeti&lt;/author&gt;&lt;author&gt;Xiao, Jade&lt;/author&gt;&lt;author&gt;Aldridge, Arnie P.&lt;/author&gt;&lt;author&gt;Zarkin, Gary A.&lt;/author&gt;&lt;author&gt;Knudsen, Amy B.&lt;/author&gt;&lt;/authors&gt;&lt;/contributors&gt;&lt;titles&gt;&lt;title&gt;Estimating Community-Level Prevalence of Opioid Use Disorder: Extrapolating from Medicaid Claims Data. &lt;/title&gt;&lt;/titles&gt;&lt;dates&gt;&lt;year&gt;2023&lt;/year&gt;&lt;/dates&gt;&lt;pub-location&gt;Working manuscript&lt;/pub-location&gt;&lt;urls&gt;&lt;/urls&gt;&lt;/record&gt;&lt;/Cite&gt;&lt;/EndNote&gt;</w:instrText>
            </w:r>
            <w:r w:rsidR="00862EA4" w:rsidRPr="00D2239A">
              <w:rPr>
                <w:rFonts w:ascii="Times New Roman" w:hAnsi="Times New Roman"/>
                <w:szCs w:val="18"/>
                <w:lang w:val="en-CA"/>
              </w:rPr>
              <w:fldChar w:fldCharType="separate"/>
            </w:r>
            <w:r w:rsidR="00862EA4" w:rsidRPr="00D2239A">
              <w:rPr>
                <w:rFonts w:ascii="Times New Roman" w:hAnsi="Times New Roman"/>
                <w:noProof/>
                <w:szCs w:val="18"/>
                <w:vertAlign w:val="superscript"/>
                <w:lang w:val="en-CA"/>
              </w:rPr>
              <w:t>3</w:t>
            </w:r>
            <w:r w:rsidR="00862EA4" w:rsidRPr="00D2239A">
              <w:rPr>
                <w:rFonts w:ascii="Times New Roman" w:hAnsi="Times New Roman"/>
                <w:szCs w:val="18"/>
                <w:lang w:val="en-CA"/>
              </w:rPr>
              <w:fldChar w:fldCharType="end"/>
            </w:r>
            <w:r w:rsidR="00862EA4" w:rsidRPr="00D2239A">
              <w:rPr>
                <w:rFonts w:ascii="Times New Roman" w:hAnsi="Times New Roman"/>
                <w:szCs w:val="18"/>
                <w:lang w:val="en-CA"/>
              </w:rPr>
              <w:t xml:space="preserve"> </w:t>
            </w:r>
          </w:p>
        </w:tc>
        <w:tc>
          <w:tcPr>
            <w:tcW w:w="1798" w:type="dxa"/>
            <w:tcBorders>
              <w:bottom w:val="single" w:sz="4" w:space="0" w:color="auto"/>
            </w:tcBorders>
          </w:tcPr>
          <w:p w14:paraId="7992D5FA" w14:textId="648FEEE0" w:rsidR="00461362" w:rsidRPr="00D2239A" w:rsidRDefault="00902BA0" w:rsidP="00944E82">
            <w:pPr>
              <w:jc w:val="center"/>
              <w:rPr>
                <w:rFonts w:cs="Times New Roman"/>
                <w:sz w:val="18"/>
                <w:szCs w:val="18"/>
                <w:lang w:val="en-CA"/>
              </w:rPr>
            </w:pPr>
            <w:r w:rsidRPr="00D2239A">
              <w:rPr>
                <w:rFonts w:cs="Times New Roman"/>
                <w:sz w:val="18"/>
                <w:szCs w:val="18"/>
                <w:lang w:val="en-CA"/>
              </w:rPr>
              <w:t>2017</w:t>
            </w:r>
            <w:r w:rsidR="00262CBB" w:rsidRPr="00D2239A">
              <w:rPr>
                <w:rFonts w:cs="Times New Roman"/>
                <w:sz w:val="18"/>
                <w:szCs w:val="18"/>
                <w:lang w:val="en-CA"/>
              </w:rPr>
              <w:t>–</w:t>
            </w:r>
            <w:r w:rsidRPr="00D2239A">
              <w:rPr>
                <w:rFonts w:cs="Times New Roman"/>
                <w:sz w:val="18"/>
                <w:szCs w:val="18"/>
                <w:lang w:val="en-CA"/>
              </w:rPr>
              <w:t>2022</w:t>
            </w:r>
          </w:p>
        </w:tc>
        <w:tc>
          <w:tcPr>
            <w:tcW w:w="2970" w:type="dxa"/>
            <w:tcBorders>
              <w:bottom w:val="single" w:sz="4" w:space="0" w:color="auto"/>
            </w:tcBorders>
          </w:tcPr>
          <w:p w14:paraId="5069ADF1" w14:textId="6B2EC997" w:rsidR="00461362" w:rsidRPr="00D2239A" w:rsidRDefault="00461362" w:rsidP="00461362">
            <w:pPr>
              <w:rPr>
                <w:rFonts w:cs="Times New Roman"/>
                <w:sz w:val="18"/>
                <w:szCs w:val="18"/>
                <w:lang w:val="en-CA"/>
              </w:rPr>
            </w:pPr>
            <w:r w:rsidRPr="00D2239A">
              <w:rPr>
                <w:rFonts w:cs="Times New Roman"/>
                <w:sz w:val="18"/>
                <w:szCs w:val="18"/>
              </w:rPr>
              <w:t xml:space="preserve">Number of </w:t>
            </w:r>
            <w:r w:rsidR="00423E0B" w:rsidRPr="00D2239A">
              <w:rPr>
                <w:rFonts w:cs="Times New Roman"/>
                <w:sz w:val="18"/>
                <w:szCs w:val="18"/>
              </w:rPr>
              <w:t xml:space="preserve">individuals in </w:t>
            </w:r>
            <w:r w:rsidR="00006CE0" w:rsidRPr="00D2239A">
              <w:rPr>
                <w:rFonts w:cs="Times New Roman"/>
                <w:sz w:val="18"/>
                <w:szCs w:val="18"/>
              </w:rPr>
              <w:t xml:space="preserve">the </w:t>
            </w:r>
            <w:r w:rsidRPr="00D2239A">
              <w:rPr>
                <w:rFonts w:cs="Times New Roman"/>
                <w:b/>
                <w:bCs/>
                <w:sz w:val="18"/>
                <w:szCs w:val="18"/>
              </w:rPr>
              <w:t>OUD</w:t>
            </w:r>
            <w:r w:rsidRPr="00D2239A">
              <w:rPr>
                <w:rFonts w:cs="Times New Roman"/>
                <w:sz w:val="18"/>
                <w:szCs w:val="18"/>
              </w:rPr>
              <w:t xml:space="preserve"> </w:t>
            </w:r>
            <w:r w:rsidR="00423E0B" w:rsidRPr="00D2239A">
              <w:rPr>
                <w:rFonts w:cs="Times New Roman"/>
                <w:sz w:val="18"/>
                <w:szCs w:val="18"/>
              </w:rPr>
              <w:t xml:space="preserve">or </w:t>
            </w:r>
            <w:r w:rsidR="00B70F7E" w:rsidRPr="00D2239A">
              <w:rPr>
                <w:rFonts w:cs="Times New Roman"/>
                <w:b/>
                <w:bCs/>
                <w:sz w:val="18"/>
                <w:szCs w:val="18"/>
              </w:rPr>
              <w:t xml:space="preserve">MOUD </w:t>
            </w:r>
            <w:r w:rsidR="00423E0B" w:rsidRPr="00D2239A">
              <w:rPr>
                <w:rFonts w:cs="Times New Roman"/>
                <w:sz w:val="18"/>
                <w:szCs w:val="18"/>
              </w:rPr>
              <w:t>state</w:t>
            </w:r>
            <w:r w:rsidR="00006CE0" w:rsidRPr="00D2239A">
              <w:rPr>
                <w:rFonts w:cs="Times New Roman"/>
                <w:sz w:val="18"/>
                <w:szCs w:val="18"/>
              </w:rPr>
              <w:t>s</w:t>
            </w:r>
          </w:p>
        </w:tc>
      </w:tr>
      <w:tr w:rsidR="00232C4C" w:rsidRPr="00D2239A" w14:paraId="3141B1DC" w14:textId="77777777" w:rsidTr="00661D37">
        <w:trPr>
          <w:trHeight w:val="278"/>
        </w:trPr>
        <w:tc>
          <w:tcPr>
            <w:tcW w:w="9355" w:type="dxa"/>
            <w:gridSpan w:val="4"/>
            <w:tcBorders>
              <w:top w:val="single" w:sz="4" w:space="0" w:color="auto"/>
              <w:left w:val="nil"/>
              <w:bottom w:val="nil"/>
              <w:right w:val="nil"/>
            </w:tcBorders>
          </w:tcPr>
          <w:p w14:paraId="570C958A" w14:textId="53B6DFCB" w:rsidR="007F456C" w:rsidRPr="00D2239A" w:rsidRDefault="007F456C" w:rsidP="0079499B">
            <w:pPr>
              <w:ind w:left="160" w:hanging="160"/>
              <w:rPr>
                <w:rFonts w:cs="Times New Roman"/>
                <w:sz w:val="18"/>
                <w:szCs w:val="18"/>
              </w:rPr>
            </w:pPr>
            <w:r w:rsidRPr="00D2239A">
              <w:rPr>
                <w:rFonts w:cs="Times New Roman"/>
                <w:sz w:val="18"/>
                <w:szCs w:val="18"/>
                <w:vertAlign w:val="superscript"/>
              </w:rPr>
              <w:t>a</w:t>
            </w:r>
            <w:r w:rsidR="00262CBB" w:rsidRPr="00D2239A">
              <w:rPr>
                <w:rFonts w:cs="Times New Roman"/>
                <w:sz w:val="18"/>
                <w:szCs w:val="18"/>
                <w:vertAlign w:val="superscript"/>
              </w:rPr>
              <w:t xml:space="preserve">   </w:t>
            </w:r>
            <w:r w:rsidRPr="00D2239A">
              <w:rPr>
                <w:rFonts w:cs="Times New Roman"/>
                <w:sz w:val="18"/>
                <w:szCs w:val="18"/>
              </w:rPr>
              <w:t>Opioid overdose deaths were those with an underlying cause of death International Statistical Classification of Diseases, Tenth Revision code X40-X44, X60-X64, X85, or Y10-Y14 and multiple cause of death code T40.0-T40.4 or T40.6. Community assignment was based on residential address within the HCS community.</w:t>
            </w:r>
          </w:p>
          <w:p w14:paraId="3FE0E1C2" w14:textId="66762A88" w:rsidR="00252B0B" w:rsidRPr="00D2239A" w:rsidRDefault="00AE06E1" w:rsidP="00983B5C">
            <w:pPr>
              <w:ind w:left="160" w:hanging="160"/>
              <w:rPr>
                <w:rFonts w:cs="Times New Roman"/>
                <w:sz w:val="18"/>
                <w:szCs w:val="18"/>
                <w:vertAlign w:val="superscript"/>
              </w:rPr>
            </w:pPr>
            <w:r w:rsidRPr="00D2239A">
              <w:rPr>
                <w:rFonts w:cs="Times New Roman"/>
                <w:sz w:val="18"/>
                <w:szCs w:val="18"/>
                <w:vertAlign w:val="superscript"/>
              </w:rPr>
              <w:t>b</w:t>
            </w:r>
            <w:r w:rsidR="00262CBB" w:rsidRPr="00D2239A">
              <w:rPr>
                <w:rFonts w:cs="Times New Roman"/>
                <w:sz w:val="18"/>
                <w:szCs w:val="18"/>
                <w:vertAlign w:val="superscript"/>
              </w:rPr>
              <w:t xml:space="preserve">   </w:t>
            </w:r>
            <w:r w:rsidR="003D5FD8" w:rsidRPr="00D2239A">
              <w:rPr>
                <w:rFonts w:cs="Times New Roman"/>
                <w:sz w:val="18"/>
                <w:szCs w:val="18"/>
              </w:rPr>
              <w:t xml:space="preserve">Methods of prevalence estimation are in </w:t>
            </w:r>
            <w:r w:rsidR="003D5FD8" w:rsidRPr="00D2239A">
              <w:rPr>
                <w:rFonts w:cs="Times New Roman"/>
                <w:b/>
                <w:bCs/>
                <w:sz w:val="18"/>
                <w:szCs w:val="18"/>
              </w:rPr>
              <w:t>Supplement S1.2</w:t>
            </w:r>
            <w:r w:rsidR="003D5FD8" w:rsidRPr="00D2239A">
              <w:rPr>
                <w:rFonts w:cs="Times New Roman"/>
                <w:sz w:val="18"/>
                <w:szCs w:val="18"/>
              </w:rPr>
              <w:t>.</w:t>
            </w:r>
          </w:p>
        </w:tc>
      </w:tr>
    </w:tbl>
    <w:p w14:paraId="0F2C5B91" w14:textId="77777777" w:rsidR="00AF7FFD" w:rsidRPr="00D2239A" w:rsidRDefault="00AF7FFD" w:rsidP="0011229A">
      <w:pPr>
        <w:spacing w:line="276" w:lineRule="auto"/>
        <w:rPr>
          <w:rFonts w:cs="Times New Roman"/>
          <w:sz w:val="22"/>
          <w:szCs w:val="22"/>
        </w:rPr>
      </w:pPr>
    </w:p>
    <w:p w14:paraId="30ED7DBC" w14:textId="477FA312" w:rsidR="00922939" w:rsidRPr="00EF4250" w:rsidRDefault="0084110E" w:rsidP="00754108">
      <w:pPr>
        <w:spacing w:line="276" w:lineRule="auto"/>
        <w:rPr>
          <w:rFonts w:cs="Times New Roman"/>
          <w:szCs w:val="20"/>
        </w:rPr>
      </w:pPr>
      <w:r w:rsidRPr="00EF4250">
        <w:rPr>
          <w:rFonts w:cs="Times New Roman"/>
          <w:szCs w:val="20"/>
        </w:rPr>
        <w:t>For each community, t</w:t>
      </w:r>
      <w:r w:rsidR="00640D7F" w:rsidRPr="00EF4250">
        <w:rPr>
          <w:rFonts w:cs="Times New Roman"/>
          <w:szCs w:val="20"/>
        </w:rPr>
        <w:t xml:space="preserve">here are a total of </w:t>
      </w:r>
      <w:r w:rsidR="00F92FB6">
        <w:rPr>
          <w:rFonts w:cs="Times New Roman"/>
          <w:szCs w:val="20"/>
        </w:rPr>
        <w:t>53</w:t>
      </w:r>
      <w:r w:rsidR="00F92FB6" w:rsidRPr="00EF4250">
        <w:rPr>
          <w:rFonts w:cs="Times New Roman"/>
          <w:szCs w:val="20"/>
        </w:rPr>
        <w:t xml:space="preserve"> </w:t>
      </w:r>
      <w:r w:rsidR="00640D7F" w:rsidRPr="00EF4250">
        <w:rPr>
          <w:rFonts w:cs="Times New Roman"/>
          <w:szCs w:val="20"/>
        </w:rPr>
        <w:t xml:space="preserve">calibrated parameters in </w:t>
      </w:r>
      <w:r w:rsidR="001B7EF0" w:rsidRPr="00EF4250">
        <w:rPr>
          <w:rFonts w:cs="Times New Roman"/>
          <w:szCs w:val="20"/>
        </w:rPr>
        <w:t>OPSiM</w:t>
      </w:r>
      <w:r w:rsidR="00EF4FB4">
        <w:rPr>
          <w:rFonts w:cs="Times New Roman"/>
          <w:szCs w:val="20"/>
        </w:rPr>
        <w:t xml:space="preserve"> </w:t>
      </w:r>
      <w:r w:rsidR="00EF4FB4" w:rsidRPr="00EF4250">
        <w:rPr>
          <w:rFonts w:cs="Times New Roman"/>
          <w:szCs w:val="20"/>
        </w:rPr>
        <w:t>(</w:t>
      </w:r>
      <w:r w:rsidR="00EF4FB4" w:rsidRPr="00EF4250">
        <w:rPr>
          <w:rFonts w:cs="Times New Roman"/>
          <w:b/>
          <w:bCs/>
          <w:szCs w:val="20"/>
        </w:rPr>
        <w:t>Supplement S</w:t>
      </w:r>
      <w:r w:rsidR="0058100D">
        <w:rPr>
          <w:rFonts w:cs="Times New Roman"/>
          <w:b/>
          <w:bCs/>
          <w:szCs w:val="20"/>
        </w:rPr>
        <w:t>1.6</w:t>
      </w:r>
      <w:r w:rsidR="00EF4FB4" w:rsidRPr="00EF4250">
        <w:rPr>
          <w:rFonts w:cs="Times New Roman"/>
          <w:b/>
          <w:bCs/>
          <w:szCs w:val="20"/>
        </w:rPr>
        <w:t xml:space="preserve">, </w:t>
      </w:r>
      <w:r w:rsidR="00A87FBF" w:rsidRPr="00626C29">
        <w:rPr>
          <w:b/>
          <w:szCs w:val="20"/>
        </w:rPr>
        <w:t xml:space="preserve">Supplementary </w:t>
      </w:r>
      <w:r w:rsidR="00EF4FB4" w:rsidRPr="00EF4250">
        <w:rPr>
          <w:rFonts w:cs="Times New Roman"/>
          <w:b/>
          <w:bCs/>
          <w:szCs w:val="20"/>
        </w:rPr>
        <w:t xml:space="preserve">Table </w:t>
      </w:r>
      <w:r w:rsidR="0058100D">
        <w:rPr>
          <w:rFonts w:cs="Times New Roman"/>
          <w:b/>
          <w:bCs/>
          <w:szCs w:val="20"/>
        </w:rPr>
        <w:t>1</w:t>
      </w:r>
      <w:r w:rsidR="00352DAF">
        <w:rPr>
          <w:rFonts w:cs="Times New Roman"/>
          <w:b/>
          <w:bCs/>
          <w:szCs w:val="20"/>
        </w:rPr>
        <w:t>7</w:t>
      </w:r>
      <w:r w:rsidR="00EF4FB4">
        <w:rPr>
          <w:rFonts w:cs="Times New Roman"/>
          <w:b/>
          <w:bCs/>
          <w:szCs w:val="20"/>
        </w:rPr>
        <w:t>)</w:t>
      </w:r>
      <w:r w:rsidR="00640D7F" w:rsidRPr="00EF4250">
        <w:rPr>
          <w:rFonts w:cs="Times New Roman"/>
          <w:szCs w:val="20"/>
        </w:rPr>
        <w:t xml:space="preserve">. To identify the values of these parameters </w:t>
      </w:r>
      <w:r w:rsidR="002F698B" w:rsidRPr="00EF4250">
        <w:rPr>
          <w:rFonts w:cs="Times New Roman"/>
          <w:szCs w:val="20"/>
        </w:rPr>
        <w:t xml:space="preserve">so </w:t>
      </w:r>
      <w:r w:rsidR="00640D7F" w:rsidRPr="00EF4250">
        <w:rPr>
          <w:rFonts w:cs="Times New Roman"/>
          <w:szCs w:val="20"/>
        </w:rPr>
        <w:t xml:space="preserve">that the simulation model outputs closely </w:t>
      </w:r>
      <w:r w:rsidR="002F698B" w:rsidRPr="00EF4250">
        <w:rPr>
          <w:rFonts w:cs="Times New Roman"/>
          <w:szCs w:val="20"/>
        </w:rPr>
        <w:t>match</w:t>
      </w:r>
      <w:r w:rsidR="00262CBB" w:rsidRPr="00EF4250">
        <w:rPr>
          <w:rFonts w:cs="Times New Roman"/>
          <w:szCs w:val="20"/>
        </w:rPr>
        <w:t>ed</w:t>
      </w:r>
      <w:r w:rsidR="002F698B" w:rsidRPr="00EF4250">
        <w:rPr>
          <w:rFonts w:cs="Times New Roman"/>
          <w:szCs w:val="20"/>
        </w:rPr>
        <w:t xml:space="preserve"> </w:t>
      </w:r>
      <w:r w:rsidR="00640D7F" w:rsidRPr="00EF4250">
        <w:rPr>
          <w:rFonts w:cs="Times New Roman"/>
          <w:szCs w:val="20"/>
        </w:rPr>
        <w:t>the calibration targets, w</w:t>
      </w:r>
      <w:r w:rsidR="00DA120D" w:rsidRPr="00EF4250">
        <w:rPr>
          <w:rFonts w:cs="Times New Roman"/>
          <w:szCs w:val="20"/>
        </w:rPr>
        <w:t xml:space="preserve">e applied a directed search algorithm, </w:t>
      </w:r>
      <w:r w:rsidR="004E52EF" w:rsidRPr="00EF4250">
        <w:rPr>
          <w:rFonts w:cs="Times New Roman"/>
          <w:szCs w:val="20"/>
        </w:rPr>
        <w:t xml:space="preserve">namely </w:t>
      </w:r>
      <w:r w:rsidR="00DA120D" w:rsidRPr="00EF4250">
        <w:rPr>
          <w:rFonts w:cs="Times New Roman"/>
          <w:szCs w:val="20"/>
        </w:rPr>
        <w:t>simulated annealing (R package GenSA)</w:t>
      </w:r>
      <w:r w:rsidR="00640D7F" w:rsidRPr="00EF4250">
        <w:rPr>
          <w:rFonts w:cs="Times New Roman"/>
          <w:szCs w:val="20"/>
        </w:rPr>
        <w:t>.</w:t>
      </w:r>
      <w:r w:rsidR="00DA120D" w:rsidRPr="00EF4250">
        <w:rPr>
          <w:rFonts w:cs="Times New Roman"/>
          <w:szCs w:val="20"/>
        </w:rPr>
        <w:t xml:space="preserve"> The error function was defined as the sum of </w:t>
      </w:r>
      <w:r w:rsidR="002F698B" w:rsidRPr="00EF4250">
        <w:rPr>
          <w:rFonts w:cs="Times New Roman"/>
          <w:szCs w:val="20"/>
        </w:rPr>
        <w:t xml:space="preserve">the </w:t>
      </w:r>
      <w:r w:rsidR="00DA120D" w:rsidRPr="00EF4250">
        <w:rPr>
          <w:rFonts w:cs="Times New Roman"/>
          <w:szCs w:val="20"/>
        </w:rPr>
        <w:t xml:space="preserve">squared percentage error across all calibration targets from 2017 to </w:t>
      </w:r>
      <w:r w:rsidR="00F92FB6">
        <w:rPr>
          <w:rFonts w:cs="Times New Roman"/>
          <w:szCs w:val="20"/>
        </w:rPr>
        <w:t>2024</w:t>
      </w:r>
      <w:r w:rsidR="00DA120D" w:rsidRPr="00EF4250">
        <w:rPr>
          <w:rFonts w:cs="Times New Roman"/>
          <w:szCs w:val="20"/>
        </w:rPr>
        <w:t xml:space="preserve">. </w:t>
      </w:r>
      <w:r w:rsidR="00922939" w:rsidRPr="00EF4250">
        <w:rPr>
          <w:rFonts w:cs="Times New Roman"/>
          <w:szCs w:val="20"/>
        </w:rPr>
        <w:t xml:space="preserve">To account for uncertainty in the calibrated values, we repeated the calibration process 100 times with different initial solutions sampled via Latin </w:t>
      </w:r>
      <w:r w:rsidR="00B01635" w:rsidRPr="00EF4250">
        <w:rPr>
          <w:rFonts w:cs="Times New Roman"/>
          <w:szCs w:val="20"/>
        </w:rPr>
        <w:t>H</w:t>
      </w:r>
      <w:r w:rsidR="00922939" w:rsidRPr="00EF4250">
        <w:rPr>
          <w:rFonts w:cs="Times New Roman"/>
          <w:szCs w:val="20"/>
        </w:rPr>
        <w:t xml:space="preserve">ypercube </w:t>
      </w:r>
      <w:r w:rsidR="00B01635" w:rsidRPr="00EF4250">
        <w:rPr>
          <w:rFonts w:cs="Times New Roman"/>
          <w:szCs w:val="20"/>
        </w:rPr>
        <w:t>S</w:t>
      </w:r>
      <w:r w:rsidR="00922939" w:rsidRPr="00EF4250">
        <w:rPr>
          <w:rFonts w:cs="Times New Roman"/>
          <w:szCs w:val="20"/>
        </w:rPr>
        <w:t xml:space="preserve">ampling from a predefined range, resulting in 100 unique sets of parameter values. </w:t>
      </w:r>
      <w:r w:rsidR="00A87FBF" w:rsidRPr="00626C29">
        <w:rPr>
          <w:b/>
          <w:szCs w:val="20"/>
        </w:rPr>
        <w:t xml:space="preserve">Supplementary </w:t>
      </w:r>
      <w:r w:rsidR="0059545F" w:rsidRPr="00EF4250">
        <w:rPr>
          <w:rFonts w:cs="Times New Roman"/>
          <w:b/>
          <w:bCs/>
          <w:szCs w:val="20"/>
        </w:rPr>
        <w:t xml:space="preserve">Figure </w:t>
      </w:r>
      <w:r w:rsidR="00A87FBF">
        <w:rPr>
          <w:rFonts w:cs="Times New Roman"/>
          <w:b/>
          <w:bCs/>
          <w:szCs w:val="20"/>
        </w:rPr>
        <w:t>3</w:t>
      </w:r>
      <w:r w:rsidR="00C82417" w:rsidRPr="00EF4250">
        <w:rPr>
          <w:rFonts w:cs="Times New Roman"/>
          <w:b/>
          <w:bCs/>
          <w:szCs w:val="20"/>
        </w:rPr>
        <w:t xml:space="preserve"> </w:t>
      </w:r>
      <w:r w:rsidR="00C82417" w:rsidRPr="00EF4250">
        <w:rPr>
          <w:rFonts w:cs="Times New Roman"/>
          <w:szCs w:val="20"/>
        </w:rPr>
        <w:t xml:space="preserve">below shows the </w:t>
      </w:r>
      <w:r w:rsidR="00D72A97" w:rsidRPr="00EF4250">
        <w:rPr>
          <w:rFonts w:cs="Times New Roman"/>
          <w:szCs w:val="20"/>
        </w:rPr>
        <w:t xml:space="preserve">distribution </w:t>
      </w:r>
      <w:r w:rsidR="00262CBB" w:rsidRPr="00EF4250">
        <w:rPr>
          <w:rFonts w:cs="Times New Roman"/>
          <w:szCs w:val="20"/>
        </w:rPr>
        <w:t xml:space="preserve">of each </w:t>
      </w:r>
      <w:r w:rsidR="00D72A97" w:rsidRPr="00EF4250">
        <w:rPr>
          <w:rFonts w:cs="Times New Roman"/>
          <w:szCs w:val="20"/>
        </w:rPr>
        <w:t>calibrated parameter</w:t>
      </w:r>
      <w:r w:rsidR="00262CBB" w:rsidRPr="00EF4250">
        <w:rPr>
          <w:rFonts w:cs="Times New Roman"/>
          <w:szCs w:val="20"/>
        </w:rPr>
        <w:t xml:space="preserve"> for one simulated community</w:t>
      </w:r>
      <w:r w:rsidR="00EF4FB4" w:rsidRPr="00EF4FB4">
        <w:rPr>
          <w:rFonts w:cs="Times New Roman"/>
          <w:szCs w:val="20"/>
        </w:rPr>
        <w:t xml:space="preserve"> </w:t>
      </w:r>
      <w:r w:rsidR="00EF4FB4">
        <w:rPr>
          <w:rFonts w:cs="Times New Roman"/>
          <w:szCs w:val="20"/>
        </w:rPr>
        <w:t>and</w:t>
      </w:r>
      <w:r w:rsidR="00EF4FB4" w:rsidRPr="00B37011">
        <w:rPr>
          <w:rFonts w:cs="Times New Roman"/>
          <w:szCs w:val="20"/>
        </w:rPr>
        <w:t xml:space="preserve"> </w:t>
      </w:r>
      <w:r w:rsidR="00A87FBF" w:rsidRPr="00626C29">
        <w:rPr>
          <w:b/>
          <w:szCs w:val="20"/>
        </w:rPr>
        <w:t xml:space="preserve">Supplementary </w:t>
      </w:r>
      <w:r w:rsidR="00EF4FB4" w:rsidRPr="00EF4FB4">
        <w:rPr>
          <w:rFonts w:cs="Times New Roman"/>
          <w:b/>
          <w:bCs/>
          <w:szCs w:val="20"/>
        </w:rPr>
        <w:t xml:space="preserve">Figure </w:t>
      </w:r>
      <w:r w:rsidR="00A87FBF">
        <w:rPr>
          <w:rFonts w:cs="Times New Roman"/>
          <w:b/>
          <w:bCs/>
          <w:szCs w:val="20"/>
        </w:rPr>
        <w:t>4</w:t>
      </w:r>
      <w:r w:rsidR="00EF4FB4" w:rsidRPr="00B37011">
        <w:rPr>
          <w:rFonts w:cs="Times New Roman"/>
          <w:szCs w:val="20"/>
        </w:rPr>
        <w:t xml:space="preserve"> shows the model projections in comparison with the calibration targets, demonstrating close agreement between simulated and observed data.</w:t>
      </w:r>
      <w:r w:rsidR="00EF4FB4" w:rsidRPr="00EF4250">
        <w:rPr>
          <w:rFonts w:cs="Times New Roman"/>
          <w:szCs w:val="20"/>
        </w:rPr>
        <w:t xml:space="preserve"> </w:t>
      </w:r>
      <w:r w:rsidR="00922939" w:rsidRPr="00EF4250">
        <w:rPr>
          <w:rFonts w:cs="Times New Roman"/>
          <w:szCs w:val="20"/>
        </w:rPr>
        <w:t xml:space="preserve">We constructed the </w:t>
      </w:r>
      <w:r w:rsidR="00922939" w:rsidRPr="00EF4250">
        <w:rPr>
          <w:rFonts w:cs="Times New Roman"/>
          <w:szCs w:val="20"/>
        </w:rPr>
        <w:lastRenderedPageBreak/>
        <w:t xml:space="preserve">trajectory of each simulation outcome by taking the median and 95% </w:t>
      </w:r>
      <w:r w:rsidR="002F698B" w:rsidRPr="00EF4250">
        <w:rPr>
          <w:rFonts w:cs="Times New Roman"/>
          <w:szCs w:val="20"/>
        </w:rPr>
        <w:t xml:space="preserve">credible </w:t>
      </w:r>
      <w:r w:rsidR="00C87E42" w:rsidRPr="00EF4250">
        <w:rPr>
          <w:rFonts w:cs="Times New Roman"/>
          <w:szCs w:val="20"/>
        </w:rPr>
        <w:t>range</w:t>
      </w:r>
      <w:r w:rsidR="00922939" w:rsidRPr="00EF4250">
        <w:rPr>
          <w:rFonts w:cs="Times New Roman"/>
          <w:szCs w:val="20"/>
        </w:rPr>
        <w:t xml:space="preserve"> over the </w:t>
      </w:r>
      <w:r w:rsidR="008A5853" w:rsidRPr="00EF4250">
        <w:rPr>
          <w:rFonts w:cs="Times New Roman"/>
          <w:szCs w:val="20"/>
        </w:rPr>
        <w:t xml:space="preserve">entire solution </w:t>
      </w:r>
      <w:r w:rsidR="00922939" w:rsidRPr="00EF4250">
        <w:rPr>
          <w:rFonts w:cs="Times New Roman"/>
          <w:szCs w:val="20"/>
        </w:rPr>
        <w:t>set at each time point.</w:t>
      </w:r>
    </w:p>
    <w:p w14:paraId="56F60E37" w14:textId="77777777" w:rsidR="00DB0ADB" w:rsidRDefault="00DB0ADB" w:rsidP="00754108">
      <w:pPr>
        <w:spacing w:after="0" w:line="276" w:lineRule="auto"/>
        <w:rPr>
          <w:rFonts w:cs="Times New Roman"/>
          <w:b/>
          <w:bCs/>
          <w:szCs w:val="20"/>
        </w:rPr>
      </w:pPr>
    </w:p>
    <w:p w14:paraId="1E567D61" w14:textId="0D114BE2" w:rsidR="001B7EF0" w:rsidRDefault="00F92FB6" w:rsidP="001B7EF0">
      <w:pPr>
        <w:spacing w:after="0" w:line="276" w:lineRule="auto"/>
      </w:pPr>
      <w:r>
        <w:rPr>
          <w:noProof/>
        </w:rPr>
        <w:drawing>
          <wp:inline distT="0" distB="0" distL="0" distR="0" wp14:anchorId="19F63FBD" wp14:editId="237FFCE2">
            <wp:extent cx="5943600" cy="4739640"/>
            <wp:effectExtent l="0" t="0" r="0" b="3810"/>
            <wp:docPr id="2049375302"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75302" name="Picture 2" descr="A screenshot of a graph&#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739640"/>
                    </a:xfrm>
                    <a:prstGeom prst="rect">
                      <a:avLst/>
                    </a:prstGeom>
                    <a:noFill/>
                    <a:ln>
                      <a:noFill/>
                    </a:ln>
                  </pic:spPr>
                </pic:pic>
              </a:graphicData>
            </a:graphic>
          </wp:inline>
        </w:drawing>
      </w:r>
      <w:r w:rsidR="00A87FBF" w:rsidRPr="00A87FBF">
        <w:rPr>
          <w:b/>
          <w:szCs w:val="20"/>
        </w:rPr>
        <w:t xml:space="preserve"> </w:t>
      </w:r>
      <w:r w:rsidR="00A87FBF" w:rsidRPr="00626C29">
        <w:rPr>
          <w:b/>
          <w:szCs w:val="20"/>
        </w:rPr>
        <w:t xml:space="preserve">Supplementary </w:t>
      </w:r>
      <w:r w:rsidR="001B7EF0" w:rsidRPr="00D2239A">
        <w:rPr>
          <w:b/>
        </w:rPr>
        <w:t xml:space="preserve">Figure </w:t>
      </w:r>
      <w:r w:rsidR="00A87FBF">
        <w:rPr>
          <w:b/>
        </w:rPr>
        <w:t>3</w:t>
      </w:r>
      <w:r w:rsidR="001B7EF0" w:rsidRPr="00D2239A">
        <w:t xml:space="preserve">. Distribution of 100 replications of calibrated parameters for an example community. </w:t>
      </w:r>
    </w:p>
    <w:p w14:paraId="59ECD892" w14:textId="77777777" w:rsidR="00F502CD" w:rsidRDefault="00F502CD" w:rsidP="00B83F72">
      <w:pPr>
        <w:rPr>
          <w:rFonts w:cs="Times New Roman"/>
        </w:rPr>
      </w:pPr>
    </w:p>
    <w:p w14:paraId="36742B22" w14:textId="77777777" w:rsidR="001B7EF0" w:rsidRPr="00D2239A" w:rsidRDefault="001B7EF0">
      <w:pPr>
        <w:rPr>
          <w:rFonts w:cs="Times New Roman"/>
        </w:rPr>
        <w:sectPr w:rsidR="001B7EF0" w:rsidRPr="00D2239A" w:rsidSect="00323728">
          <w:footerReference w:type="even" r:id="rId15"/>
          <w:footerReference w:type="default" r:id="rId16"/>
          <w:type w:val="continuous"/>
          <w:pgSz w:w="12240" w:h="15840"/>
          <w:pgMar w:top="1440" w:right="1440" w:bottom="1440" w:left="1440" w:header="720" w:footer="720" w:gutter="0"/>
          <w:cols w:space="720"/>
          <w:docGrid w:linePitch="360"/>
        </w:sectPr>
      </w:pPr>
    </w:p>
    <w:p w14:paraId="2CB8345B" w14:textId="77777777" w:rsidR="00CE2DA9" w:rsidRDefault="00F92FB6" w:rsidP="00CE2DA9">
      <w:pPr>
        <w:pStyle w:val="figure-title"/>
        <w:rPr>
          <w:b/>
          <w:szCs w:val="20"/>
        </w:rPr>
      </w:pPr>
      <w:r>
        <w:rPr>
          <w:noProof/>
        </w:rPr>
        <w:lastRenderedPageBreak/>
        <w:drawing>
          <wp:inline distT="0" distB="0" distL="0" distR="0" wp14:anchorId="700B32AC" wp14:editId="3A67D7D2">
            <wp:extent cx="7730167" cy="5120640"/>
            <wp:effectExtent l="0" t="0" r="4445" b="3810"/>
            <wp:docPr id="1348504452" name="Picture 2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04452" name="Picture 27" descr="A screenshot of a graph&#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30167" cy="5120640"/>
                    </a:xfrm>
                    <a:prstGeom prst="rect">
                      <a:avLst/>
                    </a:prstGeom>
                    <a:noFill/>
                    <a:ln>
                      <a:noFill/>
                    </a:ln>
                  </pic:spPr>
                </pic:pic>
              </a:graphicData>
            </a:graphic>
          </wp:inline>
        </w:drawing>
      </w:r>
    </w:p>
    <w:p w14:paraId="13AF9D07" w14:textId="1331F95B" w:rsidR="00CE2DA9" w:rsidRPr="008608B1" w:rsidRDefault="00A87FBF" w:rsidP="00CE2DA9">
      <w:pPr>
        <w:pStyle w:val="figure-title"/>
        <w:rPr>
          <w:b/>
          <w:szCs w:val="20"/>
        </w:rPr>
      </w:pPr>
      <w:r w:rsidRPr="00626C29">
        <w:rPr>
          <w:b/>
          <w:szCs w:val="20"/>
        </w:rPr>
        <w:t xml:space="preserve">Supplementary </w:t>
      </w:r>
      <w:r w:rsidR="00CE2DA9" w:rsidRPr="008608B1">
        <w:rPr>
          <w:b/>
          <w:szCs w:val="20"/>
        </w:rPr>
        <w:t xml:space="preserve">Figure </w:t>
      </w:r>
      <w:r>
        <w:rPr>
          <w:b/>
          <w:szCs w:val="20"/>
        </w:rPr>
        <w:t>4</w:t>
      </w:r>
      <w:r w:rsidR="00CE2DA9" w:rsidRPr="008608B1">
        <w:rPr>
          <w:szCs w:val="20"/>
        </w:rPr>
        <w:t xml:space="preserve">. Number of opioid overdose deaths per 100,000 population in each of the </w:t>
      </w:r>
      <w:r w:rsidR="00CE2DA9">
        <w:rPr>
          <w:szCs w:val="20"/>
        </w:rPr>
        <w:t>26</w:t>
      </w:r>
      <w:r w:rsidR="00CE2DA9" w:rsidRPr="008608B1">
        <w:rPr>
          <w:szCs w:val="20"/>
        </w:rPr>
        <w:t xml:space="preserve"> simulated communities, 2017-</w:t>
      </w:r>
      <w:r w:rsidR="00CE2DA9">
        <w:rPr>
          <w:szCs w:val="20"/>
        </w:rPr>
        <w:t>2024</w:t>
      </w:r>
      <w:r w:rsidR="00CE2DA9" w:rsidRPr="008608B1">
        <w:rPr>
          <w:szCs w:val="20"/>
        </w:rPr>
        <w:t>.</w:t>
      </w:r>
    </w:p>
    <w:p w14:paraId="083FB89E" w14:textId="5327D60E" w:rsidR="00CE2DA9" w:rsidRDefault="00CE2DA9" w:rsidP="00CE2DA9">
      <w:pPr>
        <w:spacing w:after="0" w:line="276" w:lineRule="auto"/>
        <w:rPr>
          <w:rFonts w:cs="Times New Roman"/>
          <w:sz w:val="22"/>
          <w:szCs w:val="22"/>
        </w:rPr>
        <w:sectPr w:rsidR="00CE2DA9" w:rsidSect="00802672">
          <w:pgSz w:w="15840" w:h="12240" w:orient="landscape"/>
          <w:pgMar w:top="1440" w:right="1440" w:bottom="1440" w:left="1440" w:header="720" w:footer="720" w:gutter="0"/>
          <w:cols w:space="720"/>
          <w:docGrid w:linePitch="360"/>
        </w:sectPr>
      </w:pPr>
    </w:p>
    <w:p w14:paraId="059CD51F" w14:textId="252B2323" w:rsidR="00BE43BE" w:rsidRPr="00D2239A" w:rsidRDefault="00BE43BE" w:rsidP="00BE43BE">
      <w:pPr>
        <w:pStyle w:val="Heading1"/>
      </w:pPr>
      <w:bookmarkStart w:id="41" w:name="_Toc206681000"/>
      <w:bookmarkStart w:id="42" w:name="_Toc226020689"/>
      <w:r w:rsidRPr="00D2239A">
        <w:lastRenderedPageBreak/>
        <w:t>S1.</w:t>
      </w:r>
      <w:r>
        <w:t>6</w:t>
      </w:r>
      <w:r w:rsidRPr="00D2239A">
        <w:t xml:space="preserve">. Model </w:t>
      </w:r>
      <w:r>
        <w:t>input tables</w:t>
      </w:r>
      <w:bookmarkEnd w:id="42"/>
    </w:p>
    <w:p w14:paraId="647EE523" w14:textId="4315ECD1" w:rsidR="0058100D" w:rsidRPr="008608B1" w:rsidRDefault="00A87FBF" w:rsidP="0058100D">
      <w:pPr>
        <w:pStyle w:val="table-title"/>
        <w:rPr>
          <w:rFonts w:ascii="Times New Roman" w:hAnsi="Times New Roman"/>
          <w:b/>
          <w:szCs w:val="20"/>
        </w:rPr>
      </w:pPr>
      <w:r w:rsidRPr="00626C29">
        <w:rPr>
          <w:rFonts w:ascii="Times New Roman" w:hAnsi="Times New Roman"/>
          <w:b/>
          <w:szCs w:val="20"/>
        </w:rPr>
        <w:t xml:space="preserve">Supplementary </w:t>
      </w:r>
      <w:r w:rsidR="0058100D" w:rsidRPr="008608B1">
        <w:rPr>
          <w:rFonts w:ascii="Times New Roman" w:hAnsi="Times New Roman"/>
          <w:b/>
          <w:szCs w:val="20"/>
        </w:rPr>
        <w:t xml:space="preserve">Table </w:t>
      </w:r>
      <w:r>
        <w:rPr>
          <w:rFonts w:ascii="Times New Roman" w:hAnsi="Times New Roman"/>
          <w:b/>
          <w:szCs w:val="20"/>
        </w:rPr>
        <w:t>1</w:t>
      </w:r>
      <w:r w:rsidR="0058100D">
        <w:rPr>
          <w:rFonts w:ascii="Times New Roman" w:hAnsi="Times New Roman"/>
          <w:b/>
          <w:szCs w:val="20"/>
        </w:rPr>
        <w:t>6</w:t>
      </w:r>
      <w:r w:rsidR="0058100D" w:rsidRPr="008608B1">
        <w:rPr>
          <w:rFonts w:ascii="Times New Roman" w:hAnsi="Times New Roman"/>
          <w:b/>
          <w:szCs w:val="20"/>
        </w:rPr>
        <w:t xml:space="preserve">. </w:t>
      </w:r>
      <w:r w:rsidR="0058100D" w:rsidRPr="008608B1">
        <w:rPr>
          <w:rFonts w:ascii="Times New Roman" w:hAnsi="Times New Roman"/>
          <w:szCs w:val="20"/>
        </w:rPr>
        <w:t>Key model parameter values.</w:t>
      </w:r>
    </w:p>
    <w:tbl>
      <w:tblPr>
        <w:tblStyle w:val="TableGrid"/>
        <w:tblW w:w="0" w:type="auto"/>
        <w:tblLayout w:type="fixed"/>
        <w:tblCellMar>
          <w:left w:w="72" w:type="dxa"/>
        </w:tblCellMar>
        <w:tblLook w:val="04A0" w:firstRow="1" w:lastRow="0" w:firstColumn="1" w:lastColumn="0" w:noHBand="0" w:noVBand="1"/>
      </w:tblPr>
      <w:tblGrid>
        <w:gridCol w:w="3865"/>
        <w:gridCol w:w="2160"/>
        <w:gridCol w:w="1440"/>
        <w:gridCol w:w="1885"/>
      </w:tblGrid>
      <w:tr w:rsidR="0058100D" w:rsidRPr="00D2239A" w14:paraId="0E4D9B3C" w14:textId="77777777" w:rsidTr="00435936">
        <w:tc>
          <w:tcPr>
            <w:tcW w:w="3865" w:type="dxa"/>
          </w:tcPr>
          <w:p w14:paraId="73295B29" w14:textId="77777777" w:rsidR="0058100D" w:rsidRPr="00D2239A" w:rsidRDefault="0058100D" w:rsidP="00435936">
            <w:pPr>
              <w:spacing w:line="276" w:lineRule="auto"/>
              <w:rPr>
                <w:rFonts w:cs="Times New Roman"/>
                <w:b/>
                <w:bCs/>
                <w:sz w:val="18"/>
                <w:szCs w:val="18"/>
              </w:rPr>
            </w:pPr>
            <w:r w:rsidRPr="00D2239A">
              <w:rPr>
                <w:rFonts w:cs="Times New Roman"/>
                <w:b/>
                <w:bCs/>
                <w:sz w:val="18"/>
                <w:szCs w:val="18"/>
              </w:rPr>
              <w:t>Parameter</w:t>
            </w:r>
          </w:p>
        </w:tc>
        <w:tc>
          <w:tcPr>
            <w:tcW w:w="2160" w:type="dxa"/>
          </w:tcPr>
          <w:p w14:paraId="149B1FDF" w14:textId="77777777" w:rsidR="0058100D" w:rsidRPr="00D2239A" w:rsidRDefault="0058100D" w:rsidP="00435936">
            <w:pPr>
              <w:spacing w:line="276" w:lineRule="auto"/>
              <w:jc w:val="center"/>
              <w:rPr>
                <w:rFonts w:cs="Times New Roman"/>
                <w:b/>
                <w:bCs/>
                <w:sz w:val="18"/>
                <w:szCs w:val="18"/>
              </w:rPr>
            </w:pPr>
            <w:r w:rsidRPr="00D2239A">
              <w:rPr>
                <w:rFonts w:cs="Times New Roman"/>
                <w:b/>
                <w:bCs/>
                <w:sz w:val="18"/>
                <w:szCs w:val="18"/>
              </w:rPr>
              <w:t>Base case value</w:t>
            </w:r>
          </w:p>
        </w:tc>
        <w:tc>
          <w:tcPr>
            <w:tcW w:w="1440" w:type="dxa"/>
          </w:tcPr>
          <w:p w14:paraId="1E2257C0" w14:textId="77777777" w:rsidR="0058100D" w:rsidRPr="00D2239A" w:rsidRDefault="0058100D" w:rsidP="00435936">
            <w:pPr>
              <w:spacing w:line="276" w:lineRule="auto"/>
              <w:jc w:val="center"/>
              <w:rPr>
                <w:rFonts w:cs="Times New Roman"/>
                <w:b/>
                <w:bCs/>
                <w:sz w:val="18"/>
                <w:szCs w:val="18"/>
              </w:rPr>
            </w:pPr>
            <w:r w:rsidRPr="00D2239A">
              <w:rPr>
                <w:rFonts w:cs="Times New Roman"/>
                <w:b/>
                <w:bCs/>
                <w:sz w:val="18"/>
                <w:szCs w:val="18"/>
              </w:rPr>
              <w:t>Uncertainty range</w:t>
            </w:r>
          </w:p>
        </w:tc>
        <w:tc>
          <w:tcPr>
            <w:tcW w:w="1885" w:type="dxa"/>
          </w:tcPr>
          <w:p w14:paraId="268D1AE5" w14:textId="77777777" w:rsidR="0058100D" w:rsidRPr="00D2239A" w:rsidRDefault="0058100D" w:rsidP="00435936">
            <w:pPr>
              <w:spacing w:line="276" w:lineRule="auto"/>
              <w:jc w:val="center"/>
              <w:rPr>
                <w:rFonts w:cs="Times New Roman"/>
                <w:b/>
                <w:bCs/>
                <w:sz w:val="18"/>
                <w:szCs w:val="18"/>
              </w:rPr>
            </w:pPr>
            <w:r w:rsidRPr="00D2239A">
              <w:rPr>
                <w:rFonts w:cs="Times New Roman"/>
                <w:b/>
                <w:bCs/>
                <w:sz w:val="18"/>
                <w:szCs w:val="18"/>
              </w:rPr>
              <w:t>References and notes</w:t>
            </w:r>
          </w:p>
        </w:tc>
      </w:tr>
      <w:tr w:rsidR="0058100D" w:rsidRPr="00D2239A" w14:paraId="1461EFA9" w14:textId="77777777" w:rsidTr="00435936">
        <w:tc>
          <w:tcPr>
            <w:tcW w:w="3865" w:type="dxa"/>
          </w:tcPr>
          <w:p w14:paraId="524910AE" w14:textId="77777777" w:rsidR="0058100D" w:rsidRPr="00D2239A" w:rsidRDefault="0058100D" w:rsidP="00435936">
            <w:pPr>
              <w:spacing w:line="276" w:lineRule="auto"/>
              <w:rPr>
                <w:rFonts w:cs="Times New Roman"/>
                <w:b/>
                <w:bCs/>
                <w:sz w:val="18"/>
                <w:szCs w:val="18"/>
              </w:rPr>
            </w:pPr>
            <w:r w:rsidRPr="00D2239A">
              <w:rPr>
                <w:rFonts w:cs="Times New Roman"/>
                <w:b/>
                <w:bCs/>
                <w:sz w:val="18"/>
                <w:szCs w:val="18"/>
              </w:rPr>
              <w:t xml:space="preserve">Age and sex distribution of initial population and new incidences </w:t>
            </w:r>
          </w:p>
        </w:tc>
        <w:tc>
          <w:tcPr>
            <w:tcW w:w="2160" w:type="dxa"/>
          </w:tcPr>
          <w:p w14:paraId="5811D2C7" w14:textId="77777777" w:rsidR="0058100D" w:rsidRPr="00D2239A" w:rsidRDefault="0058100D" w:rsidP="00435936">
            <w:pPr>
              <w:spacing w:line="276" w:lineRule="auto"/>
              <w:jc w:val="center"/>
              <w:rPr>
                <w:rFonts w:cs="Times New Roman"/>
                <w:sz w:val="18"/>
                <w:szCs w:val="18"/>
              </w:rPr>
            </w:pPr>
          </w:p>
        </w:tc>
        <w:tc>
          <w:tcPr>
            <w:tcW w:w="1440" w:type="dxa"/>
          </w:tcPr>
          <w:p w14:paraId="3ED007E4" w14:textId="77777777" w:rsidR="0058100D" w:rsidRPr="00D2239A" w:rsidRDefault="0058100D" w:rsidP="00435936">
            <w:pPr>
              <w:spacing w:line="276" w:lineRule="auto"/>
              <w:jc w:val="center"/>
              <w:rPr>
                <w:rFonts w:cs="Times New Roman"/>
                <w:sz w:val="18"/>
                <w:szCs w:val="18"/>
              </w:rPr>
            </w:pPr>
          </w:p>
        </w:tc>
        <w:tc>
          <w:tcPr>
            <w:tcW w:w="1885" w:type="dxa"/>
          </w:tcPr>
          <w:p w14:paraId="4DCB895F" w14:textId="77777777" w:rsidR="0058100D" w:rsidRPr="00D2239A" w:rsidRDefault="0058100D" w:rsidP="00435936">
            <w:pPr>
              <w:spacing w:line="276" w:lineRule="auto"/>
              <w:rPr>
                <w:rFonts w:cs="Times New Roman"/>
                <w:sz w:val="18"/>
                <w:szCs w:val="18"/>
              </w:rPr>
            </w:pPr>
          </w:p>
        </w:tc>
      </w:tr>
      <w:tr w:rsidR="0058100D" w:rsidRPr="00D2239A" w14:paraId="453FFFF3" w14:textId="77777777" w:rsidTr="00435936">
        <w:tc>
          <w:tcPr>
            <w:tcW w:w="3865" w:type="dxa"/>
          </w:tcPr>
          <w:p w14:paraId="0C33DA53" w14:textId="77777777" w:rsidR="0058100D" w:rsidRPr="00D2239A" w:rsidRDefault="0058100D" w:rsidP="00435936">
            <w:pPr>
              <w:spacing w:line="276" w:lineRule="auto"/>
              <w:ind w:left="162"/>
              <w:rPr>
                <w:rStyle w:val="CommentReference"/>
                <w:rFonts w:cs="Times New Roman"/>
                <w:sz w:val="18"/>
                <w:szCs w:val="18"/>
              </w:rPr>
            </w:pPr>
            <w:r w:rsidRPr="00D2239A">
              <w:rPr>
                <w:rStyle w:val="CommentReference"/>
                <w:rFonts w:cs="Times New Roman"/>
                <w:sz w:val="18"/>
                <w:szCs w:val="18"/>
              </w:rPr>
              <w:t>Initial population</w:t>
            </w:r>
          </w:p>
          <w:p w14:paraId="3C4B50E8" w14:textId="77777777" w:rsidR="0058100D" w:rsidRPr="00D2239A" w:rsidRDefault="0058100D" w:rsidP="00435936">
            <w:pPr>
              <w:spacing w:line="276" w:lineRule="auto"/>
              <w:ind w:left="162"/>
              <w:rPr>
                <w:rFonts w:cs="Times New Roman"/>
                <w:sz w:val="18"/>
                <w:szCs w:val="18"/>
              </w:rPr>
            </w:pPr>
            <w:r w:rsidRPr="00D2239A">
              <w:rPr>
                <w:rStyle w:val="CommentReference"/>
                <w:rFonts w:cs="Times New Roman"/>
                <w:sz w:val="18"/>
                <w:szCs w:val="18"/>
              </w:rPr>
              <w:t>Prescription, illicit, OUD</w:t>
            </w:r>
          </w:p>
        </w:tc>
        <w:tc>
          <w:tcPr>
            <w:tcW w:w="2160" w:type="dxa"/>
          </w:tcPr>
          <w:p w14:paraId="306BBB4F"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Sampled from empirical distribution</w:t>
            </w:r>
          </w:p>
        </w:tc>
        <w:tc>
          <w:tcPr>
            <w:tcW w:w="1440" w:type="dxa"/>
          </w:tcPr>
          <w:p w14:paraId="2FFD962C" w14:textId="77777777" w:rsidR="0058100D" w:rsidRPr="00D2239A" w:rsidRDefault="0058100D" w:rsidP="00435936">
            <w:pPr>
              <w:spacing w:line="276" w:lineRule="auto"/>
              <w:jc w:val="center"/>
              <w:rPr>
                <w:rFonts w:cs="Times New Roman"/>
                <w:sz w:val="18"/>
                <w:szCs w:val="18"/>
              </w:rPr>
            </w:pPr>
          </w:p>
        </w:tc>
        <w:tc>
          <w:tcPr>
            <w:tcW w:w="1885" w:type="dxa"/>
          </w:tcPr>
          <w:p w14:paraId="2E76F2F9" w14:textId="77777777" w:rsidR="0058100D" w:rsidRPr="00D2239A" w:rsidRDefault="0058100D" w:rsidP="00435936">
            <w:pPr>
              <w:spacing w:line="276" w:lineRule="auto"/>
              <w:rPr>
                <w:rFonts w:cs="Times New Roman"/>
                <w:sz w:val="18"/>
                <w:szCs w:val="18"/>
              </w:rPr>
            </w:pPr>
            <w:r w:rsidRPr="00D2239A">
              <w:rPr>
                <w:rFonts w:cs="Times New Roman"/>
                <w:sz w:val="18"/>
                <w:szCs w:val="18"/>
              </w:rPr>
              <w:t>NSDUH</w:t>
            </w:r>
            <w:r w:rsidRPr="00D2239A">
              <w:rPr>
                <w:rFonts w:cs="Times New Roman"/>
                <w:sz w:val="18"/>
                <w:szCs w:val="18"/>
              </w:rPr>
              <w:fldChar w:fldCharType="begin">
                <w:fldData xml:space="preserve">PEVuZE5vdGU+PENpdGU+PEF1dGhvcj5TdWJzdGFuY2UgQWJ1c2UgYW5kIE1lbnRhbCBIZWFsdGgg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</w:fldData>
              </w:fldChar>
            </w:r>
            <w:r>
              <w:rPr>
                <w:rFonts w:cs="Times New Roman"/>
                <w:sz w:val="18"/>
                <w:szCs w:val="18"/>
              </w:rPr>
              <w:instrText xml:space="preserve"> ADDIN EN.CITE </w:instrText>
            </w:r>
            <w:r>
              <w:rPr>
                <w:rFonts w:cs="Times New Roman"/>
                <w:sz w:val="18"/>
                <w:szCs w:val="18"/>
              </w:rPr>
              <w:fldChar w:fldCharType="begin">
                <w:fldData xml:space="preserve">PEVuZE5vdGU+PENpdGU+PEF1dGhvcj5TdWJzdGFuY2UgQWJ1c2UgYW5kIE1lbnRhbCBIZWFsdGgg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</w:fldData>
              </w:fldChar>
            </w:r>
            <w:r>
              <w:rPr>
                <w:rFonts w:cs="Times New Roman"/>
                <w:sz w:val="18"/>
                <w:szCs w:val="18"/>
              </w:rPr>
              <w:instrText xml:space="preserve"> ADDIN EN.CITE.DATA </w:instrText>
            </w:r>
            <w:r>
              <w:rPr>
                <w:rFonts w:cs="Times New Roman"/>
                <w:sz w:val="18"/>
                <w:szCs w:val="18"/>
              </w:rPr>
            </w:r>
            <w:r>
              <w:rPr>
                <w:rFonts w:cs="Times New Roman"/>
                <w:sz w:val="18"/>
                <w:szCs w:val="18"/>
              </w:rPr>
              <w:fldChar w:fldCharType="end"/>
            </w:r>
            <w:r w:rsidRPr="00D2239A">
              <w:rPr>
                <w:rFonts w:cs="Times New Roman"/>
                <w:sz w:val="18"/>
                <w:szCs w:val="18"/>
              </w:rPr>
            </w:r>
            <w:r w:rsidRPr="00D2239A">
              <w:rPr>
                <w:rFonts w:cs="Times New Roman"/>
                <w:sz w:val="18"/>
                <w:szCs w:val="18"/>
              </w:rPr>
              <w:fldChar w:fldCharType="separate"/>
            </w:r>
            <w:r w:rsidRPr="00EF4FB4">
              <w:rPr>
                <w:rFonts w:cs="Times New Roman"/>
                <w:noProof/>
                <w:sz w:val="18"/>
                <w:szCs w:val="18"/>
                <w:vertAlign w:val="superscript"/>
              </w:rPr>
              <w:t>9,12,13</w:t>
            </w:r>
            <w:r w:rsidRPr="00D2239A">
              <w:rPr>
                <w:rFonts w:cs="Times New Roman"/>
                <w:sz w:val="18"/>
                <w:szCs w:val="18"/>
              </w:rPr>
              <w:fldChar w:fldCharType="end"/>
            </w:r>
          </w:p>
          <w:p w14:paraId="2453FDE5" w14:textId="77777777" w:rsidR="0058100D" w:rsidRPr="00D2239A" w:rsidRDefault="0058100D" w:rsidP="00435936">
            <w:pPr>
              <w:spacing w:line="276" w:lineRule="auto"/>
              <w:rPr>
                <w:rFonts w:cs="Times New Roman"/>
                <w:sz w:val="18"/>
                <w:szCs w:val="18"/>
              </w:rPr>
            </w:pPr>
            <w:r w:rsidRPr="00D2239A">
              <w:rPr>
                <w:rFonts w:cs="Times New Roman"/>
                <w:sz w:val="18"/>
                <w:szCs w:val="18"/>
              </w:rPr>
              <w:t>Supplement S</w:t>
            </w:r>
            <w:r>
              <w:rPr>
                <w:rFonts w:cs="Times New Roman"/>
                <w:sz w:val="18"/>
                <w:szCs w:val="18"/>
              </w:rPr>
              <w:t>2</w:t>
            </w:r>
            <w:r w:rsidRPr="00D2239A">
              <w:rPr>
                <w:rFonts w:cs="Times New Roman"/>
                <w:sz w:val="18"/>
                <w:szCs w:val="18"/>
              </w:rPr>
              <w:t>.2.3</w:t>
            </w:r>
          </w:p>
        </w:tc>
      </w:tr>
      <w:tr w:rsidR="0058100D" w:rsidRPr="00D2239A" w14:paraId="62C6557C" w14:textId="77777777" w:rsidTr="00435936">
        <w:tc>
          <w:tcPr>
            <w:tcW w:w="3865" w:type="dxa"/>
          </w:tcPr>
          <w:p w14:paraId="434AEB3D" w14:textId="77777777" w:rsidR="0058100D" w:rsidRPr="00D2239A" w:rsidRDefault="0058100D" w:rsidP="00435936">
            <w:pPr>
              <w:spacing w:line="276" w:lineRule="auto"/>
              <w:ind w:left="162"/>
              <w:rPr>
                <w:rStyle w:val="CommentReference"/>
                <w:rFonts w:cs="Times New Roman"/>
                <w:sz w:val="18"/>
                <w:szCs w:val="18"/>
              </w:rPr>
            </w:pPr>
            <w:r w:rsidRPr="00D2239A">
              <w:rPr>
                <w:rStyle w:val="CommentReference"/>
                <w:rFonts w:cs="Times New Roman"/>
                <w:sz w:val="18"/>
                <w:szCs w:val="18"/>
              </w:rPr>
              <w:t xml:space="preserve">New incidences to </w:t>
            </w:r>
            <w:r w:rsidRPr="00D2239A">
              <w:rPr>
                <w:rStyle w:val="CommentReference"/>
                <w:rFonts w:cs="Times New Roman"/>
                <w:i/>
                <w:iCs/>
                <w:sz w:val="18"/>
                <w:szCs w:val="18"/>
              </w:rPr>
              <w:t xml:space="preserve">Prescription Opioid </w:t>
            </w:r>
            <w:r>
              <w:rPr>
                <w:rStyle w:val="CommentReference"/>
                <w:rFonts w:cs="Times New Roman"/>
                <w:i/>
                <w:iCs/>
                <w:sz w:val="18"/>
                <w:szCs w:val="18"/>
              </w:rPr>
              <w:t>Use</w:t>
            </w:r>
            <w:r w:rsidRPr="00D2239A">
              <w:rPr>
                <w:rStyle w:val="CommentReference"/>
                <w:rFonts w:cs="Times New Roman"/>
                <w:sz w:val="18"/>
                <w:szCs w:val="18"/>
              </w:rPr>
              <w:t xml:space="preserve"> and </w:t>
            </w:r>
            <w:r w:rsidRPr="00D2239A">
              <w:rPr>
                <w:rStyle w:val="CommentReference"/>
                <w:rFonts w:cs="Times New Roman"/>
                <w:i/>
                <w:iCs/>
                <w:sz w:val="18"/>
                <w:szCs w:val="18"/>
              </w:rPr>
              <w:t>Illicit Opioid Use</w:t>
            </w:r>
            <w:r w:rsidRPr="00D2239A">
              <w:rPr>
                <w:rStyle w:val="CommentReference"/>
                <w:rFonts w:cs="Times New Roman"/>
                <w:sz w:val="18"/>
                <w:szCs w:val="18"/>
              </w:rPr>
              <w:t xml:space="preserve"> states</w:t>
            </w:r>
          </w:p>
        </w:tc>
        <w:tc>
          <w:tcPr>
            <w:tcW w:w="2160" w:type="dxa"/>
          </w:tcPr>
          <w:p w14:paraId="2C2F5475"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Calibrated</w:t>
            </w:r>
          </w:p>
        </w:tc>
        <w:tc>
          <w:tcPr>
            <w:tcW w:w="1440" w:type="dxa"/>
          </w:tcPr>
          <w:p w14:paraId="2EC7E96B" w14:textId="77777777" w:rsidR="0058100D" w:rsidRPr="00D2239A" w:rsidRDefault="0058100D" w:rsidP="00435936">
            <w:pPr>
              <w:spacing w:line="276" w:lineRule="auto"/>
              <w:jc w:val="center"/>
              <w:rPr>
                <w:rFonts w:cs="Times New Roman"/>
                <w:sz w:val="18"/>
                <w:szCs w:val="18"/>
              </w:rPr>
            </w:pPr>
          </w:p>
        </w:tc>
        <w:tc>
          <w:tcPr>
            <w:tcW w:w="1885" w:type="dxa"/>
          </w:tcPr>
          <w:p w14:paraId="46526A57" w14:textId="77777777" w:rsidR="0058100D" w:rsidRPr="00D2239A" w:rsidRDefault="0058100D" w:rsidP="00435936">
            <w:pPr>
              <w:spacing w:line="276" w:lineRule="auto"/>
              <w:rPr>
                <w:rFonts w:cs="Times New Roman"/>
                <w:sz w:val="18"/>
                <w:szCs w:val="18"/>
              </w:rPr>
            </w:pPr>
            <w:r w:rsidRPr="00D2239A">
              <w:rPr>
                <w:rFonts w:cs="Times New Roman"/>
                <w:sz w:val="18"/>
                <w:szCs w:val="18"/>
              </w:rPr>
              <w:t>Supplement S</w:t>
            </w:r>
            <w:r>
              <w:rPr>
                <w:rFonts w:cs="Times New Roman"/>
                <w:sz w:val="18"/>
                <w:szCs w:val="18"/>
              </w:rPr>
              <w:t>2</w:t>
            </w:r>
            <w:r w:rsidRPr="00D2239A">
              <w:rPr>
                <w:rFonts w:cs="Times New Roman"/>
                <w:sz w:val="18"/>
                <w:szCs w:val="18"/>
              </w:rPr>
              <w:t>.2.3</w:t>
            </w:r>
          </w:p>
        </w:tc>
      </w:tr>
      <w:tr w:rsidR="0058100D" w:rsidRPr="00D2239A" w14:paraId="29EDECA0" w14:textId="77777777" w:rsidTr="00435936">
        <w:tc>
          <w:tcPr>
            <w:tcW w:w="3865" w:type="dxa"/>
          </w:tcPr>
          <w:p w14:paraId="6DCA53A1" w14:textId="77777777" w:rsidR="0058100D" w:rsidRPr="00D2239A" w:rsidRDefault="0058100D" w:rsidP="00435936">
            <w:pPr>
              <w:spacing w:line="276" w:lineRule="auto"/>
              <w:rPr>
                <w:rFonts w:cs="Times New Roman"/>
                <w:b/>
                <w:bCs/>
                <w:sz w:val="18"/>
                <w:szCs w:val="18"/>
              </w:rPr>
            </w:pPr>
            <w:r w:rsidRPr="00D2239A">
              <w:rPr>
                <w:rFonts w:cs="Times New Roman"/>
                <w:b/>
                <w:bCs/>
                <w:sz w:val="18"/>
                <w:szCs w:val="18"/>
              </w:rPr>
              <w:t>Monthly probability of state transitions</w:t>
            </w:r>
          </w:p>
        </w:tc>
        <w:tc>
          <w:tcPr>
            <w:tcW w:w="2160" w:type="dxa"/>
          </w:tcPr>
          <w:p w14:paraId="05F742AD" w14:textId="77777777" w:rsidR="0058100D" w:rsidRPr="00D2239A" w:rsidRDefault="0058100D" w:rsidP="00435936">
            <w:pPr>
              <w:spacing w:line="276" w:lineRule="auto"/>
              <w:jc w:val="center"/>
              <w:rPr>
                <w:rFonts w:cs="Times New Roman"/>
                <w:b/>
                <w:bCs/>
                <w:sz w:val="18"/>
                <w:szCs w:val="18"/>
              </w:rPr>
            </w:pPr>
          </w:p>
        </w:tc>
        <w:tc>
          <w:tcPr>
            <w:tcW w:w="1440" w:type="dxa"/>
          </w:tcPr>
          <w:p w14:paraId="79C58BA2" w14:textId="77777777" w:rsidR="0058100D" w:rsidRPr="00D2239A" w:rsidRDefault="0058100D" w:rsidP="00435936">
            <w:pPr>
              <w:spacing w:line="276" w:lineRule="auto"/>
              <w:jc w:val="center"/>
              <w:rPr>
                <w:rFonts w:cs="Times New Roman"/>
                <w:b/>
                <w:bCs/>
                <w:sz w:val="18"/>
                <w:szCs w:val="18"/>
              </w:rPr>
            </w:pPr>
          </w:p>
        </w:tc>
        <w:tc>
          <w:tcPr>
            <w:tcW w:w="1885" w:type="dxa"/>
          </w:tcPr>
          <w:p w14:paraId="2A8ACD2C" w14:textId="77777777" w:rsidR="0058100D" w:rsidRPr="00D2239A" w:rsidRDefault="0058100D" w:rsidP="00435936">
            <w:pPr>
              <w:spacing w:line="276" w:lineRule="auto"/>
              <w:rPr>
                <w:rFonts w:cs="Times New Roman"/>
                <w:b/>
                <w:bCs/>
                <w:sz w:val="18"/>
                <w:szCs w:val="18"/>
              </w:rPr>
            </w:pPr>
          </w:p>
        </w:tc>
      </w:tr>
      <w:tr w:rsidR="0058100D" w:rsidRPr="00D2239A" w14:paraId="5F119419" w14:textId="77777777" w:rsidTr="00435936">
        <w:tc>
          <w:tcPr>
            <w:tcW w:w="3865" w:type="dxa"/>
          </w:tcPr>
          <w:p w14:paraId="279B6F39" w14:textId="77777777" w:rsidR="0058100D" w:rsidRPr="00D2239A" w:rsidRDefault="0058100D" w:rsidP="00435936">
            <w:pPr>
              <w:spacing w:line="276" w:lineRule="auto"/>
              <w:rPr>
                <w:rFonts w:cs="Times New Roman"/>
                <w:sz w:val="18"/>
                <w:szCs w:val="18"/>
              </w:rPr>
            </w:pPr>
            <w:r w:rsidRPr="00D2239A">
              <w:rPr>
                <w:rFonts w:cs="Times New Roman"/>
                <w:sz w:val="18"/>
                <w:szCs w:val="18"/>
              </w:rPr>
              <w:t xml:space="preserve">From </w:t>
            </w:r>
            <w:r w:rsidRPr="00D2239A">
              <w:rPr>
                <w:rFonts w:cs="Times New Roman"/>
                <w:i/>
                <w:iCs/>
                <w:sz w:val="18"/>
                <w:szCs w:val="18"/>
              </w:rPr>
              <w:t xml:space="preserve">Prescription Opioid </w:t>
            </w:r>
            <w:r>
              <w:rPr>
                <w:rFonts w:cs="Times New Roman"/>
                <w:i/>
                <w:iCs/>
                <w:sz w:val="18"/>
                <w:szCs w:val="18"/>
              </w:rPr>
              <w:t>Use</w:t>
            </w:r>
            <w:r w:rsidRPr="00D2239A">
              <w:rPr>
                <w:rFonts w:cs="Times New Roman"/>
                <w:sz w:val="18"/>
                <w:szCs w:val="18"/>
              </w:rPr>
              <w:t xml:space="preserve"> to </w:t>
            </w:r>
            <w:r w:rsidRPr="00D2239A">
              <w:rPr>
                <w:rFonts w:cs="Times New Roman"/>
                <w:i/>
                <w:iCs/>
                <w:sz w:val="18"/>
                <w:szCs w:val="18"/>
              </w:rPr>
              <w:t>Illicit Opioid Use</w:t>
            </w:r>
          </w:p>
        </w:tc>
        <w:tc>
          <w:tcPr>
            <w:tcW w:w="2160" w:type="dxa"/>
          </w:tcPr>
          <w:p w14:paraId="1106A0EC"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Calibrated</w:t>
            </w:r>
          </w:p>
        </w:tc>
        <w:tc>
          <w:tcPr>
            <w:tcW w:w="1440" w:type="dxa"/>
          </w:tcPr>
          <w:p w14:paraId="46582E96" w14:textId="77777777" w:rsidR="0058100D" w:rsidRPr="00D2239A" w:rsidRDefault="0058100D" w:rsidP="00435936">
            <w:pPr>
              <w:spacing w:line="276" w:lineRule="auto"/>
              <w:jc w:val="center"/>
              <w:rPr>
                <w:rFonts w:cs="Times New Roman"/>
                <w:sz w:val="18"/>
                <w:szCs w:val="18"/>
              </w:rPr>
            </w:pPr>
          </w:p>
        </w:tc>
        <w:tc>
          <w:tcPr>
            <w:tcW w:w="1885" w:type="dxa"/>
          </w:tcPr>
          <w:p w14:paraId="40001AD1" w14:textId="77777777" w:rsidR="0058100D" w:rsidRPr="00D2239A" w:rsidRDefault="0058100D" w:rsidP="00435936">
            <w:pPr>
              <w:spacing w:line="276" w:lineRule="auto"/>
              <w:rPr>
                <w:rFonts w:cs="Times New Roman"/>
                <w:sz w:val="18"/>
                <w:szCs w:val="18"/>
              </w:rPr>
            </w:pPr>
          </w:p>
        </w:tc>
      </w:tr>
      <w:tr w:rsidR="0058100D" w:rsidRPr="00D2239A" w14:paraId="543A1C66" w14:textId="77777777" w:rsidTr="00435936">
        <w:tc>
          <w:tcPr>
            <w:tcW w:w="3865" w:type="dxa"/>
          </w:tcPr>
          <w:p w14:paraId="406B6A8F" w14:textId="77777777" w:rsidR="0058100D" w:rsidRPr="00D2239A" w:rsidRDefault="0058100D" w:rsidP="00435936">
            <w:pPr>
              <w:spacing w:line="276" w:lineRule="auto"/>
              <w:rPr>
                <w:rFonts w:cs="Times New Roman"/>
                <w:sz w:val="18"/>
                <w:szCs w:val="18"/>
              </w:rPr>
            </w:pPr>
            <w:r w:rsidRPr="00D2239A">
              <w:rPr>
                <w:rFonts w:cs="Times New Roman"/>
                <w:sz w:val="18"/>
                <w:szCs w:val="18"/>
              </w:rPr>
              <w:t xml:space="preserve">From </w:t>
            </w:r>
            <w:r w:rsidRPr="00D2239A">
              <w:rPr>
                <w:rFonts w:cs="Times New Roman"/>
                <w:i/>
                <w:iCs/>
                <w:sz w:val="18"/>
                <w:szCs w:val="18"/>
              </w:rPr>
              <w:t xml:space="preserve">Prescription Opioid </w:t>
            </w:r>
            <w:r>
              <w:rPr>
                <w:rFonts w:cs="Times New Roman"/>
                <w:i/>
                <w:iCs/>
                <w:sz w:val="18"/>
                <w:szCs w:val="18"/>
              </w:rPr>
              <w:t>Use</w:t>
            </w:r>
            <w:r w:rsidRPr="00D2239A">
              <w:rPr>
                <w:rFonts w:cs="Times New Roman"/>
                <w:sz w:val="18"/>
                <w:szCs w:val="18"/>
              </w:rPr>
              <w:t xml:space="preserve"> to </w:t>
            </w:r>
            <w:r w:rsidRPr="00D2239A">
              <w:rPr>
                <w:rFonts w:cs="Times New Roman"/>
                <w:i/>
                <w:iCs/>
                <w:sz w:val="18"/>
                <w:szCs w:val="18"/>
              </w:rPr>
              <w:t>OUD</w:t>
            </w:r>
          </w:p>
        </w:tc>
        <w:tc>
          <w:tcPr>
            <w:tcW w:w="2160" w:type="dxa"/>
          </w:tcPr>
          <w:p w14:paraId="73E3C3DE"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Calibrated</w:t>
            </w:r>
          </w:p>
        </w:tc>
        <w:tc>
          <w:tcPr>
            <w:tcW w:w="1440" w:type="dxa"/>
          </w:tcPr>
          <w:p w14:paraId="03DE0647" w14:textId="77777777" w:rsidR="0058100D" w:rsidRPr="00D2239A" w:rsidRDefault="0058100D" w:rsidP="00435936">
            <w:pPr>
              <w:spacing w:line="276" w:lineRule="auto"/>
              <w:jc w:val="center"/>
              <w:rPr>
                <w:rFonts w:cs="Times New Roman"/>
                <w:sz w:val="18"/>
                <w:szCs w:val="18"/>
              </w:rPr>
            </w:pPr>
          </w:p>
        </w:tc>
        <w:tc>
          <w:tcPr>
            <w:tcW w:w="1885" w:type="dxa"/>
          </w:tcPr>
          <w:p w14:paraId="77A3712F" w14:textId="77777777" w:rsidR="0058100D" w:rsidRPr="00D2239A" w:rsidRDefault="0058100D" w:rsidP="00435936">
            <w:pPr>
              <w:spacing w:line="276" w:lineRule="auto"/>
              <w:rPr>
                <w:rFonts w:cs="Times New Roman"/>
                <w:sz w:val="18"/>
                <w:szCs w:val="18"/>
              </w:rPr>
            </w:pPr>
          </w:p>
        </w:tc>
      </w:tr>
      <w:tr w:rsidR="0058100D" w:rsidRPr="00D2239A" w14:paraId="2374A154" w14:textId="77777777" w:rsidTr="00435936">
        <w:tc>
          <w:tcPr>
            <w:tcW w:w="3865" w:type="dxa"/>
          </w:tcPr>
          <w:p w14:paraId="54604680" w14:textId="77777777" w:rsidR="0058100D" w:rsidRPr="00D2239A" w:rsidRDefault="0058100D" w:rsidP="00435936">
            <w:pPr>
              <w:spacing w:line="276" w:lineRule="auto"/>
              <w:rPr>
                <w:rFonts w:cs="Times New Roman"/>
                <w:sz w:val="18"/>
                <w:szCs w:val="18"/>
              </w:rPr>
            </w:pPr>
            <w:r w:rsidRPr="00D2239A">
              <w:rPr>
                <w:rFonts w:cs="Times New Roman"/>
                <w:sz w:val="18"/>
                <w:szCs w:val="18"/>
              </w:rPr>
              <w:t xml:space="preserve">From </w:t>
            </w:r>
            <w:r w:rsidRPr="00D2239A">
              <w:rPr>
                <w:rFonts w:cs="Times New Roman"/>
                <w:i/>
                <w:iCs/>
                <w:sz w:val="18"/>
                <w:szCs w:val="18"/>
              </w:rPr>
              <w:t xml:space="preserve">Illicit Opioid Use </w:t>
            </w:r>
            <w:r w:rsidRPr="00D2239A">
              <w:rPr>
                <w:rFonts w:cs="Times New Roman"/>
                <w:sz w:val="18"/>
                <w:szCs w:val="18"/>
              </w:rPr>
              <w:t xml:space="preserve">to </w:t>
            </w:r>
            <w:r w:rsidRPr="00D2239A">
              <w:rPr>
                <w:rFonts w:cs="Times New Roman"/>
                <w:i/>
                <w:iCs/>
                <w:sz w:val="18"/>
                <w:szCs w:val="18"/>
              </w:rPr>
              <w:t>OUD</w:t>
            </w:r>
          </w:p>
        </w:tc>
        <w:tc>
          <w:tcPr>
            <w:tcW w:w="2160" w:type="dxa"/>
          </w:tcPr>
          <w:p w14:paraId="0C7D875A"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Calibrated</w:t>
            </w:r>
          </w:p>
        </w:tc>
        <w:tc>
          <w:tcPr>
            <w:tcW w:w="1440" w:type="dxa"/>
          </w:tcPr>
          <w:p w14:paraId="46BE3BEC" w14:textId="77777777" w:rsidR="0058100D" w:rsidRPr="00D2239A" w:rsidRDefault="0058100D" w:rsidP="00435936">
            <w:pPr>
              <w:spacing w:line="276" w:lineRule="auto"/>
              <w:jc w:val="center"/>
              <w:rPr>
                <w:rFonts w:cs="Times New Roman"/>
                <w:sz w:val="18"/>
                <w:szCs w:val="18"/>
              </w:rPr>
            </w:pPr>
          </w:p>
        </w:tc>
        <w:tc>
          <w:tcPr>
            <w:tcW w:w="1885" w:type="dxa"/>
          </w:tcPr>
          <w:p w14:paraId="0B0D975E" w14:textId="77777777" w:rsidR="0058100D" w:rsidRPr="00D2239A" w:rsidRDefault="0058100D" w:rsidP="00435936">
            <w:pPr>
              <w:spacing w:line="276" w:lineRule="auto"/>
              <w:rPr>
                <w:rFonts w:cs="Times New Roman"/>
                <w:sz w:val="18"/>
                <w:szCs w:val="18"/>
              </w:rPr>
            </w:pPr>
          </w:p>
        </w:tc>
      </w:tr>
      <w:tr w:rsidR="0058100D" w:rsidRPr="00D2239A" w14:paraId="6C6A5D3E" w14:textId="77777777" w:rsidTr="00435936">
        <w:tc>
          <w:tcPr>
            <w:tcW w:w="3865" w:type="dxa"/>
          </w:tcPr>
          <w:p w14:paraId="4C5DE57D" w14:textId="77777777" w:rsidR="0058100D" w:rsidRPr="00D2239A" w:rsidRDefault="0058100D" w:rsidP="00435936">
            <w:pPr>
              <w:spacing w:line="276" w:lineRule="auto"/>
              <w:rPr>
                <w:rFonts w:cs="Times New Roman"/>
                <w:sz w:val="18"/>
                <w:szCs w:val="18"/>
              </w:rPr>
            </w:pPr>
            <w:r w:rsidRPr="00D2239A">
              <w:rPr>
                <w:rFonts w:cs="Times New Roman"/>
                <w:sz w:val="18"/>
                <w:szCs w:val="18"/>
              </w:rPr>
              <w:t xml:space="preserve">From </w:t>
            </w:r>
            <w:r w:rsidRPr="00D2239A">
              <w:rPr>
                <w:rFonts w:cs="Times New Roman"/>
                <w:i/>
                <w:iCs/>
                <w:sz w:val="18"/>
                <w:szCs w:val="18"/>
              </w:rPr>
              <w:t>OUD</w:t>
            </w:r>
            <w:r w:rsidRPr="00D2239A">
              <w:rPr>
                <w:rFonts w:cs="Times New Roman"/>
                <w:sz w:val="18"/>
                <w:szCs w:val="18"/>
              </w:rPr>
              <w:t xml:space="preserve"> to </w:t>
            </w:r>
            <w:r w:rsidRPr="00D2239A">
              <w:rPr>
                <w:rFonts w:cs="Times New Roman"/>
                <w:i/>
                <w:iCs/>
                <w:sz w:val="18"/>
                <w:szCs w:val="18"/>
              </w:rPr>
              <w:t xml:space="preserve">MOUD </w:t>
            </w:r>
            <w:r w:rsidRPr="00D2239A">
              <w:rPr>
                <w:rFonts w:cs="Times New Roman"/>
                <w:sz w:val="18"/>
                <w:szCs w:val="18"/>
              </w:rPr>
              <w:t>(treatment initiation)</w:t>
            </w:r>
          </w:p>
        </w:tc>
        <w:tc>
          <w:tcPr>
            <w:tcW w:w="2160" w:type="dxa"/>
          </w:tcPr>
          <w:p w14:paraId="4939BB4F"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Calibrated</w:t>
            </w:r>
          </w:p>
        </w:tc>
        <w:tc>
          <w:tcPr>
            <w:tcW w:w="1440" w:type="dxa"/>
          </w:tcPr>
          <w:p w14:paraId="46D3A9CE" w14:textId="77777777" w:rsidR="0058100D" w:rsidRPr="00D2239A" w:rsidRDefault="0058100D" w:rsidP="00435936">
            <w:pPr>
              <w:spacing w:line="276" w:lineRule="auto"/>
              <w:jc w:val="center"/>
              <w:rPr>
                <w:rFonts w:cs="Times New Roman"/>
                <w:sz w:val="18"/>
                <w:szCs w:val="18"/>
              </w:rPr>
            </w:pPr>
          </w:p>
        </w:tc>
        <w:tc>
          <w:tcPr>
            <w:tcW w:w="1885" w:type="dxa"/>
          </w:tcPr>
          <w:p w14:paraId="41261116" w14:textId="77777777" w:rsidR="0058100D" w:rsidRPr="00D2239A" w:rsidRDefault="0058100D" w:rsidP="00435936">
            <w:pPr>
              <w:spacing w:line="276" w:lineRule="auto"/>
              <w:rPr>
                <w:rFonts w:cs="Times New Roman"/>
                <w:sz w:val="18"/>
                <w:szCs w:val="18"/>
              </w:rPr>
            </w:pPr>
          </w:p>
        </w:tc>
      </w:tr>
      <w:tr w:rsidR="0058100D" w:rsidRPr="00D2239A" w14:paraId="0537B466" w14:textId="77777777" w:rsidTr="00435936">
        <w:tc>
          <w:tcPr>
            <w:tcW w:w="3865" w:type="dxa"/>
          </w:tcPr>
          <w:p w14:paraId="47881513" w14:textId="77777777" w:rsidR="0058100D" w:rsidRPr="00D2239A" w:rsidRDefault="0058100D" w:rsidP="00435936">
            <w:pPr>
              <w:spacing w:line="276" w:lineRule="auto"/>
              <w:rPr>
                <w:rFonts w:cs="Times New Roman"/>
                <w:sz w:val="18"/>
                <w:szCs w:val="18"/>
              </w:rPr>
            </w:pPr>
            <w:r w:rsidRPr="00D2239A">
              <w:rPr>
                <w:rFonts w:cs="Times New Roman"/>
                <w:sz w:val="18"/>
                <w:szCs w:val="18"/>
              </w:rPr>
              <w:t>MOUD discontinuation</w:t>
            </w:r>
          </w:p>
        </w:tc>
        <w:tc>
          <w:tcPr>
            <w:tcW w:w="2160" w:type="dxa"/>
          </w:tcPr>
          <w:p w14:paraId="4A9D55FD" w14:textId="77777777" w:rsidR="0058100D" w:rsidRPr="00D2239A" w:rsidRDefault="0058100D" w:rsidP="00435936">
            <w:pPr>
              <w:spacing w:line="276" w:lineRule="auto"/>
              <w:jc w:val="center"/>
              <w:rPr>
                <w:rFonts w:cs="Times New Roman"/>
                <w:sz w:val="18"/>
                <w:szCs w:val="18"/>
              </w:rPr>
            </w:pPr>
          </w:p>
        </w:tc>
        <w:tc>
          <w:tcPr>
            <w:tcW w:w="1440" w:type="dxa"/>
          </w:tcPr>
          <w:p w14:paraId="10F8ADD2" w14:textId="77777777" w:rsidR="0058100D" w:rsidRPr="00D2239A" w:rsidRDefault="0058100D" w:rsidP="00435936">
            <w:pPr>
              <w:spacing w:line="276" w:lineRule="auto"/>
              <w:jc w:val="center"/>
              <w:rPr>
                <w:rFonts w:cs="Times New Roman"/>
                <w:sz w:val="18"/>
                <w:szCs w:val="18"/>
              </w:rPr>
            </w:pPr>
          </w:p>
        </w:tc>
        <w:tc>
          <w:tcPr>
            <w:tcW w:w="1885" w:type="dxa"/>
          </w:tcPr>
          <w:p w14:paraId="2F30FBC6" w14:textId="77777777" w:rsidR="0058100D" w:rsidRPr="00D2239A" w:rsidRDefault="0058100D" w:rsidP="00435936">
            <w:pPr>
              <w:spacing w:line="276" w:lineRule="auto"/>
              <w:rPr>
                <w:rFonts w:cs="Times New Roman"/>
                <w:sz w:val="18"/>
                <w:szCs w:val="18"/>
              </w:rPr>
            </w:pPr>
            <w:r w:rsidRPr="00D2239A">
              <w:rPr>
                <w:rFonts w:cs="Times New Roman"/>
                <w:sz w:val="18"/>
                <w:szCs w:val="18"/>
              </w:rPr>
              <w:t>Supplement S</w:t>
            </w:r>
            <w:r>
              <w:rPr>
                <w:rFonts w:cs="Times New Roman"/>
                <w:sz w:val="18"/>
                <w:szCs w:val="18"/>
              </w:rPr>
              <w:t>2</w:t>
            </w:r>
            <w:r w:rsidRPr="00D2239A">
              <w:rPr>
                <w:rFonts w:cs="Times New Roman"/>
                <w:sz w:val="18"/>
                <w:szCs w:val="18"/>
              </w:rPr>
              <w:t>.3.1</w:t>
            </w:r>
          </w:p>
        </w:tc>
      </w:tr>
      <w:tr w:rsidR="0058100D" w:rsidRPr="00D2239A" w14:paraId="1395ACDB" w14:textId="77777777" w:rsidTr="00435936">
        <w:tc>
          <w:tcPr>
            <w:tcW w:w="3865" w:type="dxa"/>
          </w:tcPr>
          <w:p w14:paraId="45105BE3" w14:textId="77777777" w:rsidR="0058100D" w:rsidRPr="00D2239A" w:rsidRDefault="0058100D" w:rsidP="00435936">
            <w:pPr>
              <w:spacing w:line="276" w:lineRule="auto"/>
              <w:ind w:left="370"/>
              <w:rPr>
                <w:rFonts w:cs="Times New Roman"/>
                <w:sz w:val="18"/>
                <w:szCs w:val="18"/>
              </w:rPr>
            </w:pPr>
            <w:r w:rsidRPr="00D2239A">
              <w:rPr>
                <w:rFonts w:cs="Times New Roman"/>
                <w:sz w:val="18"/>
                <w:szCs w:val="18"/>
              </w:rPr>
              <w:t xml:space="preserve">Baseline parametric function for treatment retention: </w:t>
            </w:r>
            <m:oMath>
              <m:r>
                <w:rPr>
                  <w:rFonts w:ascii="Cambria Math" w:hAnsi="Cambria Math" w:cs="Times New Roman"/>
                  <w:sz w:val="18"/>
                  <w:szCs w:val="18"/>
                </w:rPr>
                <m:t>S</m:t>
              </m:r>
              <m:d>
                <m:dPr>
                  <m:ctrlPr>
                    <w:rPr>
                      <w:rFonts w:ascii="Cambria Math" w:hAnsi="Cambria Math" w:cs="Times New Roman"/>
                      <w:i/>
                      <w:sz w:val="18"/>
                      <w:szCs w:val="18"/>
                    </w:rPr>
                  </m:ctrlPr>
                </m:dPr>
                <m:e>
                  <m:r>
                    <w:rPr>
                      <w:rFonts w:ascii="Cambria Math" w:hAnsi="Cambria Math" w:cs="Times New Roman"/>
                      <w:sz w:val="18"/>
                      <w:szCs w:val="18"/>
                    </w:rPr>
                    <m:t>t</m:t>
                  </m:r>
                </m:e>
              </m:d>
            </m:oMath>
          </w:p>
        </w:tc>
        <w:tc>
          <w:tcPr>
            <w:tcW w:w="2160" w:type="dxa"/>
          </w:tcPr>
          <w:p w14:paraId="1FA1DB19" w14:textId="77777777" w:rsidR="0058100D" w:rsidRPr="00D2239A" w:rsidRDefault="0058100D" w:rsidP="00435936">
            <w:pPr>
              <w:contextualSpacing/>
              <w:jc w:val="center"/>
              <w:rPr>
                <w:rFonts w:cs="Times New Roman"/>
                <w:sz w:val="18"/>
                <w:szCs w:val="18"/>
              </w:rPr>
            </w:pPr>
            <w:r w:rsidRPr="00D2239A">
              <w:rPr>
                <w:rFonts w:cs="Times New Roman"/>
                <w:sz w:val="18"/>
                <w:szCs w:val="18"/>
              </w:rPr>
              <w:t xml:space="preserve">Log-logistic </w:t>
            </w:r>
            <m:oMath>
              <m:r>
                <w:rPr>
                  <w:rFonts w:ascii="Cambria Math" w:hAnsi="Cambria Math" w:cs="Times New Roman"/>
                  <w:color w:val="000000" w:themeColor="text1"/>
                  <w:sz w:val="18"/>
                  <w:szCs w:val="18"/>
                </w:rPr>
                <m:t>(λ=0.013, γ=0.986)</m:t>
              </m:r>
            </m:oMath>
          </w:p>
        </w:tc>
        <w:tc>
          <w:tcPr>
            <w:tcW w:w="1440" w:type="dxa"/>
          </w:tcPr>
          <w:p w14:paraId="1F5F1A70"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w:t>
            </w:r>
          </w:p>
        </w:tc>
        <w:tc>
          <w:tcPr>
            <w:tcW w:w="1885" w:type="dxa"/>
          </w:tcPr>
          <w:p w14:paraId="1E85F1B0" w14:textId="77777777" w:rsidR="0058100D" w:rsidRPr="00D2239A" w:rsidRDefault="0058100D" w:rsidP="00435936">
            <w:pPr>
              <w:spacing w:line="276" w:lineRule="auto"/>
              <w:rPr>
                <w:rFonts w:cs="Times New Roman"/>
                <w:sz w:val="18"/>
                <w:szCs w:val="18"/>
              </w:rPr>
            </w:pPr>
            <w:r w:rsidRPr="00D2239A">
              <w:rPr>
                <w:rFonts w:cs="Times New Roman"/>
                <w:sz w:val="18"/>
                <w:szCs w:val="18"/>
              </w:rPr>
              <w:t xml:space="preserve">Morgan </w:t>
            </w:r>
            <w:r w:rsidRPr="00D2239A">
              <w:rPr>
                <w:rFonts w:cs="Times New Roman"/>
                <w:i/>
                <w:iCs/>
                <w:sz w:val="18"/>
                <w:szCs w:val="18"/>
              </w:rPr>
              <w:t>et al.</w:t>
            </w:r>
            <w:r w:rsidRPr="00D2239A">
              <w:rPr>
                <w:rFonts w:cs="Times New Roman"/>
                <w:sz w:val="18"/>
                <w:szCs w:val="18"/>
              </w:rPr>
              <w:t xml:space="preserve"> (2018)</w:t>
            </w:r>
            <w:r w:rsidRPr="00D2239A">
              <w:rPr>
                <w:rFonts w:cs="Times New Roman"/>
                <w:sz w:val="18"/>
                <w:szCs w:val="18"/>
              </w:rPr>
              <w:fldChar w:fldCharType="begin"/>
            </w:r>
            <w:r>
              <w:rPr>
                <w:rFonts w:cs="Times New Roman"/>
                <w:sz w:val="18"/>
                <w:szCs w:val="18"/>
              </w:rPr>
              <w:instrText xml:space="preserve"> ADDIN EN.CITE &lt;EndNote&gt;&lt;Cite&gt;&lt;Author&gt;Morgan&lt;/Author&gt;&lt;Year&gt;2018&lt;/Year&gt;&lt;RecNum&gt;13&lt;/RecNum&gt;&lt;DisplayText&gt;&lt;style face="superscript"&gt;19&lt;/style&gt;&lt;/DisplayText&gt;&lt;record&gt;&lt;rec-number&gt;13&lt;/rec-number&gt;&lt;foreign-keys&gt;&lt;key app="EN" db-id="xxft2ztdi9wf0qee0zovvtvrpefvetvvad02" timestamp="1691429444" guid="e7b5e5e1-1caf-4ae1-8a18-796c2f142202"&gt;13&lt;/key&gt;&lt;/foreign-keys&gt;&lt;ref-type name="Journal Article"&gt;17&lt;/ref-type&gt;&lt;contributors&gt;&lt;authors&gt;&lt;author&gt;Morgan, Jake R&lt;/author&gt;&lt;author&gt;Schackman, Bruce R&lt;/author&gt;&lt;author&gt;Leff, Jared A&lt;/author&gt;&lt;author&gt;Linas, Benjamin P&lt;/author&gt;&lt;author&gt;Walley, Alexander Y&lt;/author&gt;&lt;/authors&gt;&lt;/contributors&gt;&lt;titles&gt;&lt;title&gt;Injectable naltrexone, oral naltrexone, and buprenorphine utilization and discontinuation among individuals treated for opioid use disorder in a United States commercially insured population&lt;/title&gt;&lt;secondary-title&gt;Journal of substance abuse treatment&lt;/secondary-title&gt;&lt;/titles&gt;&lt;periodical&gt;&lt;full-title&gt;Journal of substance abuse treatment&lt;/full-title&gt;&lt;/periodical&gt;&lt;pages&gt;90-96&lt;/pages&gt;&lt;volume&gt;85&lt;/volume&gt;&lt;dates&gt;&lt;year&gt;2018&lt;/year&gt;&lt;/dates&gt;&lt;isbn&gt;0740-5472&lt;/isbn&gt;&lt;urls&gt;&lt;/urls&gt;&lt;/record&gt;&lt;/Cite&gt;&lt;/EndNote&gt;</w:instrText>
            </w:r>
            <w:r w:rsidRPr="00D2239A">
              <w:rPr>
                <w:rFonts w:cs="Times New Roman"/>
                <w:sz w:val="18"/>
                <w:szCs w:val="18"/>
              </w:rPr>
              <w:fldChar w:fldCharType="separate"/>
            </w:r>
            <w:r w:rsidRPr="00EF4FB4">
              <w:rPr>
                <w:rFonts w:cs="Times New Roman"/>
                <w:noProof/>
                <w:sz w:val="18"/>
                <w:szCs w:val="18"/>
                <w:vertAlign w:val="superscript"/>
              </w:rPr>
              <w:t>19</w:t>
            </w:r>
            <w:r w:rsidRPr="00D2239A">
              <w:rPr>
                <w:rFonts w:cs="Times New Roman"/>
                <w:sz w:val="18"/>
                <w:szCs w:val="18"/>
              </w:rPr>
              <w:fldChar w:fldCharType="end"/>
            </w:r>
          </w:p>
        </w:tc>
      </w:tr>
      <w:tr w:rsidR="0058100D" w:rsidRPr="00D2239A" w14:paraId="3353FB72" w14:textId="77777777" w:rsidTr="00435936">
        <w:tc>
          <w:tcPr>
            <w:tcW w:w="3865" w:type="dxa"/>
          </w:tcPr>
          <w:p w14:paraId="7014FEB5" w14:textId="77777777" w:rsidR="0058100D" w:rsidRPr="00D2239A" w:rsidRDefault="0058100D" w:rsidP="00435936">
            <w:pPr>
              <w:spacing w:line="276" w:lineRule="auto"/>
              <w:ind w:left="370"/>
              <w:rPr>
                <w:rFonts w:cs="Times New Roman"/>
                <w:sz w:val="18"/>
                <w:szCs w:val="18"/>
              </w:rPr>
            </w:pPr>
            <w:r w:rsidRPr="00D2239A">
              <w:rPr>
                <w:rFonts w:cs="Times New Roman"/>
                <w:sz w:val="18"/>
                <w:szCs w:val="18"/>
              </w:rPr>
              <w:t xml:space="preserve">Hazard ratio by the number of treatment episodes </w:t>
            </w:r>
            <m:oMath>
              <m:r>
                <w:rPr>
                  <w:rFonts w:ascii="Cambria Math" w:hAnsi="Cambria Math" w:cs="Times New Roman"/>
                  <w:sz w:val="18"/>
                  <w:szCs w:val="18"/>
                </w:rPr>
                <m:t>n</m:t>
              </m:r>
            </m:oMath>
            <w:r w:rsidRPr="00D2239A">
              <w:rPr>
                <w:rFonts w:cs="Times New Roman"/>
                <w:sz w:val="18"/>
                <w:szCs w:val="18"/>
              </w:rPr>
              <w:t xml:space="preserve">: </w:t>
            </w:r>
            <m:oMath>
              <m:sSubSup>
                <m:sSubSupPr>
                  <m:ctrlPr>
                    <w:rPr>
                      <w:rFonts w:ascii="Cambria Math" w:hAnsi="Cambria Math" w:cs="Times New Roman"/>
                      <w:i/>
                      <w:sz w:val="18"/>
                      <w:szCs w:val="18"/>
                    </w:rPr>
                  </m:ctrlPr>
                </m:sSubSupPr>
                <m:e>
                  <m:r>
                    <w:rPr>
                      <w:rFonts w:ascii="Cambria Math" w:hAnsi="Cambria Math" w:cs="Times New Roman"/>
                      <w:sz w:val="18"/>
                      <w:szCs w:val="18"/>
                    </w:rPr>
                    <m:t>HR</m:t>
                  </m:r>
                </m:e>
                <m:sub>
                  <m:r>
                    <w:rPr>
                      <w:rFonts w:ascii="Cambria Math" w:hAnsi="Cambria Math" w:cs="Times New Roman"/>
                      <w:sz w:val="18"/>
                      <w:szCs w:val="18"/>
                    </w:rPr>
                    <m:t>n</m:t>
                  </m:r>
                </m:sub>
                <m:sup>
                  <m:r>
                    <w:rPr>
                      <w:rFonts w:ascii="Cambria Math" w:hAnsi="Cambria Math" w:cs="Times New Roman"/>
                      <w:sz w:val="18"/>
                      <w:szCs w:val="18"/>
                    </w:rPr>
                    <m:t>d</m:t>
                  </m:r>
                </m:sup>
              </m:sSubSup>
            </m:oMath>
          </w:p>
        </w:tc>
        <w:tc>
          <w:tcPr>
            <w:tcW w:w="2160" w:type="dxa"/>
          </w:tcPr>
          <w:p w14:paraId="707C6BF3" w14:textId="77777777" w:rsidR="0058100D" w:rsidRPr="00D2239A" w:rsidRDefault="0058100D" w:rsidP="00435936">
            <w:pPr>
              <w:spacing w:line="276" w:lineRule="auto"/>
              <w:jc w:val="center"/>
              <w:rPr>
                <w:rFonts w:cs="Times New Roman"/>
                <w:sz w:val="18"/>
                <w:szCs w:val="18"/>
              </w:rPr>
            </w:pPr>
          </w:p>
        </w:tc>
        <w:tc>
          <w:tcPr>
            <w:tcW w:w="1440" w:type="dxa"/>
          </w:tcPr>
          <w:p w14:paraId="70462F67" w14:textId="77777777" w:rsidR="0058100D" w:rsidRPr="00D2239A" w:rsidRDefault="0058100D" w:rsidP="00435936">
            <w:pPr>
              <w:spacing w:line="276" w:lineRule="auto"/>
              <w:jc w:val="center"/>
              <w:rPr>
                <w:rFonts w:cs="Times New Roman"/>
                <w:sz w:val="18"/>
                <w:szCs w:val="18"/>
              </w:rPr>
            </w:pPr>
          </w:p>
        </w:tc>
        <w:tc>
          <w:tcPr>
            <w:tcW w:w="1885" w:type="dxa"/>
          </w:tcPr>
          <w:p w14:paraId="4F95726F" w14:textId="77777777" w:rsidR="0058100D" w:rsidRPr="00D2239A" w:rsidRDefault="0058100D" w:rsidP="00435936">
            <w:pPr>
              <w:spacing w:line="276" w:lineRule="auto"/>
              <w:rPr>
                <w:rFonts w:cs="Times New Roman"/>
                <w:sz w:val="18"/>
                <w:szCs w:val="18"/>
              </w:rPr>
            </w:pPr>
          </w:p>
        </w:tc>
      </w:tr>
      <w:tr w:rsidR="0058100D" w:rsidRPr="00D2239A" w14:paraId="6B0D1B50" w14:textId="77777777" w:rsidTr="00435936">
        <w:tc>
          <w:tcPr>
            <w:tcW w:w="3865" w:type="dxa"/>
          </w:tcPr>
          <w:p w14:paraId="37E20634" w14:textId="77777777" w:rsidR="0058100D" w:rsidRPr="00D2239A" w:rsidRDefault="00000000" w:rsidP="00435936">
            <w:pPr>
              <w:spacing w:line="276" w:lineRule="auto"/>
              <w:ind w:left="370"/>
              <w:rPr>
                <w:rFonts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K</m:t>
                  </m:r>
                </m:e>
                <m:sub>
                  <m:r>
                    <w:rPr>
                      <w:rFonts w:ascii="Cambria Math" w:hAnsi="Cambria Math" w:cs="Times New Roman"/>
                      <w:sz w:val="18"/>
                      <w:szCs w:val="18"/>
                    </w:rPr>
                    <m:t>med</m:t>
                  </m:r>
                </m:sub>
              </m:sSub>
            </m:oMath>
            <w:r w:rsidR="0058100D" w:rsidRPr="00D2239A">
              <w:rPr>
                <w:rFonts w:cs="Times New Roman"/>
                <w:sz w:val="18"/>
                <w:szCs w:val="18"/>
              </w:rPr>
              <w:t>: medication-specific scalar</w:t>
            </w:r>
          </w:p>
        </w:tc>
        <w:tc>
          <w:tcPr>
            <w:tcW w:w="2160" w:type="dxa"/>
          </w:tcPr>
          <w:p w14:paraId="7514BECC"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Calibrated</w:t>
            </w:r>
          </w:p>
        </w:tc>
        <w:tc>
          <w:tcPr>
            <w:tcW w:w="1440" w:type="dxa"/>
          </w:tcPr>
          <w:p w14:paraId="37E88402" w14:textId="77777777" w:rsidR="0058100D" w:rsidRPr="00D2239A" w:rsidRDefault="0058100D" w:rsidP="00435936">
            <w:pPr>
              <w:spacing w:line="276" w:lineRule="auto"/>
              <w:jc w:val="center"/>
              <w:rPr>
                <w:rFonts w:cs="Times New Roman"/>
                <w:sz w:val="18"/>
                <w:szCs w:val="18"/>
              </w:rPr>
            </w:pPr>
          </w:p>
        </w:tc>
        <w:tc>
          <w:tcPr>
            <w:tcW w:w="1885" w:type="dxa"/>
          </w:tcPr>
          <w:p w14:paraId="6E1D09C7" w14:textId="77777777" w:rsidR="0058100D" w:rsidRPr="00D2239A" w:rsidRDefault="0058100D" w:rsidP="00435936">
            <w:pPr>
              <w:spacing w:line="276" w:lineRule="auto"/>
              <w:rPr>
                <w:rFonts w:cs="Times New Roman"/>
                <w:sz w:val="18"/>
                <w:szCs w:val="18"/>
              </w:rPr>
            </w:pPr>
          </w:p>
        </w:tc>
      </w:tr>
      <w:tr w:rsidR="0058100D" w:rsidRPr="00D2239A" w14:paraId="3841B6CA" w14:textId="77777777" w:rsidTr="00435936">
        <w:tc>
          <w:tcPr>
            <w:tcW w:w="3865" w:type="dxa"/>
          </w:tcPr>
          <w:p w14:paraId="70DDCE5C" w14:textId="77777777" w:rsidR="0058100D" w:rsidRPr="00D2239A" w:rsidRDefault="0058100D" w:rsidP="00435936">
            <w:pPr>
              <w:spacing w:line="276" w:lineRule="auto"/>
              <w:ind w:left="730"/>
              <w:rPr>
                <w:rFonts w:cs="Times New Roman"/>
                <w:sz w:val="18"/>
                <w:szCs w:val="18"/>
              </w:rPr>
            </w:pPr>
            <w:r w:rsidRPr="00D2239A">
              <w:rPr>
                <w:rFonts w:cs="Times New Roman"/>
                <w:sz w:val="18"/>
                <w:szCs w:val="18"/>
              </w:rPr>
              <w:t>Episode 1 (</w:t>
            </w:r>
            <w:r w:rsidRPr="00D2239A">
              <w:rPr>
                <w:rFonts w:cs="Times New Roman"/>
                <w:i/>
                <w:iCs/>
                <w:sz w:val="18"/>
                <w:szCs w:val="18"/>
              </w:rPr>
              <w:t>n</w:t>
            </w:r>
            <w:r w:rsidRPr="00D2239A">
              <w:rPr>
                <w:rFonts w:cs="Times New Roman"/>
                <w:sz w:val="18"/>
                <w:szCs w:val="18"/>
              </w:rPr>
              <w:t>=1)</w:t>
            </w:r>
          </w:p>
        </w:tc>
        <w:tc>
          <w:tcPr>
            <w:tcW w:w="2160" w:type="dxa"/>
          </w:tcPr>
          <w:p w14:paraId="08429AD5"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1.0</w:t>
            </w:r>
          </w:p>
        </w:tc>
        <w:tc>
          <w:tcPr>
            <w:tcW w:w="1440" w:type="dxa"/>
          </w:tcPr>
          <w:p w14:paraId="7E3A9725"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w:t>
            </w:r>
          </w:p>
        </w:tc>
        <w:tc>
          <w:tcPr>
            <w:tcW w:w="1885" w:type="dxa"/>
          </w:tcPr>
          <w:p w14:paraId="28C5685E" w14:textId="77777777" w:rsidR="0058100D" w:rsidRPr="00D2239A" w:rsidRDefault="0058100D" w:rsidP="00435936">
            <w:pPr>
              <w:spacing w:line="276" w:lineRule="auto"/>
              <w:rPr>
                <w:rFonts w:cs="Times New Roman"/>
                <w:sz w:val="18"/>
                <w:szCs w:val="18"/>
              </w:rPr>
            </w:pPr>
            <w:proofErr w:type="spellStart"/>
            <w:r w:rsidRPr="00D2239A">
              <w:rPr>
                <w:rFonts w:cs="Times New Roman"/>
                <w:sz w:val="18"/>
                <w:szCs w:val="18"/>
              </w:rPr>
              <w:t>Nosyk</w:t>
            </w:r>
            <w:proofErr w:type="spellEnd"/>
            <w:r w:rsidRPr="00D2239A">
              <w:rPr>
                <w:rFonts w:cs="Times New Roman"/>
                <w:sz w:val="18"/>
                <w:szCs w:val="18"/>
              </w:rPr>
              <w:t xml:space="preserve"> </w:t>
            </w:r>
            <w:r w:rsidRPr="00D2239A">
              <w:rPr>
                <w:rFonts w:cs="Times New Roman"/>
                <w:i/>
                <w:iCs/>
                <w:sz w:val="18"/>
                <w:szCs w:val="18"/>
              </w:rPr>
              <w:t>et al.</w:t>
            </w:r>
            <w:r w:rsidRPr="00D2239A">
              <w:rPr>
                <w:rFonts w:cs="Times New Roman"/>
                <w:sz w:val="18"/>
                <w:szCs w:val="18"/>
              </w:rPr>
              <w:t xml:space="preserve"> (2014)</w:t>
            </w:r>
            <w:r w:rsidRPr="00D2239A">
              <w:rPr>
                <w:rFonts w:cs="Times New Roman"/>
                <w:sz w:val="18"/>
                <w:szCs w:val="18"/>
              </w:rPr>
              <w:fldChar w:fldCharType="begin"/>
            </w:r>
            <w:r>
              <w:rPr>
                <w:rFonts w:cs="Times New Roman"/>
                <w:sz w:val="18"/>
                <w:szCs w:val="18"/>
              </w:rPr>
              <w:instrText xml:space="preserve"> ADDIN EN.CITE &lt;EndNote&gt;&lt;Cite&gt;&lt;Author&gt;Nosyk&lt;/Author&gt;&lt;Year&gt;2014&lt;/Year&gt;&lt;RecNum&gt;132&lt;/RecNum&gt;&lt;DisplayText&gt;&lt;style face="superscript"&gt;20&lt;/style&gt;&lt;/DisplayText&gt;&lt;record&gt;&lt;rec-number&gt;132&lt;/rec-number&gt;&lt;foreign-keys&gt;&lt;key app="EN" db-id="ffv9f0td1taf24ev0z1paazh2dx55xvtwsv9" timestamp="1713388380"&gt;132&lt;/key&gt;&lt;/foreign-keys&gt;&lt;ref-type name="Journal Article"&gt;17&lt;/ref-type&gt;&lt;contributors&gt;&lt;authors&gt;&lt;author&gt;Nosyk, Bohdan&lt;/author&gt;&lt;author&gt;Li, Libo&lt;/author&gt;&lt;author&gt;Evans, Elizabeth&lt;/author&gt;&lt;author&gt;Urada, Darren&lt;/author&gt;&lt;author&gt;Huang, David&lt;/author&gt;&lt;author&gt;Wood, Evan&lt;/author&gt;&lt;author&gt;Rawson, Richard&lt;/author&gt;&lt;author&gt;Hser, Yih-Ing&lt;/author&gt;&lt;/authors&gt;&lt;/contributors&gt;&lt;titles&gt;&lt;title&gt;Utilization and outcomes of detoxification and maintenance treatment for opioid dependence in publicly-funded facilities in California, USA: 1991–2012&lt;/title&gt;&lt;secondary-title&gt;Drug and alcohol dependence&lt;/secondary-title&gt;&lt;/titles&gt;&lt;periodical&gt;&lt;full-title&gt;Drug Alcohol Depend&lt;/full-title&gt;&lt;abbr-1&gt;Drug and alcohol dependence&lt;/abbr-1&gt;&lt;/periodical&gt;&lt;pages&gt;149-157&lt;/pages&gt;&lt;volume&gt;143&lt;/volume&gt;&lt;dates&gt;&lt;year&gt;2014&lt;/year&gt;&lt;/dates&gt;&lt;isbn&gt;0376-8716&lt;/isbn&gt;&lt;urls&gt;&lt;/urls&gt;&lt;/record&gt;&lt;/Cite&gt;&lt;/EndNote&gt;</w:instrText>
            </w:r>
            <w:r w:rsidRPr="00D2239A">
              <w:rPr>
                <w:rFonts w:cs="Times New Roman"/>
                <w:sz w:val="18"/>
                <w:szCs w:val="18"/>
              </w:rPr>
              <w:fldChar w:fldCharType="separate"/>
            </w:r>
            <w:r w:rsidRPr="00EF4FB4">
              <w:rPr>
                <w:rFonts w:cs="Times New Roman"/>
                <w:noProof/>
                <w:sz w:val="18"/>
                <w:szCs w:val="18"/>
                <w:vertAlign w:val="superscript"/>
              </w:rPr>
              <w:t>20</w:t>
            </w:r>
            <w:r w:rsidRPr="00D2239A">
              <w:rPr>
                <w:rFonts w:cs="Times New Roman"/>
                <w:sz w:val="18"/>
                <w:szCs w:val="18"/>
              </w:rPr>
              <w:fldChar w:fldCharType="end"/>
            </w:r>
          </w:p>
        </w:tc>
      </w:tr>
      <w:tr w:rsidR="0058100D" w:rsidRPr="00D2239A" w14:paraId="79E2E7B9" w14:textId="77777777" w:rsidTr="00435936">
        <w:tc>
          <w:tcPr>
            <w:tcW w:w="3865" w:type="dxa"/>
          </w:tcPr>
          <w:p w14:paraId="4C0E38A7" w14:textId="77777777" w:rsidR="0058100D" w:rsidRPr="00D2239A" w:rsidRDefault="0058100D" w:rsidP="00435936">
            <w:pPr>
              <w:spacing w:line="276" w:lineRule="auto"/>
              <w:ind w:left="730"/>
              <w:rPr>
                <w:rFonts w:cs="Times New Roman"/>
                <w:sz w:val="18"/>
                <w:szCs w:val="18"/>
              </w:rPr>
            </w:pPr>
            <w:r w:rsidRPr="00D2239A">
              <w:rPr>
                <w:rFonts w:cs="Times New Roman"/>
                <w:sz w:val="18"/>
                <w:szCs w:val="18"/>
              </w:rPr>
              <w:t>Episode 2 (</w:t>
            </w:r>
            <w:r w:rsidRPr="00D2239A">
              <w:rPr>
                <w:rFonts w:cs="Times New Roman"/>
                <w:i/>
                <w:iCs/>
                <w:sz w:val="18"/>
                <w:szCs w:val="18"/>
              </w:rPr>
              <w:t>n</w:t>
            </w:r>
            <w:r w:rsidRPr="00D2239A">
              <w:rPr>
                <w:rFonts w:cs="Times New Roman"/>
                <w:sz w:val="18"/>
                <w:szCs w:val="18"/>
              </w:rPr>
              <w:t>=2)</w:t>
            </w:r>
          </w:p>
        </w:tc>
        <w:tc>
          <w:tcPr>
            <w:tcW w:w="2160" w:type="dxa"/>
          </w:tcPr>
          <w:p w14:paraId="58A02D44"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0.961</w:t>
            </w:r>
          </w:p>
        </w:tc>
        <w:tc>
          <w:tcPr>
            <w:tcW w:w="1440" w:type="dxa"/>
          </w:tcPr>
          <w:p w14:paraId="13F5784D"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[0.950, 0.989]</w:t>
            </w:r>
          </w:p>
        </w:tc>
        <w:tc>
          <w:tcPr>
            <w:tcW w:w="1885" w:type="dxa"/>
          </w:tcPr>
          <w:p w14:paraId="4B14D958" w14:textId="77777777" w:rsidR="0058100D" w:rsidRPr="00D2239A" w:rsidRDefault="0058100D" w:rsidP="00435936">
            <w:pPr>
              <w:spacing w:line="276" w:lineRule="auto"/>
              <w:rPr>
                <w:rFonts w:cs="Times New Roman"/>
                <w:sz w:val="18"/>
                <w:szCs w:val="18"/>
              </w:rPr>
            </w:pPr>
            <w:proofErr w:type="spellStart"/>
            <w:r w:rsidRPr="00D2239A">
              <w:rPr>
                <w:rFonts w:cs="Times New Roman"/>
                <w:sz w:val="18"/>
                <w:szCs w:val="18"/>
              </w:rPr>
              <w:t>Nosyk</w:t>
            </w:r>
            <w:proofErr w:type="spellEnd"/>
            <w:r w:rsidRPr="00D2239A">
              <w:rPr>
                <w:rFonts w:cs="Times New Roman"/>
                <w:sz w:val="18"/>
                <w:szCs w:val="18"/>
              </w:rPr>
              <w:t xml:space="preserve"> </w:t>
            </w:r>
            <w:r w:rsidRPr="00D2239A">
              <w:rPr>
                <w:rFonts w:cs="Times New Roman"/>
                <w:i/>
                <w:iCs/>
                <w:sz w:val="18"/>
                <w:szCs w:val="18"/>
              </w:rPr>
              <w:t>et al.</w:t>
            </w:r>
            <w:r w:rsidRPr="00D2239A">
              <w:rPr>
                <w:rFonts w:cs="Times New Roman"/>
                <w:sz w:val="18"/>
                <w:szCs w:val="18"/>
              </w:rPr>
              <w:t xml:space="preserve"> (2014)</w:t>
            </w:r>
            <w:r w:rsidRPr="00D2239A">
              <w:rPr>
                <w:rFonts w:cs="Times New Roman"/>
                <w:sz w:val="18"/>
                <w:szCs w:val="18"/>
              </w:rPr>
              <w:fldChar w:fldCharType="begin"/>
            </w:r>
            <w:r>
              <w:rPr>
                <w:rFonts w:cs="Times New Roman"/>
                <w:sz w:val="18"/>
                <w:szCs w:val="18"/>
              </w:rPr>
              <w:instrText xml:space="preserve"> ADDIN EN.CITE &lt;EndNote&gt;&lt;Cite&gt;&lt;Author&gt;Nosyk&lt;/Author&gt;&lt;Year&gt;2014&lt;/Year&gt;&lt;RecNum&gt;132&lt;/RecNum&gt;&lt;DisplayText&gt;&lt;style face="superscript"&gt;20&lt;/style&gt;&lt;/DisplayText&gt;&lt;record&gt;&lt;rec-number&gt;132&lt;/rec-number&gt;&lt;foreign-keys&gt;&lt;key app="EN" db-id="ffv9f0td1taf24ev0z1paazh2dx55xvtwsv9" timestamp="1713388380"&gt;132&lt;/key&gt;&lt;/foreign-keys&gt;&lt;ref-type name="Journal Article"&gt;17&lt;/ref-type&gt;&lt;contributors&gt;&lt;authors&gt;&lt;author&gt;Nosyk, Bohdan&lt;/author&gt;&lt;author&gt;Li, Libo&lt;/author&gt;&lt;author&gt;Evans, Elizabeth&lt;/author&gt;&lt;author&gt;Urada, Darren&lt;/author&gt;&lt;author&gt;Huang, David&lt;/author&gt;&lt;author&gt;Wood, Evan&lt;/author&gt;&lt;author&gt;Rawson, Richard&lt;/author&gt;&lt;author&gt;Hser, Yih-Ing&lt;/author&gt;&lt;/authors&gt;&lt;/contributors&gt;&lt;titles&gt;&lt;title&gt;Utilization and outcomes of detoxification and maintenance treatment for opioid dependence in publicly-funded facilities in California, USA: 1991–2012&lt;/title&gt;&lt;secondary-title&gt;Drug and alcohol dependence&lt;/secondary-title&gt;&lt;/titles&gt;&lt;periodical&gt;&lt;full-title&gt;Drug Alcohol Depend&lt;/full-title&gt;&lt;abbr-1&gt;Drug and alcohol dependence&lt;/abbr-1&gt;&lt;/periodical&gt;&lt;pages&gt;149-157&lt;/pages&gt;&lt;volume&gt;143&lt;/volume&gt;&lt;dates&gt;&lt;year&gt;2014&lt;/year&gt;&lt;/dates&gt;&lt;isbn&gt;0376-8716&lt;/isbn&gt;&lt;urls&gt;&lt;/urls&gt;&lt;/record&gt;&lt;/Cite&gt;&lt;/EndNote&gt;</w:instrText>
            </w:r>
            <w:r w:rsidRPr="00D2239A">
              <w:rPr>
                <w:rFonts w:cs="Times New Roman"/>
                <w:sz w:val="18"/>
                <w:szCs w:val="18"/>
              </w:rPr>
              <w:fldChar w:fldCharType="separate"/>
            </w:r>
            <w:r w:rsidRPr="00EF4FB4">
              <w:rPr>
                <w:rFonts w:cs="Times New Roman"/>
                <w:noProof/>
                <w:sz w:val="18"/>
                <w:szCs w:val="18"/>
                <w:vertAlign w:val="superscript"/>
              </w:rPr>
              <w:t>20</w:t>
            </w:r>
            <w:r w:rsidRPr="00D2239A">
              <w:rPr>
                <w:rFonts w:cs="Times New Roman"/>
                <w:sz w:val="18"/>
                <w:szCs w:val="18"/>
              </w:rPr>
              <w:fldChar w:fldCharType="end"/>
            </w:r>
          </w:p>
        </w:tc>
      </w:tr>
      <w:tr w:rsidR="0058100D" w:rsidRPr="00D2239A" w14:paraId="7A8BA8B5" w14:textId="77777777" w:rsidTr="00435936">
        <w:tc>
          <w:tcPr>
            <w:tcW w:w="3865" w:type="dxa"/>
          </w:tcPr>
          <w:p w14:paraId="10E08D7C" w14:textId="77777777" w:rsidR="0058100D" w:rsidRPr="00D2239A" w:rsidRDefault="0058100D" w:rsidP="00435936">
            <w:pPr>
              <w:spacing w:line="276" w:lineRule="auto"/>
              <w:ind w:left="730"/>
              <w:rPr>
                <w:rFonts w:cs="Times New Roman"/>
                <w:sz w:val="18"/>
                <w:szCs w:val="18"/>
              </w:rPr>
            </w:pPr>
            <w:r w:rsidRPr="00D2239A">
              <w:rPr>
                <w:rFonts w:cs="Times New Roman"/>
                <w:sz w:val="18"/>
                <w:szCs w:val="18"/>
              </w:rPr>
              <w:t>Episode 3 (</w:t>
            </w:r>
            <w:r w:rsidRPr="00D2239A">
              <w:rPr>
                <w:rFonts w:cs="Times New Roman"/>
                <w:i/>
                <w:iCs/>
                <w:sz w:val="18"/>
                <w:szCs w:val="18"/>
              </w:rPr>
              <w:t>n</w:t>
            </w:r>
            <w:r w:rsidRPr="00D2239A">
              <w:rPr>
                <w:rFonts w:cs="Times New Roman"/>
                <w:sz w:val="18"/>
                <w:szCs w:val="18"/>
              </w:rPr>
              <w:t>=3)</w:t>
            </w:r>
          </w:p>
        </w:tc>
        <w:tc>
          <w:tcPr>
            <w:tcW w:w="2160" w:type="dxa"/>
          </w:tcPr>
          <w:p w14:paraId="11A08978"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0.959</w:t>
            </w:r>
          </w:p>
        </w:tc>
        <w:tc>
          <w:tcPr>
            <w:tcW w:w="1440" w:type="dxa"/>
          </w:tcPr>
          <w:p w14:paraId="56C675A4"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[0.934, 0.985]</w:t>
            </w:r>
          </w:p>
        </w:tc>
        <w:tc>
          <w:tcPr>
            <w:tcW w:w="1885" w:type="dxa"/>
          </w:tcPr>
          <w:p w14:paraId="169C057F" w14:textId="77777777" w:rsidR="0058100D" w:rsidRPr="00D2239A" w:rsidRDefault="0058100D" w:rsidP="00435936">
            <w:pPr>
              <w:spacing w:line="276" w:lineRule="auto"/>
              <w:rPr>
                <w:rFonts w:cs="Times New Roman"/>
                <w:sz w:val="18"/>
                <w:szCs w:val="18"/>
              </w:rPr>
            </w:pPr>
            <w:proofErr w:type="spellStart"/>
            <w:r w:rsidRPr="00D2239A">
              <w:rPr>
                <w:rFonts w:cs="Times New Roman"/>
                <w:sz w:val="18"/>
                <w:szCs w:val="18"/>
              </w:rPr>
              <w:t>Nosyk</w:t>
            </w:r>
            <w:proofErr w:type="spellEnd"/>
            <w:r w:rsidRPr="00D2239A">
              <w:rPr>
                <w:rFonts w:cs="Times New Roman"/>
                <w:sz w:val="18"/>
                <w:szCs w:val="18"/>
              </w:rPr>
              <w:t xml:space="preserve"> </w:t>
            </w:r>
            <w:r w:rsidRPr="00D2239A">
              <w:rPr>
                <w:rFonts w:cs="Times New Roman"/>
                <w:i/>
                <w:iCs/>
                <w:sz w:val="18"/>
                <w:szCs w:val="18"/>
              </w:rPr>
              <w:t>et al.</w:t>
            </w:r>
            <w:r w:rsidRPr="00D2239A">
              <w:rPr>
                <w:rFonts w:cs="Times New Roman"/>
                <w:sz w:val="18"/>
                <w:szCs w:val="18"/>
              </w:rPr>
              <w:t xml:space="preserve"> (2014)</w:t>
            </w:r>
            <w:r w:rsidRPr="00D2239A">
              <w:rPr>
                <w:rFonts w:cs="Times New Roman"/>
                <w:sz w:val="18"/>
                <w:szCs w:val="18"/>
              </w:rPr>
              <w:fldChar w:fldCharType="begin"/>
            </w:r>
            <w:r>
              <w:rPr>
                <w:rFonts w:cs="Times New Roman"/>
                <w:sz w:val="18"/>
                <w:szCs w:val="18"/>
              </w:rPr>
              <w:instrText xml:space="preserve"> ADDIN EN.CITE &lt;EndNote&gt;&lt;Cite&gt;&lt;Author&gt;Nosyk&lt;/Author&gt;&lt;Year&gt;2014&lt;/Year&gt;&lt;RecNum&gt;132&lt;/RecNum&gt;&lt;DisplayText&gt;&lt;style face="superscript"&gt;20&lt;/style&gt;&lt;/DisplayText&gt;&lt;record&gt;&lt;rec-number&gt;132&lt;/rec-number&gt;&lt;foreign-keys&gt;&lt;key app="EN" db-id="ffv9f0td1taf24ev0z1paazh2dx55xvtwsv9" timestamp="1713388380"&gt;132&lt;/key&gt;&lt;/foreign-keys&gt;&lt;ref-type name="Journal Article"&gt;17&lt;/ref-type&gt;&lt;contributors&gt;&lt;authors&gt;&lt;author&gt;Nosyk, Bohdan&lt;/author&gt;&lt;author&gt;Li, Libo&lt;/author&gt;&lt;author&gt;Evans, Elizabeth&lt;/author&gt;&lt;author&gt;Urada, Darren&lt;/author&gt;&lt;author&gt;Huang, David&lt;/author&gt;&lt;author&gt;Wood, Evan&lt;/author&gt;&lt;author&gt;Rawson, Richard&lt;/author&gt;&lt;author&gt;Hser, Yih-Ing&lt;/author&gt;&lt;/authors&gt;&lt;/contributors&gt;&lt;titles&gt;&lt;title&gt;Utilization and outcomes of detoxification and maintenance treatment for opioid dependence in publicly-funded facilities in California, USA: 1991–2012&lt;/title&gt;&lt;secondary-title&gt;Drug and alcohol dependence&lt;/secondary-title&gt;&lt;/titles&gt;&lt;periodical&gt;&lt;full-title&gt;Drug Alcohol Depend&lt;/full-title&gt;&lt;abbr-1&gt;Drug and alcohol dependence&lt;/abbr-1&gt;&lt;/periodical&gt;&lt;pages&gt;149-157&lt;/pages&gt;&lt;volume&gt;143&lt;/volume&gt;&lt;dates&gt;&lt;year&gt;2014&lt;/year&gt;&lt;/dates&gt;&lt;isbn&gt;0376-8716&lt;/isbn&gt;&lt;urls&gt;&lt;/urls&gt;&lt;/record&gt;&lt;/Cite&gt;&lt;/EndNote&gt;</w:instrText>
            </w:r>
            <w:r w:rsidRPr="00D2239A">
              <w:rPr>
                <w:rFonts w:cs="Times New Roman"/>
                <w:sz w:val="18"/>
                <w:szCs w:val="18"/>
              </w:rPr>
              <w:fldChar w:fldCharType="separate"/>
            </w:r>
            <w:r w:rsidRPr="00EF4FB4">
              <w:rPr>
                <w:rFonts w:cs="Times New Roman"/>
                <w:noProof/>
                <w:sz w:val="18"/>
                <w:szCs w:val="18"/>
                <w:vertAlign w:val="superscript"/>
              </w:rPr>
              <w:t>20</w:t>
            </w:r>
            <w:r w:rsidRPr="00D2239A">
              <w:rPr>
                <w:rFonts w:cs="Times New Roman"/>
                <w:sz w:val="18"/>
                <w:szCs w:val="18"/>
              </w:rPr>
              <w:fldChar w:fldCharType="end"/>
            </w:r>
          </w:p>
        </w:tc>
      </w:tr>
      <w:tr w:rsidR="0058100D" w:rsidRPr="00D2239A" w14:paraId="4C9EC078" w14:textId="77777777" w:rsidTr="00435936">
        <w:tc>
          <w:tcPr>
            <w:tcW w:w="3865" w:type="dxa"/>
          </w:tcPr>
          <w:p w14:paraId="5AD42435" w14:textId="77777777" w:rsidR="0058100D" w:rsidRPr="00D2239A" w:rsidRDefault="0058100D" w:rsidP="00435936">
            <w:pPr>
              <w:spacing w:line="276" w:lineRule="auto"/>
              <w:ind w:left="730"/>
              <w:rPr>
                <w:rFonts w:cs="Times New Roman"/>
                <w:sz w:val="18"/>
                <w:szCs w:val="18"/>
              </w:rPr>
            </w:pPr>
            <w:r w:rsidRPr="00D2239A">
              <w:rPr>
                <w:rFonts w:cs="Times New Roman"/>
                <w:sz w:val="18"/>
                <w:szCs w:val="18"/>
              </w:rPr>
              <w:t>Episode 4+ (</w:t>
            </w:r>
            <w:r w:rsidRPr="00D2239A">
              <w:rPr>
                <w:rFonts w:cs="Times New Roman"/>
                <w:i/>
                <w:iCs/>
                <w:sz w:val="18"/>
                <w:szCs w:val="18"/>
              </w:rPr>
              <w:t>n</w:t>
            </w:r>
            <m:oMath>
              <m:r>
                <w:rPr>
                  <w:rFonts w:ascii="Cambria Math" w:hAnsi="Cambria Math" w:cs="Times New Roman"/>
                  <w:sz w:val="18"/>
                  <w:szCs w:val="18"/>
                </w:rPr>
                <m:t>≥</m:t>
              </m:r>
            </m:oMath>
            <w:r w:rsidRPr="00D2239A">
              <w:rPr>
                <w:rFonts w:cs="Times New Roman"/>
                <w:sz w:val="18"/>
                <w:szCs w:val="18"/>
              </w:rPr>
              <w:t>4)</w:t>
            </w:r>
          </w:p>
        </w:tc>
        <w:tc>
          <w:tcPr>
            <w:tcW w:w="2160" w:type="dxa"/>
          </w:tcPr>
          <w:p w14:paraId="177DFA38"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0.943</w:t>
            </w:r>
          </w:p>
        </w:tc>
        <w:tc>
          <w:tcPr>
            <w:tcW w:w="1440" w:type="dxa"/>
          </w:tcPr>
          <w:p w14:paraId="56F4FE93"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[0.917, 0.970]</w:t>
            </w:r>
          </w:p>
        </w:tc>
        <w:tc>
          <w:tcPr>
            <w:tcW w:w="1885" w:type="dxa"/>
          </w:tcPr>
          <w:p w14:paraId="0FD72B24" w14:textId="77777777" w:rsidR="0058100D" w:rsidRPr="00D2239A" w:rsidRDefault="0058100D" w:rsidP="00435936">
            <w:pPr>
              <w:spacing w:line="276" w:lineRule="auto"/>
              <w:rPr>
                <w:rFonts w:cs="Times New Roman"/>
                <w:sz w:val="18"/>
                <w:szCs w:val="18"/>
              </w:rPr>
            </w:pPr>
            <w:proofErr w:type="spellStart"/>
            <w:r w:rsidRPr="00D2239A">
              <w:rPr>
                <w:rFonts w:cs="Times New Roman"/>
                <w:sz w:val="18"/>
                <w:szCs w:val="18"/>
              </w:rPr>
              <w:t>Nosyk</w:t>
            </w:r>
            <w:proofErr w:type="spellEnd"/>
            <w:r w:rsidRPr="00D2239A">
              <w:rPr>
                <w:rFonts w:cs="Times New Roman"/>
                <w:sz w:val="18"/>
                <w:szCs w:val="18"/>
              </w:rPr>
              <w:t xml:space="preserve"> </w:t>
            </w:r>
            <w:r w:rsidRPr="00D2239A">
              <w:rPr>
                <w:rFonts w:cs="Times New Roman"/>
                <w:i/>
                <w:iCs/>
                <w:sz w:val="18"/>
                <w:szCs w:val="18"/>
              </w:rPr>
              <w:t>et al.</w:t>
            </w:r>
            <w:r w:rsidRPr="00D2239A">
              <w:rPr>
                <w:rFonts w:cs="Times New Roman"/>
                <w:sz w:val="18"/>
                <w:szCs w:val="18"/>
              </w:rPr>
              <w:t xml:space="preserve"> (2014)</w:t>
            </w:r>
            <w:r w:rsidRPr="00D2239A">
              <w:rPr>
                <w:rFonts w:cs="Times New Roman"/>
                <w:sz w:val="18"/>
                <w:szCs w:val="18"/>
              </w:rPr>
              <w:fldChar w:fldCharType="begin"/>
            </w:r>
            <w:r>
              <w:rPr>
                <w:rFonts w:cs="Times New Roman"/>
                <w:sz w:val="18"/>
                <w:szCs w:val="18"/>
              </w:rPr>
              <w:instrText xml:space="preserve"> ADDIN EN.CITE &lt;EndNote&gt;&lt;Cite&gt;&lt;Author&gt;Nosyk&lt;/Author&gt;&lt;Year&gt;2014&lt;/Year&gt;&lt;RecNum&gt;132&lt;/RecNum&gt;&lt;DisplayText&gt;&lt;style face="superscript"&gt;20&lt;/style&gt;&lt;/DisplayText&gt;&lt;record&gt;&lt;rec-number&gt;132&lt;/rec-number&gt;&lt;foreign-keys&gt;&lt;key app="EN" db-id="ffv9f0td1taf24ev0z1paazh2dx55xvtwsv9" timestamp="1713388380"&gt;132&lt;/key&gt;&lt;/foreign-keys&gt;&lt;ref-type name="Journal Article"&gt;17&lt;/ref-type&gt;&lt;contributors&gt;&lt;authors&gt;&lt;author&gt;Nosyk, Bohdan&lt;/author&gt;&lt;author&gt;Li, Libo&lt;/author&gt;&lt;author&gt;Evans, Elizabeth&lt;/author&gt;&lt;author&gt;Urada, Darren&lt;/author&gt;&lt;author&gt;Huang, David&lt;/author&gt;&lt;author&gt;Wood, Evan&lt;/author&gt;&lt;author&gt;Rawson, Richard&lt;/author&gt;&lt;author&gt;Hser, Yih-Ing&lt;/author&gt;&lt;/authors&gt;&lt;/contributors&gt;&lt;titles&gt;&lt;title&gt;Utilization and outcomes of detoxification and maintenance treatment for opioid dependence in publicly-funded facilities in California, USA: 1991–2012&lt;/title&gt;&lt;secondary-title&gt;Drug and alcohol dependence&lt;/secondary-title&gt;&lt;/titles&gt;&lt;periodical&gt;&lt;full-title&gt;Drug Alcohol Depend&lt;/full-title&gt;&lt;abbr-1&gt;Drug and alcohol dependence&lt;/abbr-1&gt;&lt;/periodical&gt;&lt;pages&gt;149-157&lt;/pages&gt;&lt;volume&gt;143&lt;/volume&gt;&lt;dates&gt;&lt;year&gt;2014&lt;/year&gt;&lt;/dates&gt;&lt;isbn&gt;0376-8716&lt;/isbn&gt;&lt;urls&gt;&lt;/urls&gt;&lt;/record&gt;&lt;/Cite&gt;&lt;/EndNote&gt;</w:instrText>
            </w:r>
            <w:r w:rsidRPr="00D2239A">
              <w:rPr>
                <w:rFonts w:cs="Times New Roman"/>
                <w:sz w:val="18"/>
                <w:szCs w:val="18"/>
              </w:rPr>
              <w:fldChar w:fldCharType="separate"/>
            </w:r>
            <w:r w:rsidRPr="00EF4FB4">
              <w:rPr>
                <w:rFonts w:cs="Times New Roman"/>
                <w:noProof/>
                <w:sz w:val="18"/>
                <w:szCs w:val="18"/>
                <w:vertAlign w:val="superscript"/>
              </w:rPr>
              <w:t>20</w:t>
            </w:r>
            <w:r w:rsidRPr="00D2239A">
              <w:rPr>
                <w:rFonts w:cs="Times New Roman"/>
                <w:sz w:val="18"/>
                <w:szCs w:val="18"/>
              </w:rPr>
              <w:fldChar w:fldCharType="end"/>
            </w:r>
          </w:p>
        </w:tc>
      </w:tr>
      <w:tr w:rsidR="0058100D" w:rsidRPr="00D2239A" w14:paraId="54DE8171" w14:textId="77777777" w:rsidTr="00435936">
        <w:tc>
          <w:tcPr>
            <w:tcW w:w="3865" w:type="dxa"/>
          </w:tcPr>
          <w:p w14:paraId="014AA4DF" w14:textId="77777777" w:rsidR="0058100D" w:rsidRPr="00D2239A" w:rsidRDefault="0058100D" w:rsidP="00435936">
            <w:pPr>
              <w:spacing w:line="276" w:lineRule="auto"/>
              <w:ind w:left="370"/>
              <w:rPr>
                <w:rFonts w:cs="Times New Roman"/>
                <w:sz w:val="18"/>
                <w:szCs w:val="18"/>
              </w:rPr>
            </w:pPr>
            <w:r w:rsidRPr="00D2239A">
              <w:rPr>
                <w:rFonts w:cs="Times New Roman"/>
                <w:sz w:val="18"/>
                <w:szCs w:val="18"/>
              </w:rPr>
              <w:t>Probability of recovery upon treatment discontinuation</w:t>
            </w:r>
          </w:p>
        </w:tc>
        <w:tc>
          <w:tcPr>
            <w:tcW w:w="2160" w:type="dxa"/>
          </w:tcPr>
          <w:p w14:paraId="27A3BA5B"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0.273</w:t>
            </w:r>
          </w:p>
        </w:tc>
        <w:tc>
          <w:tcPr>
            <w:tcW w:w="1440" w:type="dxa"/>
          </w:tcPr>
          <w:p w14:paraId="4F310981"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w:t>
            </w:r>
          </w:p>
        </w:tc>
        <w:tc>
          <w:tcPr>
            <w:tcW w:w="1885" w:type="dxa"/>
          </w:tcPr>
          <w:p w14:paraId="2746740B" w14:textId="77777777" w:rsidR="0058100D" w:rsidRPr="00D2239A" w:rsidRDefault="0058100D" w:rsidP="00435936">
            <w:pPr>
              <w:spacing w:line="276" w:lineRule="auto"/>
              <w:rPr>
                <w:rFonts w:cs="Times New Roman"/>
                <w:sz w:val="18"/>
                <w:szCs w:val="18"/>
              </w:rPr>
            </w:pPr>
            <w:r w:rsidRPr="00D2239A">
              <w:rPr>
                <w:rFonts w:cs="Times New Roman"/>
                <w:sz w:val="18"/>
                <w:szCs w:val="18"/>
              </w:rPr>
              <w:t xml:space="preserve">Krebs </w:t>
            </w:r>
            <w:r w:rsidRPr="00D2239A">
              <w:rPr>
                <w:rFonts w:cs="Times New Roman"/>
                <w:i/>
                <w:iCs/>
                <w:sz w:val="18"/>
                <w:szCs w:val="18"/>
              </w:rPr>
              <w:t>et al.</w:t>
            </w:r>
            <w:r w:rsidRPr="00D2239A">
              <w:rPr>
                <w:rFonts w:cs="Times New Roman"/>
                <w:sz w:val="18"/>
                <w:szCs w:val="18"/>
              </w:rPr>
              <w:t xml:space="preserve"> (2018)</w:t>
            </w:r>
            <w:r w:rsidRPr="00D2239A">
              <w:rPr>
                <w:rFonts w:cs="Times New Roman"/>
                <w:sz w:val="18"/>
                <w:szCs w:val="18"/>
              </w:rPr>
              <w:fldChar w:fldCharType="begin"/>
            </w:r>
            <w:r>
              <w:rPr>
                <w:rFonts w:cs="Times New Roman"/>
                <w:sz w:val="18"/>
                <w:szCs w:val="18"/>
              </w:rPr>
              <w:instrText xml:space="preserve"> ADDIN EN.CITE &lt;EndNote&gt;&lt;Cite&gt;&lt;Author&gt;Krebs&lt;/Author&gt;&lt;Year&gt;2018&lt;/Year&gt;&lt;RecNum&gt;133&lt;/RecNum&gt;&lt;DisplayText&gt;&lt;style face="superscript"&gt;21&lt;/style&gt;&lt;/DisplayText&gt;&lt;record&gt;&lt;rec-number&gt;133&lt;/rec-number&gt;&lt;foreign-keys&gt;&lt;key app="EN" db-id="ffv9f0td1taf24ev0z1paazh2dx55xvtwsv9" timestamp="1713388380"&gt;133&lt;/key&gt;&lt;/foreign-keys&gt;&lt;ref-type name="Journal Article"&gt;17&lt;/ref-type&gt;&lt;contributors&gt;&lt;authors&gt;&lt;author&gt;Krebs, Emanuel&lt;/author&gt;&lt;author&gt;Enns, Benjamin&lt;/author&gt;&lt;author&gt;Evans, Elizabeth&lt;/author&gt;&lt;author&gt;Urada, Darren&lt;/author&gt;&lt;author&gt;Anglin, M Douglas&lt;/author&gt;&lt;author&gt;Rawson, Richard A&lt;/author&gt;&lt;author&gt;Hser, Yih-Ing&lt;/author&gt;&lt;author&gt;Nosyk, Bohdan&lt;/author&gt;&lt;/authors&gt;&lt;/contributors&gt;&lt;titles&gt;&lt;title&gt;Cost-effectiveness of publicly funded treatment of opioid use disorder in California&lt;/title&gt;&lt;secondary-title&gt;Annals of internal medicine&lt;/secondary-title&gt;&lt;/titles&gt;&lt;periodical&gt;&lt;full-title&gt;Ann Intern Med&lt;/full-title&gt;&lt;abbr-1&gt;Annals of internal medicine&lt;/abbr-1&gt;&lt;/periodical&gt;&lt;pages&gt;10-19&lt;/pages&gt;&lt;volume&gt;168&lt;/volume&gt;&lt;number&gt;1&lt;/number&gt;&lt;dates&gt;&lt;year&gt;2018&lt;/year&gt;&lt;/dates&gt;&lt;isbn&gt;0003-4819&lt;/isbn&gt;&lt;urls&gt;&lt;/urls&gt;&lt;/record&gt;&lt;/Cite&gt;&lt;/EndNote&gt;</w:instrText>
            </w:r>
            <w:r w:rsidRPr="00D2239A">
              <w:rPr>
                <w:rFonts w:cs="Times New Roman"/>
                <w:sz w:val="18"/>
                <w:szCs w:val="18"/>
              </w:rPr>
              <w:fldChar w:fldCharType="separate"/>
            </w:r>
            <w:r w:rsidRPr="00EF4FB4">
              <w:rPr>
                <w:rFonts w:cs="Times New Roman"/>
                <w:noProof/>
                <w:sz w:val="18"/>
                <w:szCs w:val="18"/>
                <w:vertAlign w:val="superscript"/>
              </w:rPr>
              <w:t>21</w:t>
            </w:r>
            <w:r w:rsidRPr="00D2239A">
              <w:rPr>
                <w:rFonts w:cs="Times New Roman"/>
                <w:sz w:val="18"/>
                <w:szCs w:val="18"/>
              </w:rPr>
              <w:fldChar w:fldCharType="end"/>
            </w:r>
          </w:p>
        </w:tc>
      </w:tr>
      <w:tr w:rsidR="0058100D" w:rsidRPr="00D2239A" w14:paraId="2E71A7D9" w14:textId="77777777" w:rsidTr="00435936">
        <w:tc>
          <w:tcPr>
            <w:tcW w:w="3865" w:type="dxa"/>
          </w:tcPr>
          <w:p w14:paraId="7718B5C6" w14:textId="77777777" w:rsidR="0058100D" w:rsidRPr="00D2239A" w:rsidRDefault="0058100D" w:rsidP="00435936">
            <w:pPr>
              <w:spacing w:line="276" w:lineRule="auto"/>
              <w:rPr>
                <w:rFonts w:cs="Times New Roman"/>
                <w:sz w:val="18"/>
                <w:szCs w:val="18"/>
              </w:rPr>
            </w:pPr>
            <w:r w:rsidRPr="00D2239A">
              <w:rPr>
                <w:rFonts w:cs="Times New Roman"/>
                <w:sz w:val="18"/>
                <w:szCs w:val="18"/>
              </w:rPr>
              <w:t xml:space="preserve">From </w:t>
            </w:r>
            <w:r w:rsidRPr="00D2239A">
              <w:rPr>
                <w:rFonts w:cs="Times New Roman"/>
                <w:i/>
                <w:iCs/>
                <w:sz w:val="18"/>
                <w:szCs w:val="18"/>
              </w:rPr>
              <w:t>Recovery</w:t>
            </w:r>
            <w:r w:rsidRPr="00D2239A">
              <w:rPr>
                <w:rFonts w:cs="Times New Roman"/>
                <w:sz w:val="18"/>
                <w:szCs w:val="18"/>
              </w:rPr>
              <w:t xml:space="preserve"> to </w:t>
            </w:r>
            <w:r w:rsidRPr="00D2239A">
              <w:rPr>
                <w:rFonts w:cs="Times New Roman"/>
                <w:i/>
                <w:iCs/>
                <w:sz w:val="18"/>
                <w:szCs w:val="18"/>
              </w:rPr>
              <w:t xml:space="preserve">OUD </w:t>
            </w:r>
            <w:r w:rsidRPr="00D2239A">
              <w:rPr>
                <w:rFonts w:cs="Times New Roman"/>
                <w:sz w:val="18"/>
                <w:szCs w:val="18"/>
              </w:rPr>
              <w:t>(re</w:t>
            </w:r>
            <w:r>
              <w:rPr>
                <w:rFonts w:cs="Times New Roman"/>
                <w:sz w:val="18"/>
                <w:szCs w:val="18"/>
              </w:rPr>
              <w:t>turn to OUD</w:t>
            </w:r>
            <w:r w:rsidRPr="00D2239A">
              <w:rPr>
                <w:rFonts w:cs="Times New Roman"/>
                <w:sz w:val="18"/>
                <w:szCs w:val="18"/>
              </w:rPr>
              <w:t>)</w:t>
            </w:r>
          </w:p>
        </w:tc>
        <w:tc>
          <w:tcPr>
            <w:tcW w:w="2160" w:type="dxa"/>
          </w:tcPr>
          <w:p w14:paraId="0A025216" w14:textId="77777777" w:rsidR="0058100D" w:rsidRPr="00D2239A" w:rsidRDefault="0058100D" w:rsidP="00435936">
            <w:pPr>
              <w:spacing w:line="276" w:lineRule="auto"/>
              <w:jc w:val="center"/>
              <w:rPr>
                <w:rFonts w:cs="Times New Roman"/>
                <w:sz w:val="18"/>
                <w:szCs w:val="18"/>
              </w:rPr>
            </w:pPr>
          </w:p>
        </w:tc>
        <w:tc>
          <w:tcPr>
            <w:tcW w:w="1440" w:type="dxa"/>
          </w:tcPr>
          <w:p w14:paraId="1613D1DD" w14:textId="77777777" w:rsidR="0058100D" w:rsidRPr="00D2239A" w:rsidRDefault="0058100D" w:rsidP="00435936">
            <w:pPr>
              <w:spacing w:line="276" w:lineRule="auto"/>
              <w:jc w:val="center"/>
              <w:rPr>
                <w:rFonts w:cs="Times New Roman"/>
                <w:sz w:val="18"/>
                <w:szCs w:val="18"/>
              </w:rPr>
            </w:pPr>
          </w:p>
        </w:tc>
        <w:tc>
          <w:tcPr>
            <w:tcW w:w="1885" w:type="dxa"/>
          </w:tcPr>
          <w:p w14:paraId="1166C3C9" w14:textId="77777777" w:rsidR="0058100D" w:rsidRPr="00D2239A" w:rsidRDefault="0058100D" w:rsidP="00435936">
            <w:pPr>
              <w:spacing w:line="276" w:lineRule="auto"/>
              <w:rPr>
                <w:rFonts w:cs="Times New Roman"/>
                <w:sz w:val="18"/>
                <w:szCs w:val="18"/>
              </w:rPr>
            </w:pPr>
            <w:r w:rsidRPr="00D2239A">
              <w:rPr>
                <w:rFonts w:cs="Times New Roman"/>
                <w:sz w:val="18"/>
                <w:szCs w:val="18"/>
              </w:rPr>
              <w:t>Supplement S</w:t>
            </w:r>
            <w:r>
              <w:rPr>
                <w:rFonts w:cs="Times New Roman"/>
                <w:sz w:val="18"/>
                <w:szCs w:val="18"/>
              </w:rPr>
              <w:t>2</w:t>
            </w:r>
            <w:r w:rsidRPr="00D2239A">
              <w:rPr>
                <w:rFonts w:cs="Times New Roman"/>
                <w:sz w:val="18"/>
                <w:szCs w:val="18"/>
              </w:rPr>
              <w:t>.3.4</w:t>
            </w:r>
          </w:p>
        </w:tc>
      </w:tr>
      <w:tr w:rsidR="0058100D" w:rsidRPr="00D2239A" w14:paraId="0F9763A4" w14:textId="77777777" w:rsidTr="00435936">
        <w:tc>
          <w:tcPr>
            <w:tcW w:w="3865" w:type="dxa"/>
          </w:tcPr>
          <w:p w14:paraId="594101A7" w14:textId="77777777" w:rsidR="0058100D" w:rsidRPr="00D2239A" w:rsidRDefault="0058100D" w:rsidP="00435936">
            <w:pPr>
              <w:spacing w:line="276" w:lineRule="auto"/>
              <w:ind w:left="370"/>
              <w:rPr>
                <w:rFonts w:cs="Times New Roman"/>
                <w:sz w:val="18"/>
                <w:szCs w:val="18"/>
              </w:rPr>
            </w:pPr>
            <w:r w:rsidRPr="00D2239A">
              <w:rPr>
                <w:rFonts w:cs="Times New Roman"/>
                <w:sz w:val="18"/>
                <w:szCs w:val="18"/>
              </w:rPr>
              <w:t>Survival function for time to re</w:t>
            </w:r>
            <w:r>
              <w:rPr>
                <w:rFonts w:cs="Times New Roman"/>
                <w:sz w:val="18"/>
                <w:szCs w:val="18"/>
              </w:rPr>
              <w:t>turn</w:t>
            </w:r>
          </w:p>
        </w:tc>
        <w:tc>
          <w:tcPr>
            <w:tcW w:w="2160" w:type="dxa"/>
          </w:tcPr>
          <w:p w14:paraId="2DE94AFF"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 xml:space="preserve">Weibull </w:t>
            </w:r>
            <m:oMath>
              <m:r>
                <w:rPr>
                  <w:rFonts w:ascii="Cambria Math" w:hAnsi="Cambria Math" w:cs="Times New Roman"/>
                  <w:color w:val="000000" w:themeColor="text1"/>
                  <w:sz w:val="18"/>
                  <w:szCs w:val="18"/>
                </w:rPr>
                <m:t>(λ=0.089, γ=0.797)</m:t>
              </m:r>
            </m:oMath>
          </w:p>
        </w:tc>
        <w:tc>
          <w:tcPr>
            <w:tcW w:w="1440" w:type="dxa"/>
          </w:tcPr>
          <w:p w14:paraId="69EEDE9E"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w:t>
            </w:r>
          </w:p>
        </w:tc>
        <w:tc>
          <w:tcPr>
            <w:tcW w:w="1885" w:type="dxa"/>
          </w:tcPr>
          <w:p w14:paraId="0BDF4644" w14:textId="45FAEEB8" w:rsidR="0058100D" w:rsidRPr="00D2239A" w:rsidRDefault="0058100D" w:rsidP="00435936">
            <w:pPr>
              <w:spacing w:line="276" w:lineRule="auto"/>
              <w:rPr>
                <w:rFonts w:cs="Times New Roman"/>
                <w:sz w:val="18"/>
                <w:szCs w:val="18"/>
              </w:rPr>
            </w:pPr>
            <w:proofErr w:type="spellStart"/>
            <w:r w:rsidRPr="00D2239A">
              <w:rPr>
                <w:rFonts w:cs="Times New Roman"/>
                <w:sz w:val="18"/>
                <w:szCs w:val="18"/>
              </w:rPr>
              <w:t>Nosyk</w:t>
            </w:r>
            <w:proofErr w:type="spellEnd"/>
            <w:r w:rsidRPr="00D2239A">
              <w:rPr>
                <w:rFonts w:cs="Times New Roman"/>
                <w:sz w:val="18"/>
                <w:szCs w:val="18"/>
              </w:rPr>
              <w:t xml:space="preserve"> </w:t>
            </w:r>
            <w:r w:rsidRPr="00D2239A">
              <w:rPr>
                <w:rFonts w:cs="Times New Roman"/>
                <w:i/>
                <w:iCs/>
                <w:sz w:val="18"/>
                <w:szCs w:val="18"/>
              </w:rPr>
              <w:t>et al.</w:t>
            </w:r>
            <w:r w:rsidRPr="00D2239A">
              <w:rPr>
                <w:rFonts w:cs="Times New Roman"/>
                <w:sz w:val="18"/>
                <w:szCs w:val="18"/>
              </w:rPr>
              <w:t xml:space="preserve"> (2012)</w:t>
            </w:r>
            <w:r w:rsidRPr="00D2239A">
              <w:rPr>
                <w:rFonts w:cs="Times New Roman"/>
                <w:sz w:val="18"/>
                <w:szCs w:val="18"/>
              </w:rPr>
              <w:fldChar w:fldCharType="begin"/>
            </w:r>
            <w:r>
              <w:rPr>
                <w:rFonts w:cs="Times New Roman"/>
                <w:sz w:val="18"/>
                <w:szCs w:val="18"/>
              </w:rPr>
              <w:instrText xml:space="preserve"> ADDIN EN.CITE &lt;EndNote&gt;&lt;Cite&gt;&lt;Author&gt;Nosyk&lt;/Author&gt;&lt;Year&gt;2012&lt;/Year&gt;&lt;RecNum&gt;16&lt;/RecNum&gt;&lt;DisplayText&gt;&lt;style face="superscript"&gt;35&lt;/style&gt;&lt;/DisplayText&gt;&lt;record&gt;&lt;rec-number&gt;16&lt;/rec-number&gt;&lt;foreign-keys&gt;&lt;key app="EN" db-id="xxft2ztdi9wf0qee0zovvtvrpefvetvvad02" timestamp="1691429452" guid="21f26010-e3ae-45e7-842c-25721793149a"&gt;16&lt;/key&gt;&lt;/foreign-keys&gt;&lt;ref-type name="Journal Article"&gt;17&lt;/ref-type&gt;&lt;contributors&gt;&lt;authors&gt;&lt;author&gt;Nosyk, Bohdan&lt;/author&gt;&lt;author&gt;Guh, Daphne P&lt;/author&gt;&lt;author&gt;Bansback, Nicholas J&lt;/author&gt;&lt;author&gt;Oviedo-Joekes, Eugenia&lt;/author&gt;&lt;author&gt;Brissette, Suzanne&lt;/author&gt;&lt;author&gt;Marsh, David C&lt;/author&gt;&lt;author&gt;Meikleham, Evan&lt;/author&gt;&lt;author&gt;Schechter, Martin T&lt;/author&gt;&lt;author&gt;Anis, Aslam H&lt;/author&gt;&lt;/authors&gt;&lt;/contributors&gt;&lt;titles&gt;&lt;title&gt;Cost-effectiveness of diacetylmorphine versus methadone for chronic opioid dependence refractory to treatment&lt;/title&gt;&lt;secondary-title&gt;Cmaj&lt;/secondary-title&gt;&lt;/titles&gt;&lt;periodical&gt;&lt;full-title&gt;Cmaj&lt;/full-title&gt;&lt;/periodical&gt;&lt;pages&gt;E317-E328&lt;/pages&gt;&lt;volume&gt;184&lt;/volume&gt;&lt;number&gt;6&lt;/number&gt;&lt;dates&gt;&lt;year&gt;2012&lt;/year&gt;&lt;/dates&gt;&lt;isbn&gt;0820-3946&lt;/isbn&gt;&lt;urls&gt;&lt;/urls&gt;&lt;/record&gt;&lt;/Cite&gt;&lt;/EndNote&gt;</w:instrText>
            </w:r>
            <w:r w:rsidRPr="00D2239A">
              <w:rPr>
                <w:rFonts w:cs="Times New Roman"/>
                <w:sz w:val="18"/>
                <w:szCs w:val="18"/>
              </w:rPr>
              <w:fldChar w:fldCharType="separate"/>
            </w:r>
            <w:r w:rsidRPr="0058100D">
              <w:rPr>
                <w:rFonts w:cs="Times New Roman"/>
                <w:noProof/>
                <w:sz w:val="18"/>
                <w:szCs w:val="18"/>
                <w:vertAlign w:val="superscript"/>
              </w:rPr>
              <w:t>35</w:t>
            </w:r>
            <w:r w:rsidRPr="00D2239A">
              <w:rPr>
                <w:rFonts w:cs="Times New Roman"/>
                <w:sz w:val="18"/>
                <w:szCs w:val="18"/>
              </w:rPr>
              <w:fldChar w:fldCharType="end"/>
            </w:r>
          </w:p>
        </w:tc>
      </w:tr>
      <w:tr w:rsidR="0058100D" w:rsidRPr="00D2239A" w14:paraId="5B23B6CA" w14:textId="77777777" w:rsidTr="00435936">
        <w:tc>
          <w:tcPr>
            <w:tcW w:w="3865" w:type="dxa"/>
          </w:tcPr>
          <w:p w14:paraId="3DD64240" w14:textId="77777777" w:rsidR="0058100D" w:rsidRPr="00D2239A" w:rsidRDefault="0058100D" w:rsidP="00435936">
            <w:pPr>
              <w:spacing w:line="276" w:lineRule="auto"/>
              <w:ind w:left="370"/>
              <w:rPr>
                <w:rFonts w:cs="Times New Roman"/>
                <w:sz w:val="18"/>
                <w:szCs w:val="18"/>
              </w:rPr>
            </w:pPr>
            <w:r w:rsidRPr="00D2239A">
              <w:rPr>
                <w:rFonts w:cs="Times New Roman"/>
                <w:sz w:val="18"/>
                <w:szCs w:val="18"/>
              </w:rPr>
              <w:t xml:space="preserve">Hazard ratio by the number of previous treatment episodes </w:t>
            </w:r>
            <m:oMath>
              <m:r>
                <w:rPr>
                  <w:rFonts w:ascii="Cambria Math" w:hAnsi="Cambria Math" w:cs="Times New Roman"/>
                  <w:sz w:val="18"/>
                  <w:szCs w:val="18"/>
                </w:rPr>
                <m:t>n</m:t>
              </m:r>
            </m:oMath>
            <w:r w:rsidRPr="00D2239A">
              <w:rPr>
                <w:rFonts w:cs="Times New Roman"/>
                <w:sz w:val="18"/>
                <w:szCs w:val="18"/>
              </w:rPr>
              <w:t xml:space="preserve">: </w:t>
            </w:r>
            <m:oMath>
              <m:sSubSup>
                <m:sSubSupPr>
                  <m:ctrlPr>
                    <w:rPr>
                      <w:rFonts w:ascii="Cambria Math" w:hAnsi="Cambria Math" w:cs="Times New Roman"/>
                      <w:i/>
                      <w:sz w:val="18"/>
                      <w:szCs w:val="18"/>
                    </w:rPr>
                  </m:ctrlPr>
                </m:sSubSupPr>
                <m:e>
                  <m:r>
                    <w:rPr>
                      <w:rFonts w:ascii="Cambria Math" w:hAnsi="Cambria Math" w:cs="Times New Roman"/>
                      <w:sz w:val="18"/>
                      <w:szCs w:val="18"/>
                    </w:rPr>
                    <m:t>HR</m:t>
                  </m:r>
                </m:e>
                <m:sub>
                  <m:r>
                    <w:rPr>
                      <w:rFonts w:ascii="Cambria Math" w:hAnsi="Cambria Math" w:cs="Times New Roman"/>
                      <w:sz w:val="18"/>
                      <w:szCs w:val="18"/>
                    </w:rPr>
                    <m:t>n</m:t>
                  </m:r>
                </m:sub>
                <m:sup>
                  <m:r>
                    <w:rPr>
                      <w:rFonts w:ascii="Cambria Math" w:hAnsi="Cambria Math" w:cs="Times New Roman"/>
                      <w:sz w:val="18"/>
                      <w:szCs w:val="18"/>
                    </w:rPr>
                    <m:t>r</m:t>
                  </m:r>
                </m:sup>
              </m:sSubSup>
            </m:oMath>
          </w:p>
        </w:tc>
        <w:tc>
          <w:tcPr>
            <w:tcW w:w="2160" w:type="dxa"/>
          </w:tcPr>
          <w:p w14:paraId="5FB86984" w14:textId="77777777" w:rsidR="0058100D" w:rsidRPr="00D2239A" w:rsidRDefault="0058100D" w:rsidP="00435936">
            <w:pPr>
              <w:spacing w:line="276" w:lineRule="auto"/>
              <w:jc w:val="center"/>
              <w:rPr>
                <w:rFonts w:cs="Times New Roman"/>
                <w:sz w:val="18"/>
                <w:szCs w:val="18"/>
              </w:rPr>
            </w:pPr>
          </w:p>
        </w:tc>
        <w:tc>
          <w:tcPr>
            <w:tcW w:w="1440" w:type="dxa"/>
          </w:tcPr>
          <w:p w14:paraId="40B4C5BE" w14:textId="77777777" w:rsidR="0058100D" w:rsidRPr="00D2239A" w:rsidRDefault="0058100D" w:rsidP="00435936">
            <w:pPr>
              <w:spacing w:line="276" w:lineRule="auto"/>
              <w:jc w:val="center"/>
              <w:rPr>
                <w:rFonts w:cs="Times New Roman"/>
                <w:sz w:val="18"/>
                <w:szCs w:val="18"/>
              </w:rPr>
            </w:pPr>
          </w:p>
        </w:tc>
        <w:tc>
          <w:tcPr>
            <w:tcW w:w="1885" w:type="dxa"/>
          </w:tcPr>
          <w:p w14:paraId="7212ED3A" w14:textId="77777777" w:rsidR="0058100D" w:rsidRPr="00D2239A" w:rsidRDefault="0058100D" w:rsidP="00435936">
            <w:pPr>
              <w:spacing w:line="276" w:lineRule="auto"/>
              <w:rPr>
                <w:rFonts w:cs="Times New Roman"/>
                <w:sz w:val="18"/>
                <w:szCs w:val="18"/>
              </w:rPr>
            </w:pPr>
          </w:p>
        </w:tc>
      </w:tr>
      <w:tr w:rsidR="0058100D" w:rsidRPr="00D2239A" w14:paraId="46628381" w14:textId="77777777" w:rsidTr="00435936">
        <w:tc>
          <w:tcPr>
            <w:tcW w:w="3865" w:type="dxa"/>
          </w:tcPr>
          <w:p w14:paraId="042852CE" w14:textId="77777777" w:rsidR="0058100D" w:rsidRPr="00D2239A" w:rsidRDefault="0058100D" w:rsidP="00435936">
            <w:pPr>
              <w:spacing w:line="276" w:lineRule="auto"/>
              <w:ind w:left="730"/>
              <w:rPr>
                <w:rFonts w:cs="Times New Roman"/>
                <w:sz w:val="18"/>
                <w:szCs w:val="18"/>
              </w:rPr>
            </w:pPr>
            <w:r w:rsidRPr="00D2239A">
              <w:rPr>
                <w:rFonts w:cs="Times New Roman"/>
                <w:sz w:val="18"/>
                <w:szCs w:val="18"/>
              </w:rPr>
              <w:t>Episode 0 (</w:t>
            </w:r>
            <w:r w:rsidRPr="00D2239A">
              <w:rPr>
                <w:rFonts w:cs="Times New Roman"/>
                <w:i/>
                <w:iCs/>
                <w:sz w:val="18"/>
                <w:szCs w:val="18"/>
              </w:rPr>
              <w:t>n</w:t>
            </w:r>
            <w:r w:rsidRPr="00D2239A">
              <w:rPr>
                <w:rFonts w:cs="Times New Roman"/>
                <w:sz w:val="18"/>
                <w:szCs w:val="18"/>
              </w:rPr>
              <w:t>=0)</w:t>
            </w:r>
          </w:p>
        </w:tc>
        <w:tc>
          <w:tcPr>
            <w:tcW w:w="2160" w:type="dxa"/>
          </w:tcPr>
          <w:p w14:paraId="19FD6023"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1.0</w:t>
            </w:r>
          </w:p>
        </w:tc>
        <w:tc>
          <w:tcPr>
            <w:tcW w:w="1440" w:type="dxa"/>
          </w:tcPr>
          <w:p w14:paraId="285DD424"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w:t>
            </w:r>
          </w:p>
        </w:tc>
        <w:tc>
          <w:tcPr>
            <w:tcW w:w="1885" w:type="dxa"/>
          </w:tcPr>
          <w:p w14:paraId="32A0301C" w14:textId="77777777" w:rsidR="0058100D" w:rsidRPr="00D2239A" w:rsidRDefault="0058100D" w:rsidP="00435936">
            <w:pPr>
              <w:spacing w:line="276" w:lineRule="auto"/>
              <w:rPr>
                <w:rFonts w:cs="Times New Roman"/>
                <w:sz w:val="18"/>
                <w:szCs w:val="18"/>
              </w:rPr>
            </w:pPr>
            <w:r w:rsidRPr="00D2239A">
              <w:rPr>
                <w:rFonts w:cs="Times New Roman"/>
                <w:sz w:val="18"/>
                <w:szCs w:val="18"/>
              </w:rPr>
              <w:t>Assumption</w:t>
            </w:r>
          </w:p>
        </w:tc>
      </w:tr>
      <w:tr w:rsidR="0058100D" w:rsidRPr="00D2239A" w14:paraId="2E971A6D" w14:textId="77777777" w:rsidTr="00435936">
        <w:tc>
          <w:tcPr>
            <w:tcW w:w="3865" w:type="dxa"/>
          </w:tcPr>
          <w:p w14:paraId="4C5BC3D4" w14:textId="77777777" w:rsidR="0058100D" w:rsidRPr="00D2239A" w:rsidRDefault="0058100D" w:rsidP="00435936">
            <w:pPr>
              <w:spacing w:line="276" w:lineRule="auto"/>
              <w:ind w:left="730"/>
              <w:rPr>
                <w:rFonts w:cs="Times New Roman"/>
                <w:sz w:val="18"/>
                <w:szCs w:val="18"/>
              </w:rPr>
            </w:pPr>
            <w:r w:rsidRPr="00D2239A">
              <w:rPr>
                <w:rFonts w:cs="Times New Roman"/>
                <w:sz w:val="18"/>
                <w:szCs w:val="18"/>
              </w:rPr>
              <w:t>Episode 1 (</w:t>
            </w:r>
            <w:r w:rsidRPr="00D2239A">
              <w:rPr>
                <w:rFonts w:cs="Times New Roman"/>
                <w:i/>
                <w:iCs/>
                <w:sz w:val="18"/>
                <w:szCs w:val="18"/>
              </w:rPr>
              <w:t>n</w:t>
            </w:r>
            <w:r w:rsidRPr="00D2239A">
              <w:rPr>
                <w:rFonts w:cs="Times New Roman"/>
                <w:sz w:val="18"/>
                <w:szCs w:val="18"/>
              </w:rPr>
              <w:t>=1)</w:t>
            </w:r>
          </w:p>
        </w:tc>
        <w:tc>
          <w:tcPr>
            <w:tcW w:w="2160" w:type="dxa"/>
          </w:tcPr>
          <w:p w14:paraId="77747F4B"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1.0</w:t>
            </w:r>
          </w:p>
        </w:tc>
        <w:tc>
          <w:tcPr>
            <w:tcW w:w="1440" w:type="dxa"/>
          </w:tcPr>
          <w:p w14:paraId="4B4453EF"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w:t>
            </w:r>
          </w:p>
        </w:tc>
        <w:tc>
          <w:tcPr>
            <w:tcW w:w="1885" w:type="dxa"/>
          </w:tcPr>
          <w:p w14:paraId="1754E30D" w14:textId="77777777" w:rsidR="0058100D" w:rsidRPr="00D2239A" w:rsidRDefault="0058100D" w:rsidP="00435936">
            <w:pPr>
              <w:spacing w:line="276" w:lineRule="auto"/>
              <w:rPr>
                <w:rFonts w:cs="Times New Roman"/>
                <w:sz w:val="18"/>
                <w:szCs w:val="18"/>
              </w:rPr>
            </w:pPr>
            <w:proofErr w:type="spellStart"/>
            <w:r w:rsidRPr="00D2239A">
              <w:rPr>
                <w:rFonts w:cs="Times New Roman"/>
                <w:sz w:val="18"/>
                <w:szCs w:val="18"/>
              </w:rPr>
              <w:t>Nosyk</w:t>
            </w:r>
            <w:proofErr w:type="spellEnd"/>
            <w:r w:rsidRPr="00D2239A">
              <w:rPr>
                <w:rFonts w:cs="Times New Roman"/>
                <w:sz w:val="18"/>
                <w:szCs w:val="18"/>
              </w:rPr>
              <w:t xml:space="preserve"> </w:t>
            </w:r>
            <w:r w:rsidRPr="00D2239A">
              <w:rPr>
                <w:rFonts w:cs="Times New Roman"/>
                <w:i/>
                <w:iCs/>
                <w:sz w:val="18"/>
                <w:szCs w:val="18"/>
              </w:rPr>
              <w:t>et al.</w:t>
            </w:r>
            <w:r w:rsidRPr="00D2239A">
              <w:rPr>
                <w:rFonts w:cs="Times New Roman"/>
                <w:sz w:val="18"/>
                <w:szCs w:val="18"/>
              </w:rPr>
              <w:t xml:space="preserve"> (2009)</w:t>
            </w:r>
            <w:r w:rsidRPr="00D2239A">
              <w:rPr>
                <w:rFonts w:cs="Times New Roman"/>
                <w:sz w:val="18"/>
                <w:szCs w:val="18"/>
              </w:rPr>
              <w:fldChar w:fldCharType="begin"/>
            </w:r>
            <w:r>
              <w:rPr>
                <w:rFonts w:cs="Times New Roman"/>
                <w:sz w:val="18"/>
                <w:szCs w:val="18"/>
              </w:rPr>
              <w:instrText xml:space="preserve"> ADDIN EN.CITE &lt;EndNote&gt;&lt;Cite&gt;&lt;Author&gt;Nosyk&lt;/Author&gt;&lt;Year&gt;2009&lt;/Year&gt;&lt;RecNum&gt;17&lt;/RecNum&gt;&lt;DisplayText&gt;&lt;style face="superscript"&gt;26&lt;/style&gt;&lt;/DisplayText&gt;&lt;record&gt;&lt;rec-number&gt;17&lt;/rec-number&gt;&lt;foreign-keys&gt;&lt;key app="EN" db-id="xxft2ztdi9wf0qee0zovvtvrpefvetvvad02" timestamp="1691429454" guid="46b2b3f1-3d3a-4a08-a0b5-640fc1cde622"&gt;17&lt;/key&gt;&lt;/foreign-keys&gt;&lt;ref-type name="Journal Article"&gt;17&lt;/ref-type&gt;&lt;contributors&gt;&lt;authors&gt;&lt;author&gt;Nosyk, Bohdan&lt;/author&gt;&lt;author&gt;MacNab, Ying C&lt;/author&gt;&lt;author&gt;Sun, Huiying&lt;/author&gt;&lt;author&gt;Fischer, Benedikt&lt;/author&gt;&lt;author&gt;Marsh, David C&lt;/author&gt;&lt;author&gt;Schechter, Martin T&lt;/author&gt;&lt;author&gt;Anis, Aslam H&lt;/author&gt;&lt;/authors&gt;&lt;/contributors&gt;&lt;titles&gt;&lt;title&gt;Proportional hazards frailty models for recurrent methadone maintenance treatment&lt;/title&gt;&lt;secondary-title&gt;American journal of epidemiology&lt;/secondary-title&gt;&lt;/titles&gt;&lt;periodical&gt;&lt;full-title&gt;American journal of epidemiology&lt;/full-title&gt;&lt;/periodical&gt;&lt;pages&gt;783-792&lt;/pages&gt;&lt;volume&gt;170&lt;/volume&gt;&lt;number&gt;6&lt;/number&gt;&lt;dates&gt;&lt;year&gt;2009&lt;/year&gt;&lt;/dates&gt;&lt;isbn&gt;1476-6256&lt;/isbn&gt;&lt;urls&gt;&lt;/urls&gt;&lt;/record&gt;&lt;/Cite&gt;&lt;/EndNote&gt;</w:instrText>
            </w:r>
            <w:r w:rsidRPr="00D2239A">
              <w:rPr>
                <w:rFonts w:cs="Times New Roman"/>
                <w:sz w:val="18"/>
                <w:szCs w:val="18"/>
              </w:rPr>
              <w:fldChar w:fldCharType="separate"/>
            </w:r>
            <w:r w:rsidRPr="00EF4FB4">
              <w:rPr>
                <w:rFonts w:cs="Times New Roman"/>
                <w:noProof/>
                <w:sz w:val="18"/>
                <w:szCs w:val="18"/>
                <w:vertAlign w:val="superscript"/>
              </w:rPr>
              <w:t>26</w:t>
            </w:r>
            <w:r w:rsidRPr="00D2239A">
              <w:rPr>
                <w:rFonts w:cs="Times New Roman"/>
                <w:sz w:val="18"/>
                <w:szCs w:val="18"/>
              </w:rPr>
              <w:fldChar w:fldCharType="end"/>
            </w:r>
          </w:p>
        </w:tc>
      </w:tr>
      <w:tr w:rsidR="0058100D" w:rsidRPr="00D2239A" w14:paraId="4D95C5AE" w14:textId="77777777" w:rsidTr="00435936">
        <w:tc>
          <w:tcPr>
            <w:tcW w:w="3865" w:type="dxa"/>
          </w:tcPr>
          <w:p w14:paraId="75DDA3FB" w14:textId="77777777" w:rsidR="0058100D" w:rsidRPr="00D2239A" w:rsidRDefault="0058100D" w:rsidP="00435936">
            <w:pPr>
              <w:spacing w:line="276" w:lineRule="auto"/>
              <w:ind w:left="730"/>
              <w:rPr>
                <w:rFonts w:cs="Times New Roman"/>
                <w:sz w:val="18"/>
                <w:szCs w:val="18"/>
              </w:rPr>
            </w:pPr>
            <w:r w:rsidRPr="00D2239A">
              <w:rPr>
                <w:rFonts w:cs="Times New Roman"/>
                <w:sz w:val="18"/>
                <w:szCs w:val="18"/>
              </w:rPr>
              <w:t>Episode 2 (</w:t>
            </w:r>
            <w:r w:rsidRPr="00D2239A">
              <w:rPr>
                <w:rFonts w:cs="Times New Roman"/>
                <w:i/>
                <w:iCs/>
                <w:sz w:val="18"/>
                <w:szCs w:val="18"/>
              </w:rPr>
              <w:t>n</w:t>
            </w:r>
            <w:r w:rsidRPr="00D2239A">
              <w:rPr>
                <w:rFonts w:cs="Times New Roman"/>
                <w:sz w:val="18"/>
                <w:szCs w:val="18"/>
              </w:rPr>
              <w:t>=2)</w:t>
            </w:r>
          </w:p>
        </w:tc>
        <w:tc>
          <w:tcPr>
            <w:tcW w:w="2160" w:type="dxa"/>
          </w:tcPr>
          <w:p w14:paraId="52E8D2F6"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0.871</w:t>
            </w:r>
          </w:p>
        </w:tc>
        <w:tc>
          <w:tcPr>
            <w:tcW w:w="1440" w:type="dxa"/>
          </w:tcPr>
          <w:p w14:paraId="48F20E18"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[0.843, 0.901]</w:t>
            </w:r>
          </w:p>
        </w:tc>
        <w:tc>
          <w:tcPr>
            <w:tcW w:w="1885" w:type="dxa"/>
          </w:tcPr>
          <w:p w14:paraId="091389AF" w14:textId="77777777" w:rsidR="0058100D" w:rsidRPr="00D2239A" w:rsidRDefault="0058100D" w:rsidP="00435936">
            <w:pPr>
              <w:spacing w:line="276" w:lineRule="auto"/>
              <w:rPr>
                <w:rFonts w:cs="Times New Roman"/>
                <w:sz w:val="18"/>
                <w:szCs w:val="18"/>
              </w:rPr>
            </w:pPr>
            <w:proofErr w:type="spellStart"/>
            <w:r w:rsidRPr="00D2239A">
              <w:rPr>
                <w:rFonts w:cs="Times New Roman"/>
                <w:sz w:val="18"/>
                <w:szCs w:val="18"/>
              </w:rPr>
              <w:t>Nosyk</w:t>
            </w:r>
            <w:proofErr w:type="spellEnd"/>
            <w:r w:rsidRPr="00D2239A">
              <w:rPr>
                <w:rFonts w:cs="Times New Roman"/>
                <w:sz w:val="18"/>
                <w:szCs w:val="18"/>
              </w:rPr>
              <w:t xml:space="preserve"> </w:t>
            </w:r>
            <w:r w:rsidRPr="00D2239A">
              <w:rPr>
                <w:rFonts w:cs="Times New Roman"/>
                <w:i/>
                <w:iCs/>
                <w:sz w:val="18"/>
                <w:szCs w:val="18"/>
              </w:rPr>
              <w:t>et al.</w:t>
            </w:r>
            <w:r w:rsidRPr="00D2239A">
              <w:rPr>
                <w:rFonts w:cs="Times New Roman"/>
                <w:sz w:val="18"/>
                <w:szCs w:val="18"/>
              </w:rPr>
              <w:t xml:space="preserve"> (2009)</w:t>
            </w:r>
            <w:r w:rsidRPr="00D2239A">
              <w:rPr>
                <w:rFonts w:cs="Times New Roman"/>
                <w:sz w:val="18"/>
                <w:szCs w:val="18"/>
              </w:rPr>
              <w:fldChar w:fldCharType="begin"/>
            </w:r>
            <w:r>
              <w:rPr>
                <w:rFonts w:cs="Times New Roman"/>
                <w:sz w:val="18"/>
                <w:szCs w:val="18"/>
              </w:rPr>
              <w:instrText xml:space="preserve"> ADDIN EN.CITE &lt;EndNote&gt;&lt;Cite&gt;&lt;Author&gt;Nosyk&lt;/Author&gt;&lt;Year&gt;2009&lt;/Year&gt;&lt;RecNum&gt;17&lt;/RecNum&gt;&lt;DisplayText&gt;&lt;style face="superscript"&gt;26&lt;/style&gt;&lt;/DisplayText&gt;&lt;record&gt;&lt;rec-number&gt;17&lt;/rec-number&gt;&lt;foreign-keys&gt;&lt;key app="EN" db-id="xxft2ztdi9wf0qee0zovvtvrpefvetvvad02" timestamp="1691429454" guid="46b2b3f1-3d3a-4a08-a0b5-640fc1cde622"&gt;17&lt;/key&gt;&lt;/foreign-keys&gt;&lt;ref-type name="Journal Article"&gt;17&lt;/ref-type&gt;&lt;contributors&gt;&lt;authors&gt;&lt;author&gt;Nosyk, Bohdan&lt;/author&gt;&lt;author&gt;MacNab, Ying C&lt;/author&gt;&lt;author&gt;Sun, Huiying&lt;/author&gt;&lt;author&gt;Fischer, Benedikt&lt;/author&gt;&lt;author&gt;Marsh, David C&lt;/author&gt;&lt;author&gt;Schechter, Martin T&lt;/author&gt;&lt;author&gt;Anis, Aslam H&lt;/author&gt;&lt;/authors&gt;&lt;/contributors&gt;&lt;titles&gt;&lt;title&gt;Proportional hazards frailty models for recurrent methadone maintenance treatment&lt;/title&gt;&lt;secondary-title&gt;American journal of epidemiology&lt;/secondary-title&gt;&lt;/titles&gt;&lt;periodical&gt;&lt;full-title&gt;American journal of epidemiology&lt;/full-title&gt;&lt;/periodical&gt;&lt;pages&gt;783-792&lt;/pages&gt;&lt;volume&gt;170&lt;/volume&gt;&lt;number&gt;6&lt;/number&gt;&lt;dates&gt;&lt;year&gt;2009&lt;/year&gt;&lt;/dates&gt;&lt;isbn&gt;1476-6256&lt;/isbn&gt;&lt;urls&gt;&lt;/urls&gt;&lt;/record&gt;&lt;/Cite&gt;&lt;/EndNote&gt;</w:instrText>
            </w:r>
            <w:r w:rsidRPr="00D2239A">
              <w:rPr>
                <w:rFonts w:cs="Times New Roman"/>
                <w:sz w:val="18"/>
                <w:szCs w:val="18"/>
              </w:rPr>
              <w:fldChar w:fldCharType="separate"/>
            </w:r>
            <w:r w:rsidRPr="00EF4FB4">
              <w:rPr>
                <w:rFonts w:cs="Times New Roman"/>
                <w:noProof/>
                <w:sz w:val="18"/>
                <w:szCs w:val="18"/>
                <w:vertAlign w:val="superscript"/>
              </w:rPr>
              <w:t>26</w:t>
            </w:r>
            <w:r w:rsidRPr="00D2239A">
              <w:rPr>
                <w:rFonts w:cs="Times New Roman"/>
                <w:sz w:val="18"/>
                <w:szCs w:val="18"/>
              </w:rPr>
              <w:fldChar w:fldCharType="end"/>
            </w:r>
          </w:p>
        </w:tc>
      </w:tr>
      <w:tr w:rsidR="0058100D" w:rsidRPr="00D2239A" w14:paraId="0A31D088" w14:textId="77777777" w:rsidTr="00435936">
        <w:tc>
          <w:tcPr>
            <w:tcW w:w="3865" w:type="dxa"/>
          </w:tcPr>
          <w:p w14:paraId="05CD8C84" w14:textId="77777777" w:rsidR="0058100D" w:rsidRPr="00D2239A" w:rsidRDefault="0058100D" w:rsidP="00435936">
            <w:pPr>
              <w:spacing w:line="276" w:lineRule="auto"/>
              <w:ind w:left="730"/>
              <w:rPr>
                <w:rFonts w:cs="Times New Roman"/>
                <w:sz w:val="18"/>
                <w:szCs w:val="18"/>
              </w:rPr>
            </w:pPr>
            <w:r w:rsidRPr="00D2239A">
              <w:rPr>
                <w:rFonts w:cs="Times New Roman"/>
                <w:sz w:val="18"/>
                <w:szCs w:val="18"/>
              </w:rPr>
              <w:t>Episode 3 (</w:t>
            </w:r>
            <w:r w:rsidRPr="00D2239A">
              <w:rPr>
                <w:rFonts w:cs="Times New Roman"/>
                <w:i/>
                <w:iCs/>
                <w:sz w:val="18"/>
                <w:szCs w:val="18"/>
              </w:rPr>
              <w:t>n</w:t>
            </w:r>
            <w:r w:rsidRPr="00D2239A">
              <w:rPr>
                <w:rFonts w:cs="Times New Roman"/>
                <w:sz w:val="18"/>
                <w:szCs w:val="18"/>
              </w:rPr>
              <w:t>=3)</w:t>
            </w:r>
          </w:p>
        </w:tc>
        <w:tc>
          <w:tcPr>
            <w:tcW w:w="2160" w:type="dxa"/>
          </w:tcPr>
          <w:p w14:paraId="3994516F"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0.839</w:t>
            </w:r>
          </w:p>
        </w:tc>
        <w:tc>
          <w:tcPr>
            <w:tcW w:w="1440" w:type="dxa"/>
          </w:tcPr>
          <w:p w14:paraId="0A04F2FC"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[0.803, 0.878]</w:t>
            </w:r>
          </w:p>
        </w:tc>
        <w:tc>
          <w:tcPr>
            <w:tcW w:w="1885" w:type="dxa"/>
          </w:tcPr>
          <w:p w14:paraId="7AEA50FC" w14:textId="77777777" w:rsidR="0058100D" w:rsidRPr="00D2239A" w:rsidRDefault="0058100D" w:rsidP="00435936">
            <w:pPr>
              <w:spacing w:line="276" w:lineRule="auto"/>
              <w:rPr>
                <w:rFonts w:cs="Times New Roman"/>
                <w:sz w:val="18"/>
                <w:szCs w:val="18"/>
              </w:rPr>
            </w:pPr>
            <w:proofErr w:type="spellStart"/>
            <w:r w:rsidRPr="00D2239A">
              <w:rPr>
                <w:rFonts w:cs="Times New Roman"/>
                <w:sz w:val="18"/>
                <w:szCs w:val="18"/>
              </w:rPr>
              <w:t>Nosyk</w:t>
            </w:r>
            <w:proofErr w:type="spellEnd"/>
            <w:r w:rsidRPr="00D2239A">
              <w:rPr>
                <w:rFonts w:cs="Times New Roman"/>
                <w:sz w:val="18"/>
                <w:szCs w:val="18"/>
              </w:rPr>
              <w:t xml:space="preserve"> </w:t>
            </w:r>
            <w:r w:rsidRPr="00D2239A">
              <w:rPr>
                <w:rFonts w:cs="Times New Roman"/>
                <w:i/>
                <w:iCs/>
                <w:sz w:val="18"/>
                <w:szCs w:val="18"/>
              </w:rPr>
              <w:t>et al.</w:t>
            </w:r>
            <w:r w:rsidRPr="00D2239A">
              <w:rPr>
                <w:rFonts w:cs="Times New Roman"/>
                <w:sz w:val="18"/>
                <w:szCs w:val="18"/>
              </w:rPr>
              <w:t xml:space="preserve"> (2009)</w:t>
            </w:r>
            <w:r w:rsidRPr="00D2239A">
              <w:rPr>
                <w:rFonts w:cs="Times New Roman"/>
                <w:sz w:val="18"/>
                <w:szCs w:val="18"/>
              </w:rPr>
              <w:fldChar w:fldCharType="begin"/>
            </w:r>
            <w:r>
              <w:rPr>
                <w:rFonts w:cs="Times New Roman"/>
                <w:sz w:val="18"/>
                <w:szCs w:val="18"/>
              </w:rPr>
              <w:instrText xml:space="preserve"> ADDIN EN.CITE &lt;EndNote&gt;&lt;Cite&gt;&lt;Author&gt;Nosyk&lt;/Author&gt;&lt;Year&gt;2009&lt;/Year&gt;&lt;RecNum&gt;17&lt;/RecNum&gt;&lt;DisplayText&gt;&lt;style face="superscript"&gt;26&lt;/style&gt;&lt;/DisplayText&gt;&lt;record&gt;&lt;rec-number&gt;17&lt;/rec-number&gt;&lt;foreign-keys&gt;&lt;key app="EN" db-id="xxft2ztdi9wf0qee0zovvtvrpefvetvvad02" timestamp="1691429454" guid="46b2b3f1-3d3a-4a08-a0b5-640fc1cde622"&gt;17&lt;/key&gt;&lt;/foreign-keys&gt;&lt;ref-type name="Journal Article"&gt;17&lt;/ref-type&gt;&lt;contributors&gt;&lt;authors&gt;&lt;author&gt;Nosyk, Bohdan&lt;/author&gt;&lt;author&gt;MacNab, Ying C&lt;/author&gt;&lt;author&gt;Sun, Huiying&lt;/author&gt;&lt;author&gt;Fischer, Benedikt&lt;/author&gt;&lt;author&gt;Marsh, David C&lt;/author&gt;&lt;author&gt;Schechter, Martin T&lt;/author&gt;&lt;author&gt;Anis, Aslam H&lt;/author&gt;&lt;/authors&gt;&lt;/contributors&gt;&lt;titles&gt;&lt;title&gt;Proportional hazards frailty models for recurrent methadone maintenance treatment&lt;/title&gt;&lt;secondary-title&gt;American journal of epidemiology&lt;/secondary-title&gt;&lt;/titles&gt;&lt;periodical&gt;&lt;full-title&gt;American journal of epidemiology&lt;/full-title&gt;&lt;/periodical&gt;&lt;pages&gt;783-792&lt;/pages&gt;&lt;volume&gt;170&lt;/volume&gt;&lt;number&gt;6&lt;/number&gt;&lt;dates&gt;&lt;year&gt;2009&lt;/year&gt;&lt;/dates&gt;&lt;isbn&gt;1476-6256&lt;/isbn&gt;&lt;urls&gt;&lt;/urls&gt;&lt;/record&gt;&lt;/Cite&gt;&lt;/EndNote&gt;</w:instrText>
            </w:r>
            <w:r w:rsidRPr="00D2239A">
              <w:rPr>
                <w:rFonts w:cs="Times New Roman"/>
                <w:sz w:val="18"/>
                <w:szCs w:val="18"/>
              </w:rPr>
              <w:fldChar w:fldCharType="separate"/>
            </w:r>
            <w:r w:rsidRPr="00EF4FB4">
              <w:rPr>
                <w:rFonts w:cs="Times New Roman"/>
                <w:noProof/>
                <w:sz w:val="18"/>
                <w:szCs w:val="18"/>
                <w:vertAlign w:val="superscript"/>
              </w:rPr>
              <w:t>26</w:t>
            </w:r>
            <w:r w:rsidRPr="00D2239A">
              <w:rPr>
                <w:rFonts w:cs="Times New Roman"/>
                <w:sz w:val="18"/>
                <w:szCs w:val="18"/>
              </w:rPr>
              <w:fldChar w:fldCharType="end"/>
            </w:r>
          </w:p>
        </w:tc>
      </w:tr>
      <w:tr w:rsidR="0058100D" w:rsidRPr="00D2239A" w14:paraId="6850C0C7" w14:textId="77777777" w:rsidTr="00435936">
        <w:tc>
          <w:tcPr>
            <w:tcW w:w="3865" w:type="dxa"/>
          </w:tcPr>
          <w:p w14:paraId="3419A3FC" w14:textId="77777777" w:rsidR="0058100D" w:rsidRPr="00D2239A" w:rsidRDefault="0058100D" w:rsidP="00435936">
            <w:pPr>
              <w:spacing w:line="276" w:lineRule="auto"/>
              <w:ind w:left="730"/>
              <w:rPr>
                <w:rFonts w:cs="Times New Roman"/>
                <w:sz w:val="18"/>
                <w:szCs w:val="18"/>
              </w:rPr>
            </w:pPr>
            <w:r w:rsidRPr="00D2239A">
              <w:rPr>
                <w:rFonts w:cs="Times New Roman"/>
                <w:sz w:val="18"/>
                <w:szCs w:val="18"/>
              </w:rPr>
              <w:t>Episode 4+ (</w:t>
            </w:r>
            <w:r w:rsidRPr="00D2239A">
              <w:rPr>
                <w:rFonts w:cs="Times New Roman"/>
                <w:i/>
                <w:iCs/>
                <w:sz w:val="18"/>
                <w:szCs w:val="18"/>
              </w:rPr>
              <w:t>n</w:t>
            </w:r>
            <m:oMath>
              <m:r>
                <w:rPr>
                  <w:rFonts w:ascii="Cambria Math" w:hAnsi="Cambria Math" w:cs="Times New Roman"/>
                  <w:sz w:val="18"/>
                  <w:szCs w:val="18"/>
                </w:rPr>
                <m:t>≥</m:t>
              </m:r>
            </m:oMath>
            <w:r w:rsidRPr="00D2239A">
              <w:rPr>
                <w:rFonts w:cs="Times New Roman"/>
                <w:sz w:val="18"/>
                <w:szCs w:val="18"/>
              </w:rPr>
              <w:t>4)</w:t>
            </w:r>
          </w:p>
        </w:tc>
        <w:tc>
          <w:tcPr>
            <w:tcW w:w="2160" w:type="dxa"/>
          </w:tcPr>
          <w:p w14:paraId="56B4C553"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0.801</w:t>
            </w:r>
          </w:p>
        </w:tc>
        <w:tc>
          <w:tcPr>
            <w:tcW w:w="1440" w:type="dxa"/>
          </w:tcPr>
          <w:p w14:paraId="7002E5A1"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[0.754, 0.850]</w:t>
            </w:r>
          </w:p>
        </w:tc>
        <w:tc>
          <w:tcPr>
            <w:tcW w:w="1885" w:type="dxa"/>
          </w:tcPr>
          <w:p w14:paraId="3A304195" w14:textId="77777777" w:rsidR="0058100D" w:rsidRPr="00D2239A" w:rsidRDefault="0058100D" w:rsidP="00435936">
            <w:pPr>
              <w:spacing w:line="276" w:lineRule="auto"/>
              <w:rPr>
                <w:rFonts w:cs="Times New Roman"/>
                <w:sz w:val="18"/>
                <w:szCs w:val="18"/>
              </w:rPr>
            </w:pPr>
            <w:proofErr w:type="spellStart"/>
            <w:r w:rsidRPr="00D2239A">
              <w:rPr>
                <w:rFonts w:cs="Times New Roman"/>
                <w:sz w:val="18"/>
                <w:szCs w:val="18"/>
              </w:rPr>
              <w:t>Nosyk</w:t>
            </w:r>
            <w:proofErr w:type="spellEnd"/>
            <w:r w:rsidRPr="00D2239A">
              <w:rPr>
                <w:rFonts w:cs="Times New Roman"/>
                <w:sz w:val="18"/>
                <w:szCs w:val="18"/>
              </w:rPr>
              <w:t xml:space="preserve"> </w:t>
            </w:r>
            <w:r w:rsidRPr="00D2239A">
              <w:rPr>
                <w:rFonts w:cs="Times New Roman"/>
                <w:i/>
                <w:iCs/>
                <w:sz w:val="18"/>
                <w:szCs w:val="18"/>
              </w:rPr>
              <w:t>et al.</w:t>
            </w:r>
            <w:r w:rsidRPr="00D2239A">
              <w:rPr>
                <w:rFonts w:cs="Times New Roman"/>
                <w:sz w:val="18"/>
                <w:szCs w:val="18"/>
              </w:rPr>
              <w:t xml:space="preserve"> (2009)</w:t>
            </w:r>
            <w:r w:rsidRPr="00D2239A">
              <w:rPr>
                <w:rFonts w:cs="Times New Roman"/>
                <w:sz w:val="18"/>
                <w:szCs w:val="18"/>
              </w:rPr>
              <w:fldChar w:fldCharType="begin"/>
            </w:r>
            <w:r>
              <w:rPr>
                <w:rFonts w:cs="Times New Roman"/>
                <w:sz w:val="18"/>
                <w:szCs w:val="18"/>
              </w:rPr>
              <w:instrText xml:space="preserve"> ADDIN EN.CITE &lt;EndNote&gt;&lt;Cite&gt;&lt;Author&gt;Nosyk&lt;/Author&gt;&lt;Year&gt;2009&lt;/Year&gt;&lt;RecNum&gt;17&lt;/RecNum&gt;&lt;DisplayText&gt;&lt;style face="superscript"&gt;26&lt;/style&gt;&lt;/DisplayText&gt;&lt;record&gt;&lt;rec-number&gt;17&lt;/rec-number&gt;&lt;foreign-keys&gt;&lt;key app="EN" db-id="xxft2ztdi9wf0qee0zovvtvrpefvetvvad02" timestamp="1691429454" guid="46b2b3f1-3d3a-4a08-a0b5-640fc1cde622"&gt;17&lt;/key&gt;&lt;/foreign-keys&gt;&lt;ref-type name="Journal Article"&gt;17&lt;/ref-type&gt;&lt;contributors&gt;&lt;authors&gt;&lt;author&gt;Nosyk, Bohdan&lt;/author&gt;&lt;author&gt;MacNab, Ying C&lt;/author&gt;&lt;author&gt;Sun, Huiying&lt;/author&gt;&lt;author&gt;Fischer, Benedikt&lt;/author&gt;&lt;author&gt;Marsh, David C&lt;/author&gt;&lt;author&gt;Schechter, Martin T&lt;/author&gt;&lt;author&gt;Anis, Aslam H&lt;/author&gt;&lt;/authors&gt;&lt;/contributors&gt;&lt;titles&gt;&lt;title&gt;Proportional hazards frailty models for recurrent methadone maintenance treatment&lt;/title&gt;&lt;secondary-title&gt;American journal of epidemiology&lt;/secondary-title&gt;&lt;/titles&gt;&lt;periodical&gt;&lt;full-title&gt;American journal of epidemiology&lt;/full-title&gt;&lt;/periodical&gt;&lt;pages&gt;783-792&lt;/pages&gt;&lt;volume&gt;170&lt;/volume&gt;&lt;number&gt;6&lt;/number&gt;&lt;dates&gt;&lt;year&gt;2009&lt;/year&gt;&lt;/dates&gt;&lt;isbn&gt;1476-6256&lt;/isbn&gt;&lt;urls&gt;&lt;/urls&gt;&lt;/record&gt;&lt;/Cite&gt;&lt;/EndNote&gt;</w:instrText>
            </w:r>
            <w:r w:rsidRPr="00D2239A">
              <w:rPr>
                <w:rFonts w:cs="Times New Roman"/>
                <w:sz w:val="18"/>
                <w:szCs w:val="18"/>
              </w:rPr>
              <w:fldChar w:fldCharType="separate"/>
            </w:r>
            <w:r w:rsidRPr="00EF4FB4">
              <w:rPr>
                <w:rFonts w:cs="Times New Roman"/>
                <w:noProof/>
                <w:sz w:val="18"/>
                <w:szCs w:val="18"/>
                <w:vertAlign w:val="superscript"/>
              </w:rPr>
              <w:t>26</w:t>
            </w:r>
            <w:r w:rsidRPr="00D2239A">
              <w:rPr>
                <w:rFonts w:cs="Times New Roman"/>
                <w:sz w:val="18"/>
                <w:szCs w:val="18"/>
              </w:rPr>
              <w:fldChar w:fldCharType="end"/>
            </w:r>
          </w:p>
        </w:tc>
      </w:tr>
      <w:tr w:rsidR="0058100D" w:rsidRPr="00D2239A" w14:paraId="29B8DB37" w14:textId="77777777" w:rsidTr="00435936">
        <w:tc>
          <w:tcPr>
            <w:tcW w:w="3865" w:type="dxa"/>
          </w:tcPr>
          <w:p w14:paraId="7D006F5A" w14:textId="77777777" w:rsidR="0058100D" w:rsidRPr="00D2239A" w:rsidRDefault="0058100D" w:rsidP="00435936">
            <w:pPr>
              <w:spacing w:line="276" w:lineRule="auto"/>
              <w:rPr>
                <w:rFonts w:cs="Times New Roman"/>
                <w:sz w:val="18"/>
                <w:szCs w:val="18"/>
              </w:rPr>
            </w:pPr>
            <w:r w:rsidRPr="00D2239A">
              <w:rPr>
                <w:rFonts w:cs="Times New Roman"/>
                <w:sz w:val="18"/>
                <w:szCs w:val="18"/>
              </w:rPr>
              <w:t xml:space="preserve">From </w:t>
            </w:r>
            <w:r w:rsidRPr="00D2239A">
              <w:rPr>
                <w:rFonts w:cs="Times New Roman"/>
                <w:i/>
                <w:iCs/>
                <w:sz w:val="18"/>
                <w:szCs w:val="18"/>
              </w:rPr>
              <w:t>OUD</w:t>
            </w:r>
            <w:r w:rsidRPr="00D2239A">
              <w:rPr>
                <w:rFonts w:cs="Times New Roman"/>
                <w:sz w:val="18"/>
                <w:szCs w:val="18"/>
              </w:rPr>
              <w:t xml:space="preserve"> to </w:t>
            </w:r>
            <w:r w:rsidRPr="00D2239A">
              <w:rPr>
                <w:rFonts w:cs="Times New Roman"/>
                <w:i/>
                <w:iCs/>
                <w:sz w:val="18"/>
                <w:szCs w:val="18"/>
              </w:rPr>
              <w:t>Recovery</w:t>
            </w:r>
          </w:p>
        </w:tc>
        <w:tc>
          <w:tcPr>
            <w:tcW w:w="2160" w:type="dxa"/>
          </w:tcPr>
          <w:p w14:paraId="14BCC077"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0.0056</w:t>
            </w:r>
          </w:p>
        </w:tc>
        <w:tc>
          <w:tcPr>
            <w:tcW w:w="1440" w:type="dxa"/>
          </w:tcPr>
          <w:p w14:paraId="283056F2" w14:textId="77777777" w:rsidR="0058100D" w:rsidRPr="00D2239A" w:rsidRDefault="0058100D" w:rsidP="00435936">
            <w:pPr>
              <w:spacing w:line="276" w:lineRule="auto"/>
              <w:jc w:val="center"/>
              <w:rPr>
                <w:rFonts w:cs="Times New Roman"/>
                <w:sz w:val="18"/>
                <w:szCs w:val="18"/>
              </w:rPr>
            </w:pPr>
          </w:p>
        </w:tc>
        <w:tc>
          <w:tcPr>
            <w:tcW w:w="1885" w:type="dxa"/>
          </w:tcPr>
          <w:p w14:paraId="618440DA" w14:textId="77777777" w:rsidR="0058100D" w:rsidRPr="00D2239A" w:rsidRDefault="0058100D" w:rsidP="00435936">
            <w:pPr>
              <w:spacing w:line="276" w:lineRule="auto"/>
              <w:rPr>
                <w:rFonts w:cs="Times New Roman"/>
                <w:sz w:val="18"/>
                <w:szCs w:val="18"/>
              </w:rPr>
            </w:pPr>
            <w:r w:rsidRPr="00D2239A">
              <w:rPr>
                <w:rFonts w:cs="Times New Roman"/>
                <w:sz w:val="18"/>
                <w:szCs w:val="18"/>
              </w:rPr>
              <w:t xml:space="preserve">Fleury </w:t>
            </w:r>
            <w:r w:rsidRPr="00D2239A">
              <w:rPr>
                <w:rFonts w:cs="Times New Roman"/>
                <w:i/>
                <w:iCs/>
                <w:sz w:val="18"/>
                <w:szCs w:val="18"/>
              </w:rPr>
              <w:t>et al.</w:t>
            </w:r>
            <w:r w:rsidRPr="00D2239A">
              <w:rPr>
                <w:rFonts w:cs="Times New Roman"/>
                <w:sz w:val="18"/>
                <w:szCs w:val="18"/>
              </w:rPr>
              <w:t xml:space="preserve"> (2016)</w:t>
            </w:r>
            <w:r w:rsidRPr="00D2239A">
              <w:rPr>
                <w:rFonts w:cs="Times New Roman"/>
                <w:sz w:val="18"/>
                <w:szCs w:val="18"/>
              </w:rPr>
              <w:fldChar w:fldCharType="begin"/>
            </w:r>
            <w:r>
              <w:rPr>
                <w:rFonts w:cs="Times New Roman"/>
                <w:sz w:val="18"/>
                <w:szCs w:val="18"/>
              </w:rPr>
              <w:instrText xml:space="preserve"> ADDIN EN.CITE &lt;EndNote&gt;&lt;Cite&gt;&lt;Author&gt;Fleury&lt;/Author&gt;&lt;Year&gt;2016&lt;/Year&gt;&lt;RecNum&gt;134&lt;/RecNum&gt;&lt;DisplayText&gt;&lt;style face="superscript"&gt;22&lt;/style&gt;&lt;/DisplayText&gt;&lt;record&gt;&lt;rec-number&gt;134&lt;/rec-number&gt;&lt;foreign-keys&gt;&lt;key app="EN" db-id="ffv9f0td1taf24ev0z1paazh2dx55xvtwsv9" timestamp="1713388380"&gt;134&lt;/key&gt;&lt;/foreign-keys&gt;&lt;ref-type name="Journal Article"&gt;17&lt;/ref-type&gt;&lt;contributors&gt;&lt;authors&gt;&lt;author&gt;Fleury, M-J&lt;/author&gt;&lt;author&gt;Djouini, Akram&lt;/author&gt;&lt;author&gt;Huỳnh, Christophe&lt;/author&gt;&lt;author&gt;Tremblay, Joël&lt;/author&gt;&lt;author&gt;Ferland, Francine&lt;/author&gt;&lt;author&gt;Ménard, J-M&lt;/author&gt;&lt;author&gt;Belleville, Geneviève&lt;/author&gt;&lt;/authors&gt;&lt;/contributors&gt;&lt;titles&gt;&lt;title&gt;Remission from substance use disorders: A systematic review and meta-analysis&lt;/title&gt;&lt;secondary-title&gt;Drug and alcohol dependence&lt;/secondary-title&gt;&lt;/titles&gt;&lt;periodical&gt;&lt;full-title&gt;Drug Alcohol Depend&lt;/full-title&gt;&lt;abbr-1&gt;Drug and alcohol dependence&lt;/abbr-1&gt;&lt;/periodical&gt;&lt;pages&gt;293-306&lt;/pages&gt;&lt;volume&gt;168&lt;/volume&gt;&lt;dates&gt;&lt;year&gt;2016&lt;/year&gt;&lt;/dates&gt;&lt;isbn&gt;0376-8716&lt;/isbn&gt;&lt;urls&gt;&lt;/urls&gt;&lt;/record&gt;&lt;/Cite&gt;&lt;/EndNote&gt;</w:instrText>
            </w:r>
            <w:r w:rsidRPr="00D2239A">
              <w:rPr>
                <w:rFonts w:cs="Times New Roman"/>
                <w:sz w:val="18"/>
                <w:szCs w:val="18"/>
              </w:rPr>
              <w:fldChar w:fldCharType="separate"/>
            </w:r>
            <w:r w:rsidRPr="00EF4FB4">
              <w:rPr>
                <w:rFonts w:cs="Times New Roman"/>
                <w:noProof/>
                <w:sz w:val="18"/>
                <w:szCs w:val="18"/>
                <w:vertAlign w:val="superscript"/>
              </w:rPr>
              <w:t>22</w:t>
            </w:r>
            <w:r w:rsidRPr="00D2239A">
              <w:rPr>
                <w:rFonts w:cs="Times New Roman"/>
                <w:sz w:val="18"/>
                <w:szCs w:val="18"/>
              </w:rPr>
              <w:fldChar w:fldCharType="end"/>
            </w:r>
          </w:p>
        </w:tc>
      </w:tr>
      <w:tr w:rsidR="0058100D" w:rsidRPr="00D2239A" w14:paraId="197856A5" w14:textId="77777777" w:rsidTr="00435936">
        <w:tc>
          <w:tcPr>
            <w:tcW w:w="3865" w:type="dxa"/>
          </w:tcPr>
          <w:p w14:paraId="33BE95A9" w14:textId="77777777" w:rsidR="0058100D" w:rsidRPr="00D2239A" w:rsidRDefault="0058100D" w:rsidP="00435936">
            <w:pPr>
              <w:spacing w:line="276" w:lineRule="auto"/>
              <w:rPr>
                <w:rFonts w:cs="Times New Roman"/>
                <w:sz w:val="18"/>
                <w:szCs w:val="18"/>
              </w:rPr>
            </w:pPr>
            <w:r w:rsidRPr="00D2239A">
              <w:rPr>
                <w:rFonts w:cs="Times New Roman"/>
                <w:b/>
                <w:bCs/>
                <w:sz w:val="18"/>
                <w:szCs w:val="18"/>
              </w:rPr>
              <w:t>Overdose pathway parameters</w:t>
            </w:r>
          </w:p>
        </w:tc>
        <w:tc>
          <w:tcPr>
            <w:tcW w:w="2160" w:type="dxa"/>
          </w:tcPr>
          <w:p w14:paraId="31805594" w14:textId="77777777" w:rsidR="0058100D" w:rsidRPr="00D2239A" w:rsidRDefault="0058100D" w:rsidP="00435936">
            <w:pPr>
              <w:spacing w:line="276" w:lineRule="auto"/>
              <w:jc w:val="center"/>
              <w:rPr>
                <w:rFonts w:cs="Times New Roman"/>
                <w:sz w:val="18"/>
                <w:szCs w:val="18"/>
              </w:rPr>
            </w:pPr>
          </w:p>
        </w:tc>
        <w:tc>
          <w:tcPr>
            <w:tcW w:w="1440" w:type="dxa"/>
          </w:tcPr>
          <w:p w14:paraId="235FD8CC" w14:textId="77777777" w:rsidR="0058100D" w:rsidRPr="00D2239A" w:rsidRDefault="0058100D" w:rsidP="00435936">
            <w:pPr>
              <w:spacing w:line="276" w:lineRule="auto"/>
              <w:jc w:val="center"/>
              <w:rPr>
                <w:rFonts w:cs="Times New Roman"/>
                <w:sz w:val="18"/>
                <w:szCs w:val="18"/>
              </w:rPr>
            </w:pPr>
          </w:p>
        </w:tc>
        <w:tc>
          <w:tcPr>
            <w:tcW w:w="1885" w:type="dxa"/>
          </w:tcPr>
          <w:p w14:paraId="2F0CCF45" w14:textId="77777777" w:rsidR="0058100D" w:rsidRPr="00D2239A" w:rsidRDefault="0058100D" w:rsidP="00435936">
            <w:pPr>
              <w:spacing w:line="276" w:lineRule="auto"/>
              <w:rPr>
                <w:rFonts w:cs="Times New Roman"/>
                <w:sz w:val="18"/>
                <w:szCs w:val="18"/>
              </w:rPr>
            </w:pPr>
            <w:r w:rsidRPr="00D2239A">
              <w:rPr>
                <w:rFonts w:cs="Times New Roman"/>
                <w:sz w:val="18"/>
                <w:szCs w:val="18"/>
              </w:rPr>
              <w:t>Supplement S</w:t>
            </w:r>
            <w:r>
              <w:rPr>
                <w:rFonts w:cs="Times New Roman"/>
                <w:sz w:val="18"/>
                <w:szCs w:val="18"/>
              </w:rPr>
              <w:t>2</w:t>
            </w:r>
            <w:r w:rsidRPr="00D2239A">
              <w:rPr>
                <w:rFonts w:cs="Times New Roman"/>
                <w:sz w:val="18"/>
                <w:szCs w:val="18"/>
              </w:rPr>
              <w:t>.4.1</w:t>
            </w:r>
          </w:p>
        </w:tc>
      </w:tr>
      <w:tr w:rsidR="0058100D" w:rsidRPr="00D2239A" w14:paraId="1C2A9059" w14:textId="77777777" w:rsidTr="00435936">
        <w:tc>
          <w:tcPr>
            <w:tcW w:w="3865" w:type="dxa"/>
          </w:tcPr>
          <w:p w14:paraId="38A0C3D8" w14:textId="77777777" w:rsidR="0058100D" w:rsidRPr="00D2239A" w:rsidRDefault="0058100D" w:rsidP="00435936">
            <w:pPr>
              <w:spacing w:line="276" w:lineRule="auto"/>
              <w:rPr>
                <w:rFonts w:cs="Times New Roman"/>
                <w:sz w:val="18"/>
                <w:szCs w:val="18"/>
              </w:rPr>
            </w:pPr>
            <w:r w:rsidRPr="00D2239A">
              <w:rPr>
                <w:rFonts w:cs="Times New Roman"/>
                <w:sz w:val="18"/>
                <w:szCs w:val="18"/>
              </w:rPr>
              <w:t>Baseline overdose probability</w:t>
            </w:r>
          </w:p>
        </w:tc>
        <w:tc>
          <w:tcPr>
            <w:tcW w:w="2160" w:type="dxa"/>
          </w:tcPr>
          <w:p w14:paraId="0A860F63"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Calibrated</w:t>
            </w:r>
          </w:p>
        </w:tc>
        <w:tc>
          <w:tcPr>
            <w:tcW w:w="1440" w:type="dxa"/>
          </w:tcPr>
          <w:p w14:paraId="5408FB3E" w14:textId="77777777" w:rsidR="0058100D" w:rsidRPr="00D2239A" w:rsidRDefault="0058100D" w:rsidP="00435936">
            <w:pPr>
              <w:spacing w:line="276" w:lineRule="auto"/>
              <w:jc w:val="center"/>
              <w:rPr>
                <w:rFonts w:cs="Times New Roman"/>
                <w:sz w:val="18"/>
                <w:szCs w:val="18"/>
              </w:rPr>
            </w:pPr>
          </w:p>
        </w:tc>
        <w:tc>
          <w:tcPr>
            <w:tcW w:w="1885" w:type="dxa"/>
          </w:tcPr>
          <w:p w14:paraId="779B4ECA" w14:textId="77777777" w:rsidR="0058100D" w:rsidRPr="00D2239A" w:rsidRDefault="0058100D" w:rsidP="00435936">
            <w:pPr>
              <w:spacing w:line="276" w:lineRule="auto"/>
              <w:rPr>
                <w:rFonts w:cs="Times New Roman"/>
                <w:sz w:val="18"/>
                <w:szCs w:val="18"/>
              </w:rPr>
            </w:pPr>
          </w:p>
        </w:tc>
      </w:tr>
      <w:tr w:rsidR="0058100D" w:rsidRPr="00D2239A" w14:paraId="2BB9CA6D" w14:textId="77777777" w:rsidTr="00435936">
        <w:tc>
          <w:tcPr>
            <w:tcW w:w="3865" w:type="dxa"/>
          </w:tcPr>
          <w:p w14:paraId="27F06EA4" w14:textId="77777777" w:rsidR="0058100D" w:rsidRPr="00D2239A" w:rsidRDefault="0058100D" w:rsidP="00435936">
            <w:pPr>
              <w:spacing w:line="276" w:lineRule="auto"/>
              <w:ind w:left="370"/>
              <w:rPr>
                <w:rFonts w:cs="Times New Roman"/>
                <w:sz w:val="18"/>
                <w:szCs w:val="18"/>
              </w:rPr>
            </w:pPr>
            <w:r w:rsidRPr="00D2239A">
              <w:rPr>
                <w:rFonts w:cs="Times New Roman"/>
                <w:sz w:val="18"/>
                <w:szCs w:val="18"/>
              </w:rPr>
              <w:t xml:space="preserve">RR for prescription opioid </w:t>
            </w:r>
            <w:r>
              <w:rPr>
                <w:rFonts w:cs="Times New Roman"/>
                <w:sz w:val="18"/>
                <w:szCs w:val="18"/>
              </w:rPr>
              <w:t>use</w:t>
            </w:r>
          </w:p>
        </w:tc>
        <w:tc>
          <w:tcPr>
            <w:tcW w:w="2160" w:type="dxa"/>
          </w:tcPr>
          <w:p w14:paraId="4DD147EB"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Calibrated</w:t>
            </w:r>
          </w:p>
        </w:tc>
        <w:tc>
          <w:tcPr>
            <w:tcW w:w="1440" w:type="dxa"/>
          </w:tcPr>
          <w:p w14:paraId="70C0E101" w14:textId="77777777" w:rsidR="0058100D" w:rsidRPr="00D2239A" w:rsidRDefault="0058100D" w:rsidP="00435936">
            <w:pPr>
              <w:spacing w:line="276" w:lineRule="auto"/>
              <w:jc w:val="center"/>
              <w:rPr>
                <w:rFonts w:cs="Times New Roman"/>
                <w:sz w:val="18"/>
                <w:szCs w:val="18"/>
              </w:rPr>
            </w:pPr>
          </w:p>
        </w:tc>
        <w:tc>
          <w:tcPr>
            <w:tcW w:w="1885" w:type="dxa"/>
          </w:tcPr>
          <w:p w14:paraId="3284CD03" w14:textId="77777777" w:rsidR="0058100D" w:rsidRPr="00D2239A" w:rsidRDefault="0058100D" w:rsidP="00435936">
            <w:pPr>
              <w:spacing w:line="276" w:lineRule="auto"/>
              <w:rPr>
                <w:rFonts w:cs="Times New Roman"/>
                <w:sz w:val="18"/>
                <w:szCs w:val="18"/>
              </w:rPr>
            </w:pPr>
          </w:p>
        </w:tc>
      </w:tr>
      <w:tr w:rsidR="0058100D" w:rsidRPr="00D2239A" w14:paraId="336EA8BA" w14:textId="77777777" w:rsidTr="00435936">
        <w:tc>
          <w:tcPr>
            <w:tcW w:w="3865" w:type="dxa"/>
          </w:tcPr>
          <w:p w14:paraId="11978560" w14:textId="77777777" w:rsidR="0058100D" w:rsidRPr="00D2239A" w:rsidRDefault="0058100D" w:rsidP="00435936">
            <w:pPr>
              <w:spacing w:line="276" w:lineRule="auto"/>
              <w:ind w:left="370"/>
              <w:rPr>
                <w:rFonts w:cs="Times New Roman"/>
                <w:sz w:val="18"/>
                <w:szCs w:val="18"/>
              </w:rPr>
            </w:pPr>
            <w:r w:rsidRPr="00D2239A">
              <w:rPr>
                <w:rFonts w:cs="Times New Roman"/>
                <w:sz w:val="18"/>
                <w:szCs w:val="18"/>
              </w:rPr>
              <w:t>RR for illicit opioid use</w:t>
            </w:r>
          </w:p>
        </w:tc>
        <w:tc>
          <w:tcPr>
            <w:tcW w:w="2160" w:type="dxa"/>
          </w:tcPr>
          <w:p w14:paraId="7CE47C2D"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Calibrated</w:t>
            </w:r>
          </w:p>
        </w:tc>
        <w:tc>
          <w:tcPr>
            <w:tcW w:w="1440" w:type="dxa"/>
          </w:tcPr>
          <w:p w14:paraId="647CD56A" w14:textId="77777777" w:rsidR="0058100D" w:rsidRPr="00D2239A" w:rsidRDefault="0058100D" w:rsidP="00435936">
            <w:pPr>
              <w:spacing w:line="276" w:lineRule="auto"/>
              <w:jc w:val="center"/>
              <w:rPr>
                <w:rFonts w:cs="Times New Roman"/>
                <w:sz w:val="18"/>
                <w:szCs w:val="18"/>
              </w:rPr>
            </w:pPr>
          </w:p>
        </w:tc>
        <w:tc>
          <w:tcPr>
            <w:tcW w:w="1885" w:type="dxa"/>
          </w:tcPr>
          <w:p w14:paraId="24142225" w14:textId="77777777" w:rsidR="0058100D" w:rsidRPr="00D2239A" w:rsidRDefault="0058100D" w:rsidP="00435936">
            <w:pPr>
              <w:spacing w:line="276" w:lineRule="auto"/>
              <w:rPr>
                <w:rFonts w:cs="Times New Roman"/>
                <w:sz w:val="18"/>
                <w:szCs w:val="18"/>
              </w:rPr>
            </w:pPr>
          </w:p>
        </w:tc>
      </w:tr>
      <w:tr w:rsidR="0058100D" w:rsidRPr="00D2239A" w14:paraId="7A121FB1" w14:textId="77777777" w:rsidTr="00435936">
        <w:tc>
          <w:tcPr>
            <w:tcW w:w="3865" w:type="dxa"/>
          </w:tcPr>
          <w:p w14:paraId="374BC5C2" w14:textId="77777777" w:rsidR="0058100D" w:rsidRPr="00D2239A" w:rsidRDefault="0058100D" w:rsidP="00435936">
            <w:pPr>
              <w:spacing w:line="276" w:lineRule="auto"/>
              <w:rPr>
                <w:rFonts w:cs="Times New Roman"/>
                <w:sz w:val="18"/>
                <w:szCs w:val="18"/>
              </w:rPr>
            </w:pPr>
            <w:r w:rsidRPr="00D2239A">
              <w:rPr>
                <w:rFonts w:cs="Times New Roman"/>
                <w:sz w:val="18"/>
                <w:szCs w:val="18"/>
              </w:rPr>
              <w:t>Probability of overdose being witnessed</w:t>
            </w:r>
          </w:p>
        </w:tc>
        <w:tc>
          <w:tcPr>
            <w:tcW w:w="2160" w:type="dxa"/>
          </w:tcPr>
          <w:p w14:paraId="70EE6350"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0.82</w:t>
            </w:r>
          </w:p>
        </w:tc>
        <w:tc>
          <w:tcPr>
            <w:tcW w:w="1440" w:type="dxa"/>
          </w:tcPr>
          <w:p w14:paraId="0464EAFA"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[0.75, 0.88]</w:t>
            </w:r>
          </w:p>
        </w:tc>
        <w:tc>
          <w:tcPr>
            <w:tcW w:w="1885" w:type="dxa"/>
          </w:tcPr>
          <w:p w14:paraId="2E97367D" w14:textId="77777777" w:rsidR="0058100D" w:rsidRPr="00D2239A" w:rsidRDefault="0058100D" w:rsidP="00435936">
            <w:pPr>
              <w:spacing w:line="276" w:lineRule="auto"/>
              <w:rPr>
                <w:rFonts w:cs="Times New Roman"/>
                <w:sz w:val="18"/>
                <w:szCs w:val="18"/>
              </w:rPr>
            </w:pPr>
            <w:r w:rsidRPr="00D2239A">
              <w:rPr>
                <w:rFonts w:cs="Times New Roman"/>
                <w:sz w:val="18"/>
                <w:szCs w:val="18"/>
              </w:rPr>
              <w:t xml:space="preserve">Zang </w:t>
            </w:r>
            <w:r w:rsidRPr="00D2239A">
              <w:rPr>
                <w:rFonts w:cs="Times New Roman"/>
                <w:i/>
                <w:iCs/>
                <w:sz w:val="18"/>
                <w:szCs w:val="18"/>
              </w:rPr>
              <w:t>et al.</w:t>
            </w:r>
            <w:r w:rsidRPr="00D2239A">
              <w:rPr>
                <w:rFonts w:cs="Times New Roman"/>
                <w:sz w:val="18"/>
                <w:szCs w:val="18"/>
              </w:rPr>
              <w:t xml:space="preserve"> (2022)</w:t>
            </w:r>
            <w:r w:rsidRPr="00D2239A">
              <w:rPr>
                <w:rFonts w:cs="Times New Roman"/>
                <w:sz w:val="18"/>
                <w:szCs w:val="18"/>
              </w:rPr>
              <w:fldChar w:fldCharType="begin"/>
            </w:r>
            <w:r>
              <w:rPr>
                <w:rFonts w:cs="Times New Roman"/>
                <w:sz w:val="18"/>
                <w:szCs w:val="18"/>
              </w:rPr>
              <w:instrText xml:space="preserve"> ADDIN EN.CITE &lt;EndNote&gt;&lt;Cite&gt;&lt;Author&gt;Zang&lt;/Author&gt;&lt;Year&gt;2022&lt;/Year&gt;&lt;RecNum&gt;136&lt;/RecNum&gt;&lt;DisplayText&gt;&lt;style face="superscript"&gt;27&lt;/style&gt;&lt;/DisplayText&gt;&lt;record&gt;&lt;rec-number&gt;136&lt;/rec-number&gt;&lt;foreign-keys&gt;&lt;key app="EN" db-id="ffv9f0td1taf24ev0z1paazh2dx55xvtwsv9" timestamp="1713388380"&gt;136&lt;/key&gt;&lt;/foreign-keys&gt;&lt;ref-type name="Journal Article"&gt;17&lt;/ref-type&gt;&lt;contributors&gt;&lt;authors&gt;&lt;author&gt;Zang, Xiao&lt;/author&gt;&lt;author&gt;Bessey, Sam E&lt;/author&gt;&lt;author&gt;Krieger, Maxwell S&lt;/author&gt;&lt;author&gt;Hallowell, Benjamin D&lt;/author&gt;&lt;author&gt;Koziol, Jennifer A&lt;/author&gt;&lt;author&gt;Nolen, Shayla&lt;/author&gt;&lt;author&gt;Behrends, Czarina N&lt;/author&gt;&lt;author&gt;Murphy, Sean M&lt;/author&gt;&lt;author&gt;Walley, Alexander Y&lt;/author&gt;&lt;author&gt;Linas, Benjamin P&lt;/author&gt;&lt;/authors&gt;&lt;/contributors&gt;&lt;titles&gt;&lt;title&gt;Comparing projected fatal overdose outcomes and costs of strategies to expand community-based distribution of naloxone in Rhode Island&lt;/title&gt;&lt;secondary-title&gt;JAMA Network Open&lt;/secondary-title&gt;&lt;/titles&gt;&lt;periodical&gt;&lt;full-title&gt;JAMA Network Open&lt;/full-title&gt;&lt;/periodical&gt;&lt;pages&gt;e2241174-e2241174&lt;/pages&gt;&lt;volume&gt;5&lt;/volume&gt;&lt;number&gt;11&lt;/number&gt;&lt;dates&gt;&lt;year&gt;2022&lt;/year&gt;&lt;/dates&gt;&lt;urls&gt;&lt;/urls&gt;&lt;/record&gt;&lt;/Cite&gt;&lt;/EndNote&gt;</w:instrText>
            </w:r>
            <w:r w:rsidRPr="00D2239A">
              <w:rPr>
                <w:rFonts w:cs="Times New Roman"/>
                <w:sz w:val="18"/>
                <w:szCs w:val="18"/>
              </w:rPr>
              <w:fldChar w:fldCharType="separate"/>
            </w:r>
            <w:r w:rsidRPr="00EF4FB4">
              <w:rPr>
                <w:rFonts w:cs="Times New Roman"/>
                <w:noProof/>
                <w:sz w:val="18"/>
                <w:szCs w:val="18"/>
                <w:vertAlign w:val="superscript"/>
              </w:rPr>
              <w:t>27</w:t>
            </w:r>
            <w:r w:rsidRPr="00D2239A">
              <w:rPr>
                <w:rFonts w:cs="Times New Roman"/>
                <w:sz w:val="18"/>
                <w:szCs w:val="18"/>
              </w:rPr>
              <w:fldChar w:fldCharType="end"/>
            </w:r>
          </w:p>
        </w:tc>
      </w:tr>
      <w:tr w:rsidR="0058100D" w:rsidRPr="00D2239A" w14:paraId="066280E1" w14:textId="77777777" w:rsidTr="00435936">
        <w:tc>
          <w:tcPr>
            <w:tcW w:w="3865" w:type="dxa"/>
          </w:tcPr>
          <w:p w14:paraId="2456B1AE" w14:textId="77777777" w:rsidR="0058100D" w:rsidRPr="00D2239A" w:rsidRDefault="0058100D" w:rsidP="00435936">
            <w:pPr>
              <w:spacing w:line="276" w:lineRule="auto"/>
              <w:rPr>
                <w:rFonts w:cs="Times New Roman"/>
                <w:sz w:val="18"/>
                <w:szCs w:val="18"/>
              </w:rPr>
            </w:pPr>
            <w:r w:rsidRPr="00D2239A">
              <w:rPr>
                <w:rFonts w:cs="Times New Roman"/>
                <w:sz w:val="18"/>
                <w:szCs w:val="18"/>
              </w:rPr>
              <w:t xml:space="preserve">Baseline probability the overdose being fatal for </w:t>
            </w:r>
            <w:r w:rsidRPr="00D2239A">
              <w:rPr>
                <w:rFonts w:cs="Times New Roman"/>
                <w:i/>
                <w:iCs/>
                <w:sz w:val="18"/>
                <w:szCs w:val="18"/>
              </w:rPr>
              <w:t>OUD</w:t>
            </w:r>
            <w:r w:rsidRPr="00D2239A">
              <w:rPr>
                <w:rFonts w:cs="Times New Roman"/>
                <w:sz w:val="18"/>
                <w:szCs w:val="18"/>
              </w:rPr>
              <w:t xml:space="preserve"> state, </w:t>
            </w:r>
            <m:oMath>
              <m:sSubSup>
                <m:sSubSupPr>
                  <m:ctrlPr>
                    <w:rPr>
                      <w:rFonts w:ascii="Cambria Math" w:hAnsi="Cambria Math" w:cs="Times New Roman"/>
                      <w:i/>
                      <w:sz w:val="18"/>
                      <w:szCs w:val="18"/>
                    </w:rPr>
                  </m:ctrlPr>
                </m:sSubSupPr>
                <m:e>
                  <m:r>
                    <w:rPr>
                      <w:rFonts w:ascii="Cambria Math" w:hAnsi="Cambria Math" w:cs="Times New Roman"/>
                      <w:sz w:val="18"/>
                      <w:szCs w:val="18"/>
                    </w:rPr>
                    <m:t>p</m:t>
                  </m:r>
                </m:e>
                <m:sub>
                  <m:r>
                    <w:rPr>
                      <w:rFonts w:ascii="Cambria Math" w:hAnsi="Cambria Math" w:cs="Times New Roman"/>
                      <w:sz w:val="18"/>
                      <w:szCs w:val="18"/>
                    </w:rPr>
                    <m:t>fatal</m:t>
                  </m:r>
                </m:sub>
                <m:sup>
                  <m:r>
                    <w:rPr>
                      <w:rFonts w:ascii="Cambria Math" w:hAnsi="Cambria Math" w:cs="Times New Roman"/>
                      <w:sz w:val="18"/>
                      <w:szCs w:val="18"/>
                    </w:rPr>
                    <m:t>base</m:t>
                  </m:r>
                </m:sup>
              </m:sSubSup>
            </m:oMath>
          </w:p>
        </w:tc>
        <w:tc>
          <w:tcPr>
            <w:tcW w:w="2160" w:type="dxa"/>
          </w:tcPr>
          <w:p w14:paraId="2CEB14BD"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Calibrated</w:t>
            </w:r>
          </w:p>
        </w:tc>
        <w:tc>
          <w:tcPr>
            <w:tcW w:w="1440" w:type="dxa"/>
          </w:tcPr>
          <w:p w14:paraId="518756CC" w14:textId="77777777" w:rsidR="0058100D" w:rsidRPr="00D2239A" w:rsidRDefault="0058100D" w:rsidP="00435936">
            <w:pPr>
              <w:spacing w:line="276" w:lineRule="auto"/>
              <w:jc w:val="center"/>
              <w:rPr>
                <w:rFonts w:cs="Times New Roman"/>
                <w:sz w:val="18"/>
                <w:szCs w:val="18"/>
              </w:rPr>
            </w:pPr>
          </w:p>
        </w:tc>
        <w:tc>
          <w:tcPr>
            <w:tcW w:w="1885" w:type="dxa"/>
          </w:tcPr>
          <w:p w14:paraId="5019BC88" w14:textId="77777777" w:rsidR="0058100D" w:rsidRPr="00D2239A" w:rsidRDefault="0058100D" w:rsidP="00435936">
            <w:pPr>
              <w:spacing w:line="276" w:lineRule="auto"/>
              <w:rPr>
                <w:rFonts w:cs="Times New Roman"/>
                <w:sz w:val="18"/>
                <w:szCs w:val="18"/>
              </w:rPr>
            </w:pPr>
          </w:p>
        </w:tc>
      </w:tr>
      <w:tr w:rsidR="0058100D" w:rsidRPr="00D2239A" w14:paraId="232DAE4F" w14:textId="77777777" w:rsidTr="00435936">
        <w:tc>
          <w:tcPr>
            <w:tcW w:w="3865" w:type="dxa"/>
          </w:tcPr>
          <w:p w14:paraId="0BF6F88E" w14:textId="77777777" w:rsidR="0058100D" w:rsidRPr="00D2239A" w:rsidRDefault="0058100D" w:rsidP="00435936">
            <w:pPr>
              <w:spacing w:line="276" w:lineRule="auto"/>
              <w:ind w:left="370"/>
              <w:rPr>
                <w:rFonts w:cs="Times New Roman"/>
                <w:sz w:val="18"/>
                <w:szCs w:val="18"/>
              </w:rPr>
            </w:pPr>
            <w:r w:rsidRPr="00D2239A">
              <w:rPr>
                <w:rFonts w:cs="Times New Roman"/>
                <w:sz w:val="18"/>
                <w:szCs w:val="18"/>
              </w:rPr>
              <w:t xml:space="preserve">RR for </w:t>
            </w:r>
            <w:r w:rsidRPr="00D2239A">
              <w:rPr>
                <w:rFonts w:cs="Times New Roman"/>
                <w:i/>
                <w:iCs/>
                <w:sz w:val="18"/>
                <w:szCs w:val="18"/>
              </w:rPr>
              <w:t>MOUD</w:t>
            </w:r>
            <w:r w:rsidRPr="00D2239A">
              <w:rPr>
                <w:rFonts w:cs="Times New Roman"/>
                <w:sz w:val="18"/>
                <w:szCs w:val="18"/>
              </w:rPr>
              <w:t>: Month 1</w:t>
            </w:r>
          </w:p>
        </w:tc>
        <w:tc>
          <w:tcPr>
            <w:tcW w:w="2160" w:type="dxa"/>
          </w:tcPr>
          <w:p w14:paraId="1CAA17A3"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0.297 (buprenorphine)</w:t>
            </w:r>
          </w:p>
          <w:p w14:paraId="44597698"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0.971 (methadone)</w:t>
            </w:r>
          </w:p>
          <w:p w14:paraId="37278FC5"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0.297 (naltrexone)</w:t>
            </w:r>
          </w:p>
        </w:tc>
        <w:tc>
          <w:tcPr>
            <w:tcW w:w="1440" w:type="dxa"/>
          </w:tcPr>
          <w:p w14:paraId="03C33749" w14:textId="77777777" w:rsidR="0058100D" w:rsidRPr="00D2239A" w:rsidRDefault="0058100D" w:rsidP="00435936">
            <w:pPr>
              <w:spacing w:line="276" w:lineRule="auto"/>
              <w:jc w:val="center"/>
              <w:rPr>
                <w:rFonts w:cs="Times New Roman"/>
                <w:sz w:val="18"/>
                <w:szCs w:val="18"/>
              </w:rPr>
            </w:pPr>
          </w:p>
        </w:tc>
        <w:tc>
          <w:tcPr>
            <w:tcW w:w="1885" w:type="dxa"/>
          </w:tcPr>
          <w:p w14:paraId="732CA044" w14:textId="77777777" w:rsidR="0058100D" w:rsidRPr="00D2239A" w:rsidRDefault="0058100D" w:rsidP="00435936">
            <w:pPr>
              <w:spacing w:line="276" w:lineRule="auto"/>
              <w:rPr>
                <w:rFonts w:cs="Times New Roman"/>
                <w:sz w:val="18"/>
                <w:szCs w:val="18"/>
                <w:lang w:val="pt-PT"/>
              </w:rPr>
            </w:pPr>
            <w:r w:rsidRPr="00D2239A">
              <w:rPr>
                <w:rFonts w:cs="Times New Roman"/>
                <w:sz w:val="18"/>
                <w:szCs w:val="18"/>
                <w:lang w:val="pt-PT"/>
              </w:rPr>
              <w:t>Santo</w:t>
            </w:r>
            <w:r w:rsidRPr="00D2239A">
              <w:rPr>
                <w:rFonts w:cs="Times New Roman"/>
                <w:i/>
                <w:iCs/>
                <w:sz w:val="18"/>
                <w:szCs w:val="18"/>
                <w:lang w:val="pt-PT"/>
              </w:rPr>
              <w:t xml:space="preserve"> et al.</w:t>
            </w:r>
            <w:r w:rsidRPr="00D2239A">
              <w:rPr>
                <w:rFonts w:cs="Times New Roman"/>
                <w:sz w:val="18"/>
                <w:szCs w:val="18"/>
                <w:lang w:val="pt-PT"/>
              </w:rPr>
              <w:t xml:space="preserve"> (2019)</w:t>
            </w:r>
            <w:r w:rsidRPr="00D2239A">
              <w:rPr>
                <w:rFonts w:cs="Times New Roman"/>
                <w:sz w:val="18"/>
                <w:szCs w:val="18"/>
              </w:rPr>
              <w:fldChar w:fldCharType="begin"/>
            </w:r>
            <w:r>
              <w:rPr>
                <w:rFonts w:cs="Times New Roman"/>
                <w:sz w:val="18"/>
                <w:szCs w:val="18"/>
              </w:rPr>
              <w:instrText xml:space="preserve"> ADDIN EN.CITE &lt;EndNote&gt;&lt;Cite&gt;&lt;Author&gt;Santo&lt;/Author&gt;&lt;Year&gt;2021&lt;/Year&gt;&lt;RecNum&gt;137&lt;/RecNum&gt;&lt;DisplayText&gt;&lt;style face="superscript"&gt;28&lt;/style&gt;&lt;/DisplayText&gt;&lt;record&gt;&lt;rec-number&gt;137&lt;/rec-number&gt;&lt;foreign-keys&gt;&lt;key app="EN" db-id="ffv9f0td1taf24ev0z1paazh2dx55xvtwsv9" timestamp="1713388380"&gt;137&lt;/key&gt;&lt;/foreign-keys&gt;&lt;ref-type name="Journal Article"&gt;17&lt;/ref-type&gt;&lt;contributors&gt;&lt;authors&gt;&lt;author&gt;Santo, Thomas&lt;/author&gt;&lt;author&gt;Clark, Brodie&lt;/author&gt;&lt;author&gt;Hickman, Matt&lt;/author&gt;&lt;author&gt;Grebely, Jason&lt;/author&gt;&lt;author&gt;Campbell, Gabrielle&lt;/author&gt;&lt;author&gt;Sordo, Luis&lt;/author&gt;&lt;author&gt;Chen, Aileen&lt;/author&gt;&lt;author&gt;Tran, Lucy Thi&lt;/author&gt;&lt;author&gt;Bharat, Chrianna&lt;/author&gt;&lt;author&gt;Padmanathan, Prianka&lt;/author&gt;&lt;/authors&gt;&lt;/contributors&gt;&lt;titles&gt;&lt;title&gt;Association of opioid agonist treatment with all-cause mortality and specific causes of death among people with opioid dependence: a systematic review and meta-analysis&lt;/title&gt;&lt;secondary-title&gt;JAMA psychiatry&lt;/secondary-title&gt;&lt;/titles&gt;&lt;periodical&gt;&lt;full-title&gt;JAMA Psychiatry&lt;/full-title&gt;&lt;/periodical&gt;&lt;pages&gt;979-993&lt;/pages&gt;&lt;volume&gt;78&lt;/volume&gt;&lt;number&gt;9&lt;/number&gt;&lt;dates&gt;&lt;year&gt;2021&lt;/year&gt;&lt;/dates&gt;&lt;isbn&gt;2168-622X&lt;/isbn&gt;&lt;urls&gt;&lt;/urls&gt;&lt;/record&gt;&lt;/Cite&gt;&lt;/EndNote&gt;</w:instrText>
            </w:r>
            <w:r w:rsidRPr="00D2239A">
              <w:rPr>
                <w:rFonts w:cs="Times New Roman"/>
                <w:sz w:val="18"/>
                <w:szCs w:val="18"/>
              </w:rPr>
              <w:fldChar w:fldCharType="separate"/>
            </w:r>
            <w:r w:rsidRPr="00EF4FB4">
              <w:rPr>
                <w:rFonts w:cs="Times New Roman"/>
                <w:noProof/>
                <w:sz w:val="18"/>
                <w:szCs w:val="18"/>
                <w:vertAlign w:val="superscript"/>
                <w:lang w:val="pt-PT"/>
              </w:rPr>
              <w:t>28</w:t>
            </w:r>
            <w:r w:rsidRPr="00D2239A">
              <w:rPr>
                <w:rFonts w:cs="Times New Roman"/>
                <w:sz w:val="18"/>
                <w:szCs w:val="18"/>
              </w:rPr>
              <w:fldChar w:fldCharType="end"/>
            </w:r>
            <w:r w:rsidRPr="00D2239A">
              <w:rPr>
                <w:rFonts w:cs="Times New Roman"/>
                <w:sz w:val="18"/>
                <w:szCs w:val="18"/>
                <w:lang w:val="pt-PT"/>
              </w:rPr>
              <w:t>,</w:t>
            </w:r>
          </w:p>
          <w:p w14:paraId="120D4C1D" w14:textId="77777777" w:rsidR="0058100D" w:rsidRPr="00D2239A" w:rsidRDefault="0058100D" w:rsidP="00435936">
            <w:pPr>
              <w:spacing w:line="276" w:lineRule="auto"/>
              <w:rPr>
                <w:rFonts w:cs="Times New Roman"/>
                <w:sz w:val="18"/>
                <w:szCs w:val="18"/>
              </w:rPr>
            </w:pPr>
            <w:r w:rsidRPr="00D2239A">
              <w:rPr>
                <w:rFonts w:cs="Times New Roman"/>
                <w:sz w:val="18"/>
                <w:szCs w:val="18"/>
                <w:lang w:val="pt-PT"/>
              </w:rPr>
              <w:t>Sordo</w:t>
            </w:r>
            <w:r w:rsidRPr="00D2239A">
              <w:rPr>
                <w:rFonts w:cs="Times New Roman"/>
                <w:i/>
                <w:iCs/>
                <w:sz w:val="18"/>
                <w:szCs w:val="18"/>
                <w:lang w:val="pt-PT"/>
              </w:rPr>
              <w:t xml:space="preserve"> et al.</w:t>
            </w:r>
            <w:r w:rsidRPr="00D2239A">
              <w:rPr>
                <w:rFonts w:cs="Times New Roman"/>
                <w:sz w:val="18"/>
                <w:szCs w:val="18"/>
                <w:lang w:val="pt-PT"/>
              </w:rPr>
              <w:t xml:space="preserve"> </w:t>
            </w:r>
            <w:r w:rsidRPr="00D2239A">
              <w:rPr>
                <w:rFonts w:cs="Times New Roman"/>
                <w:sz w:val="18"/>
                <w:szCs w:val="18"/>
              </w:rPr>
              <w:t>(2017)</w:t>
            </w:r>
            <w:r w:rsidRPr="00D2239A">
              <w:rPr>
                <w:rFonts w:cs="Times New Roman"/>
                <w:sz w:val="18"/>
                <w:szCs w:val="18"/>
              </w:rPr>
              <w:fldChar w:fldCharType="begin"/>
            </w:r>
            <w:r>
              <w:rPr>
                <w:rFonts w:cs="Times New Roman"/>
                <w:sz w:val="18"/>
                <w:szCs w:val="18"/>
              </w:rPr>
              <w:instrText xml:space="preserve"> ADDIN EN.CITE &lt;EndNote&gt;&lt;Cite&gt;&lt;Author&gt;Sordo&lt;/Author&gt;&lt;Year&gt;2017&lt;/Year&gt;&lt;RecNum&gt;369&lt;/RecNum&gt;&lt;DisplayText&gt;&lt;style face="superscript"&gt;34&lt;/style&gt;&lt;/DisplayText&gt;&lt;record&gt;&lt;rec-number&gt;369&lt;/rec-number&gt;&lt;foreign-keys&gt;&lt;key app="EN" db-id="vvr02fsw8wr2f5et2p8pzr0qs25d59ewpfta" timestamp="1768585740"&gt;369&lt;/key&gt;&lt;/foreign-keys&gt;&lt;ref-type name="Journal Article"&gt;17&lt;/ref-type&gt;&lt;contributors&gt;&lt;authors&gt;&lt;author&gt;Sordo, Luis&lt;/author&gt;&lt;author&gt;Barrio, Gregorio&lt;/author&gt;&lt;author&gt;Bravo, Maria J&lt;/author&gt;&lt;author&gt;Indave, B Iciar&lt;/author&gt;&lt;author&gt;Degenhardt, Louisa&lt;/author&gt;&lt;author&gt;Wiessing, Lucas&lt;/author&gt;&lt;author&gt;Ferri, Marica&lt;/author&gt;&lt;author&gt;Pastor-Barriuso, Roberto&lt;/author&gt;&lt;/authors&gt;&lt;/contributors&gt;&lt;titles&gt;&lt;title&gt;Mortality risk during and after opioid substitution treatment: systematic review and meta-analysis of cohort studies&lt;/title&gt;&lt;secondary-title&gt;bmj&lt;/secondary-title&gt;&lt;/titles&gt;&lt;periodical&gt;&lt;full-title&gt;bmj&lt;/full-title&gt;&lt;/periodical&gt;&lt;volume&gt;357&lt;/volume&gt;&lt;dates&gt;&lt;year&gt;2017&lt;/year&gt;&lt;/dates&gt;&lt;isbn&gt;0959-8138&lt;/isbn&gt;&lt;urls&gt;&lt;/urls&gt;&lt;/record&gt;&lt;/Cite&gt;&lt;/EndNote&gt;</w:instrText>
            </w:r>
            <w:r w:rsidRPr="00D2239A">
              <w:rPr>
                <w:rFonts w:cs="Times New Roman"/>
                <w:sz w:val="18"/>
                <w:szCs w:val="18"/>
              </w:rPr>
              <w:fldChar w:fldCharType="separate"/>
            </w:r>
            <w:r w:rsidRPr="00EF4FB4">
              <w:rPr>
                <w:rFonts w:cs="Times New Roman"/>
                <w:noProof/>
                <w:sz w:val="18"/>
                <w:szCs w:val="18"/>
                <w:vertAlign w:val="superscript"/>
              </w:rPr>
              <w:t>34</w:t>
            </w:r>
            <w:r w:rsidRPr="00D2239A">
              <w:rPr>
                <w:rFonts w:cs="Times New Roman"/>
                <w:sz w:val="18"/>
                <w:szCs w:val="18"/>
              </w:rPr>
              <w:fldChar w:fldCharType="end"/>
            </w:r>
          </w:p>
        </w:tc>
      </w:tr>
      <w:tr w:rsidR="0058100D" w:rsidRPr="00D2239A" w14:paraId="580A5D54" w14:textId="77777777" w:rsidTr="00435936">
        <w:tc>
          <w:tcPr>
            <w:tcW w:w="3865" w:type="dxa"/>
          </w:tcPr>
          <w:p w14:paraId="2A84C1E6" w14:textId="77777777" w:rsidR="0058100D" w:rsidRPr="00D2239A" w:rsidRDefault="0058100D" w:rsidP="00435936">
            <w:pPr>
              <w:spacing w:line="276" w:lineRule="auto"/>
              <w:ind w:left="370"/>
              <w:rPr>
                <w:rFonts w:cs="Times New Roman"/>
                <w:sz w:val="18"/>
                <w:szCs w:val="18"/>
              </w:rPr>
            </w:pPr>
            <w:r w:rsidRPr="00D2239A">
              <w:rPr>
                <w:rFonts w:cs="Times New Roman"/>
                <w:sz w:val="18"/>
                <w:szCs w:val="18"/>
              </w:rPr>
              <w:lastRenderedPageBreak/>
              <w:t xml:space="preserve">RR for </w:t>
            </w:r>
            <w:r w:rsidRPr="00D2239A">
              <w:rPr>
                <w:rFonts w:cs="Times New Roman"/>
                <w:i/>
                <w:iCs/>
                <w:sz w:val="18"/>
                <w:szCs w:val="18"/>
              </w:rPr>
              <w:t>MOUD</w:t>
            </w:r>
            <w:r w:rsidRPr="00D2239A">
              <w:rPr>
                <w:rFonts w:cs="Times New Roman"/>
                <w:sz w:val="18"/>
                <w:szCs w:val="18"/>
              </w:rPr>
              <w:t>: Month 2+</w:t>
            </w:r>
          </w:p>
        </w:tc>
        <w:tc>
          <w:tcPr>
            <w:tcW w:w="2160" w:type="dxa"/>
          </w:tcPr>
          <w:p w14:paraId="420F6D0C"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0.357 (buprenorphine)</w:t>
            </w:r>
          </w:p>
          <w:p w14:paraId="64D72CB0"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0.437 (methadone)</w:t>
            </w:r>
          </w:p>
          <w:p w14:paraId="2DDA5925"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0.357 (naltrexone)</w:t>
            </w:r>
          </w:p>
        </w:tc>
        <w:tc>
          <w:tcPr>
            <w:tcW w:w="1440" w:type="dxa"/>
          </w:tcPr>
          <w:p w14:paraId="2C9AA7ED" w14:textId="77777777" w:rsidR="0058100D" w:rsidRPr="00D2239A" w:rsidRDefault="0058100D" w:rsidP="00435936">
            <w:pPr>
              <w:spacing w:line="276" w:lineRule="auto"/>
              <w:jc w:val="center"/>
              <w:rPr>
                <w:rFonts w:cs="Times New Roman"/>
                <w:sz w:val="18"/>
                <w:szCs w:val="18"/>
              </w:rPr>
            </w:pPr>
          </w:p>
        </w:tc>
        <w:tc>
          <w:tcPr>
            <w:tcW w:w="1885" w:type="dxa"/>
          </w:tcPr>
          <w:p w14:paraId="4428ED83" w14:textId="77777777" w:rsidR="0058100D" w:rsidRPr="00D2239A" w:rsidRDefault="0058100D" w:rsidP="00435936">
            <w:pPr>
              <w:spacing w:line="276" w:lineRule="auto"/>
              <w:rPr>
                <w:rFonts w:cs="Times New Roman"/>
                <w:sz w:val="18"/>
                <w:szCs w:val="18"/>
                <w:lang w:val="pt-PT"/>
              </w:rPr>
            </w:pPr>
            <w:r w:rsidRPr="00D2239A">
              <w:rPr>
                <w:rFonts w:cs="Times New Roman"/>
                <w:sz w:val="18"/>
                <w:szCs w:val="18"/>
                <w:lang w:val="pt-PT"/>
              </w:rPr>
              <w:t>Santo</w:t>
            </w:r>
            <w:r w:rsidRPr="00D2239A">
              <w:rPr>
                <w:rFonts w:cs="Times New Roman"/>
                <w:i/>
                <w:iCs/>
                <w:sz w:val="18"/>
                <w:szCs w:val="18"/>
                <w:lang w:val="pt-PT"/>
              </w:rPr>
              <w:t xml:space="preserve"> et al.</w:t>
            </w:r>
            <w:r w:rsidRPr="00D2239A">
              <w:rPr>
                <w:rFonts w:cs="Times New Roman"/>
                <w:sz w:val="18"/>
                <w:szCs w:val="18"/>
                <w:lang w:val="pt-PT"/>
              </w:rPr>
              <w:t xml:space="preserve"> (2019)</w:t>
            </w:r>
            <w:r w:rsidRPr="00D2239A">
              <w:rPr>
                <w:rFonts w:cs="Times New Roman"/>
                <w:sz w:val="18"/>
                <w:szCs w:val="18"/>
              </w:rPr>
              <w:fldChar w:fldCharType="begin"/>
            </w:r>
            <w:r>
              <w:rPr>
                <w:rFonts w:cs="Times New Roman"/>
                <w:sz w:val="18"/>
                <w:szCs w:val="18"/>
              </w:rPr>
              <w:instrText xml:space="preserve"> ADDIN EN.CITE &lt;EndNote&gt;&lt;Cite&gt;&lt;Author&gt;Santo&lt;/Author&gt;&lt;Year&gt;2021&lt;/Year&gt;&lt;RecNum&gt;137&lt;/RecNum&gt;&lt;DisplayText&gt;&lt;style face="superscript"&gt;28&lt;/style&gt;&lt;/DisplayText&gt;&lt;record&gt;&lt;rec-number&gt;137&lt;/rec-number&gt;&lt;foreign-keys&gt;&lt;key app="EN" db-id="ffv9f0td1taf24ev0z1paazh2dx55xvtwsv9" timestamp="1713388380"&gt;137&lt;/key&gt;&lt;/foreign-keys&gt;&lt;ref-type name="Journal Article"&gt;17&lt;/ref-type&gt;&lt;contributors&gt;&lt;authors&gt;&lt;author&gt;Santo, Thomas&lt;/author&gt;&lt;author&gt;Clark, Brodie&lt;/author&gt;&lt;author&gt;Hickman, Matt&lt;/author&gt;&lt;author&gt;Grebely, Jason&lt;/author&gt;&lt;author&gt;Campbell, Gabrielle&lt;/author&gt;&lt;author&gt;Sordo, Luis&lt;/author&gt;&lt;author&gt;Chen, Aileen&lt;/author&gt;&lt;author&gt;Tran, Lucy Thi&lt;/author&gt;&lt;author&gt;Bharat, Chrianna&lt;/author&gt;&lt;author&gt;Padmanathan, Prianka&lt;/author&gt;&lt;/authors&gt;&lt;/contributors&gt;&lt;titles&gt;&lt;title&gt;Association of opioid agonist treatment with all-cause mortality and specific causes of death among people with opioid dependence: a systematic review and meta-analysis&lt;/title&gt;&lt;secondary-title&gt;JAMA psychiatry&lt;/secondary-title&gt;&lt;/titles&gt;&lt;periodical&gt;&lt;full-title&gt;JAMA Psychiatry&lt;/full-title&gt;&lt;/periodical&gt;&lt;pages&gt;979-993&lt;/pages&gt;&lt;volume&gt;78&lt;/volume&gt;&lt;number&gt;9&lt;/number&gt;&lt;dates&gt;&lt;year&gt;2021&lt;/year&gt;&lt;/dates&gt;&lt;isbn&gt;2168-622X&lt;/isbn&gt;&lt;urls&gt;&lt;/urls&gt;&lt;/record&gt;&lt;/Cite&gt;&lt;/EndNote&gt;</w:instrText>
            </w:r>
            <w:r w:rsidRPr="00D2239A">
              <w:rPr>
                <w:rFonts w:cs="Times New Roman"/>
                <w:sz w:val="18"/>
                <w:szCs w:val="18"/>
              </w:rPr>
              <w:fldChar w:fldCharType="separate"/>
            </w:r>
            <w:r w:rsidRPr="00EF4FB4">
              <w:rPr>
                <w:rFonts w:cs="Times New Roman"/>
                <w:noProof/>
                <w:sz w:val="18"/>
                <w:szCs w:val="18"/>
                <w:vertAlign w:val="superscript"/>
                <w:lang w:val="pt-PT"/>
              </w:rPr>
              <w:t>28</w:t>
            </w:r>
            <w:r w:rsidRPr="00D2239A">
              <w:rPr>
                <w:rFonts w:cs="Times New Roman"/>
                <w:sz w:val="18"/>
                <w:szCs w:val="18"/>
              </w:rPr>
              <w:fldChar w:fldCharType="end"/>
            </w:r>
            <w:r w:rsidRPr="00D2239A">
              <w:rPr>
                <w:rFonts w:cs="Times New Roman"/>
                <w:sz w:val="18"/>
                <w:szCs w:val="18"/>
                <w:lang w:val="pt-PT"/>
              </w:rPr>
              <w:t>,</w:t>
            </w:r>
          </w:p>
          <w:p w14:paraId="712CA031" w14:textId="77777777" w:rsidR="0058100D" w:rsidRPr="00D2239A" w:rsidRDefault="0058100D" w:rsidP="00435936">
            <w:pPr>
              <w:spacing w:line="276" w:lineRule="auto"/>
              <w:rPr>
                <w:rFonts w:cs="Times New Roman"/>
                <w:sz w:val="18"/>
                <w:szCs w:val="18"/>
              </w:rPr>
            </w:pPr>
            <w:r w:rsidRPr="00D2239A">
              <w:rPr>
                <w:rFonts w:cs="Times New Roman"/>
                <w:sz w:val="18"/>
                <w:szCs w:val="18"/>
                <w:lang w:val="pt-PT"/>
              </w:rPr>
              <w:t>Sordo</w:t>
            </w:r>
            <w:r w:rsidRPr="00D2239A">
              <w:rPr>
                <w:rFonts w:cs="Times New Roman"/>
                <w:i/>
                <w:iCs/>
                <w:sz w:val="18"/>
                <w:szCs w:val="18"/>
                <w:lang w:val="pt-PT"/>
              </w:rPr>
              <w:t xml:space="preserve"> et al.</w:t>
            </w:r>
            <w:r w:rsidRPr="00D2239A">
              <w:rPr>
                <w:rFonts w:cs="Times New Roman"/>
                <w:sz w:val="18"/>
                <w:szCs w:val="18"/>
                <w:lang w:val="pt-PT"/>
              </w:rPr>
              <w:t xml:space="preserve"> </w:t>
            </w:r>
            <w:r w:rsidRPr="00D2239A">
              <w:rPr>
                <w:rFonts w:cs="Times New Roman"/>
                <w:sz w:val="18"/>
                <w:szCs w:val="18"/>
              </w:rPr>
              <w:t>(2017)</w:t>
            </w:r>
            <w:r w:rsidRPr="00D2239A">
              <w:rPr>
                <w:rFonts w:cs="Times New Roman"/>
                <w:sz w:val="18"/>
                <w:szCs w:val="18"/>
              </w:rPr>
              <w:fldChar w:fldCharType="begin"/>
            </w:r>
            <w:r>
              <w:rPr>
                <w:rFonts w:cs="Times New Roman"/>
                <w:sz w:val="18"/>
                <w:szCs w:val="18"/>
              </w:rPr>
              <w:instrText xml:space="preserve"> ADDIN EN.CITE &lt;EndNote&gt;&lt;Cite&gt;&lt;Author&gt;Sordo&lt;/Author&gt;&lt;Year&gt;2017&lt;/Year&gt;&lt;RecNum&gt;369&lt;/RecNum&gt;&lt;DisplayText&gt;&lt;style face="superscript"&gt;34&lt;/style&gt;&lt;/DisplayText&gt;&lt;record&gt;&lt;rec-number&gt;369&lt;/rec-number&gt;&lt;foreign-keys&gt;&lt;key app="EN" db-id="vvr02fsw8wr2f5et2p8pzr0qs25d59ewpfta" timestamp="1768585740"&gt;369&lt;/key&gt;&lt;/foreign-keys&gt;&lt;ref-type name="Journal Article"&gt;17&lt;/ref-type&gt;&lt;contributors&gt;&lt;authors&gt;&lt;author&gt;Sordo, Luis&lt;/author&gt;&lt;author&gt;Barrio, Gregorio&lt;/author&gt;&lt;author&gt;Bravo, Maria J&lt;/author&gt;&lt;author&gt;Indave, B Iciar&lt;/author&gt;&lt;author&gt;Degenhardt, Louisa&lt;/author&gt;&lt;author&gt;Wiessing, Lucas&lt;/author&gt;&lt;author&gt;Ferri, Marica&lt;/author&gt;&lt;author&gt;Pastor-Barriuso, Roberto&lt;/author&gt;&lt;/authors&gt;&lt;/contributors&gt;&lt;titles&gt;&lt;title&gt;Mortality risk during and after opioid substitution treatment: systematic review and meta-analysis of cohort studies&lt;/title&gt;&lt;secondary-title&gt;bmj&lt;/secondary-title&gt;&lt;/titles&gt;&lt;periodical&gt;&lt;full-title&gt;bmj&lt;/full-title&gt;&lt;/periodical&gt;&lt;volume&gt;357&lt;/volume&gt;&lt;dates&gt;&lt;year&gt;2017&lt;/year&gt;&lt;/dates&gt;&lt;isbn&gt;0959-8138&lt;/isbn&gt;&lt;urls&gt;&lt;/urls&gt;&lt;/record&gt;&lt;/Cite&gt;&lt;/EndNote&gt;</w:instrText>
            </w:r>
            <w:r w:rsidRPr="00D2239A">
              <w:rPr>
                <w:rFonts w:cs="Times New Roman"/>
                <w:sz w:val="18"/>
                <w:szCs w:val="18"/>
              </w:rPr>
              <w:fldChar w:fldCharType="separate"/>
            </w:r>
            <w:r w:rsidRPr="00EF4FB4">
              <w:rPr>
                <w:rFonts w:cs="Times New Roman"/>
                <w:noProof/>
                <w:sz w:val="18"/>
                <w:szCs w:val="18"/>
                <w:vertAlign w:val="superscript"/>
              </w:rPr>
              <w:t>34</w:t>
            </w:r>
            <w:r w:rsidRPr="00D2239A">
              <w:rPr>
                <w:rFonts w:cs="Times New Roman"/>
                <w:sz w:val="18"/>
                <w:szCs w:val="18"/>
              </w:rPr>
              <w:fldChar w:fldCharType="end"/>
            </w:r>
          </w:p>
        </w:tc>
      </w:tr>
      <w:tr w:rsidR="0058100D" w:rsidRPr="00D2239A" w14:paraId="3947969B" w14:textId="77777777" w:rsidTr="00435936">
        <w:tc>
          <w:tcPr>
            <w:tcW w:w="3865" w:type="dxa"/>
          </w:tcPr>
          <w:p w14:paraId="20AB3E27" w14:textId="77777777" w:rsidR="0058100D" w:rsidRPr="00D2239A" w:rsidRDefault="0058100D" w:rsidP="00435936">
            <w:pPr>
              <w:spacing w:line="276" w:lineRule="auto"/>
              <w:ind w:left="370"/>
              <w:rPr>
                <w:rFonts w:cs="Times New Roman"/>
                <w:sz w:val="18"/>
                <w:szCs w:val="18"/>
              </w:rPr>
            </w:pPr>
            <w:r w:rsidRPr="00D2239A">
              <w:rPr>
                <w:rFonts w:cs="Times New Roman"/>
                <w:sz w:val="18"/>
                <w:szCs w:val="18"/>
              </w:rPr>
              <w:t xml:space="preserve">RR of </w:t>
            </w:r>
            <w:r w:rsidRPr="00D2239A">
              <w:rPr>
                <w:rFonts w:cs="Times New Roman"/>
                <w:i/>
                <w:iCs/>
                <w:sz w:val="18"/>
                <w:szCs w:val="18"/>
              </w:rPr>
              <w:t>OUD</w:t>
            </w:r>
            <w:r w:rsidRPr="00D2239A">
              <w:rPr>
                <w:rFonts w:cs="Times New Roman"/>
                <w:sz w:val="18"/>
                <w:szCs w:val="18"/>
              </w:rPr>
              <w:t xml:space="preserve"> in the first month after relapse </w:t>
            </w:r>
          </w:p>
        </w:tc>
        <w:tc>
          <w:tcPr>
            <w:tcW w:w="2160" w:type="dxa"/>
          </w:tcPr>
          <w:p w14:paraId="647C2174" w14:textId="77777777" w:rsidR="0058100D" w:rsidRPr="00D2239A" w:rsidRDefault="0058100D" w:rsidP="00435936">
            <w:pPr>
              <w:spacing w:line="276" w:lineRule="auto"/>
              <w:jc w:val="center"/>
              <w:rPr>
                <w:rFonts w:cs="Times New Roman"/>
                <w:sz w:val="18"/>
                <w:szCs w:val="18"/>
              </w:rPr>
            </w:pPr>
          </w:p>
        </w:tc>
        <w:tc>
          <w:tcPr>
            <w:tcW w:w="1440" w:type="dxa"/>
          </w:tcPr>
          <w:p w14:paraId="091C3D54" w14:textId="77777777" w:rsidR="0058100D" w:rsidRPr="00D2239A" w:rsidRDefault="0058100D" w:rsidP="00435936">
            <w:pPr>
              <w:spacing w:line="276" w:lineRule="auto"/>
              <w:jc w:val="center"/>
              <w:rPr>
                <w:rFonts w:cs="Times New Roman"/>
                <w:sz w:val="18"/>
                <w:szCs w:val="18"/>
              </w:rPr>
            </w:pPr>
          </w:p>
        </w:tc>
        <w:tc>
          <w:tcPr>
            <w:tcW w:w="1885" w:type="dxa"/>
          </w:tcPr>
          <w:p w14:paraId="1B697F5B" w14:textId="77777777" w:rsidR="0058100D" w:rsidRPr="00D2239A" w:rsidRDefault="0058100D" w:rsidP="00435936">
            <w:pPr>
              <w:spacing w:line="276" w:lineRule="auto"/>
              <w:rPr>
                <w:rFonts w:cs="Times New Roman"/>
                <w:sz w:val="18"/>
                <w:szCs w:val="18"/>
              </w:rPr>
            </w:pPr>
          </w:p>
        </w:tc>
      </w:tr>
      <w:tr w:rsidR="0058100D" w:rsidRPr="00D2239A" w14:paraId="1496428E" w14:textId="77777777" w:rsidTr="00435936">
        <w:tc>
          <w:tcPr>
            <w:tcW w:w="3865" w:type="dxa"/>
          </w:tcPr>
          <w:p w14:paraId="0A699C44" w14:textId="77777777" w:rsidR="0058100D" w:rsidRPr="00D2239A" w:rsidRDefault="0058100D" w:rsidP="00435936">
            <w:pPr>
              <w:spacing w:line="276" w:lineRule="auto"/>
              <w:ind w:left="730"/>
              <w:rPr>
                <w:rFonts w:cs="Times New Roman"/>
                <w:sz w:val="18"/>
                <w:szCs w:val="18"/>
              </w:rPr>
            </w:pPr>
            <w:r w:rsidRPr="00D2239A">
              <w:rPr>
                <w:rFonts w:cs="Times New Roman"/>
                <w:sz w:val="18"/>
                <w:szCs w:val="18"/>
              </w:rPr>
              <w:t>From discontinuing MOUD</w:t>
            </w:r>
          </w:p>
        </w:tc>
        <w:tc>
          <w:tcPr>
            <w:tcW w:w="2160" w:type="dxa"/>
          </w:tcPr>
          <w:p w14:paraId="109C9C05"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2.97 (buprenorphine)</w:t>
            </w:r>
          </w:p>
          <w:p w14:paraId="631A31F3"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1.04 (methadone)</w:t>
            </w:r>
          </w:p>
          <w:p w14:paraId="7EFB11B6"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2.97 (naltrexone)</w:t>
            </w:r>
          </w:p>
        </w:tc>
        <w:tc>
          <w:tcPr>
            <w:tcW w:w="1440" w:type="dxa"/>
          </w:tcPr>
          <w:p w14:paraId="00E37C8A"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w:t>
            </w:r>
          </w:p>
        </w:tc>
        <w:tc>
          <w:tcPr>
            <w:tcW w:w="1885" w:type="dxa"/>
          </w:tcPr>
          <w:p w14:paraId="322D72B4" w14:textId="77777777" w:rsidR="0058100D" w:rsidRPr="00D2239A" w:rsidRDefault="0058100D" w:rsidP="00435936">
            <w:pPr>
              <w:spacing w:line="276" w:lineRule="auto"/>
              <w:rPr>
                <w:rFonts w:cs="Times New Roman"/>
                <w:sz w:val="18"/>
                <w:szCs w:val="18"/>
              </w:rPr>
            </w:pPr>
            <w:r w:rsidRPr="00D2239A">
              <w:rPr>
                <w:rFonts w:cs="Times New Roman"/>
                <w:sz w:val="18"/>
                <w:szCs w:val="18"/>
                <w:lang w:val="pt-PT"/>
              </w:rPr>
              <w:t>Santo</w:t>
            </w:r>
            <w:r w:rsidRPr="00D2239A">
              <w:rPr>
                <w:rFonts w:cs="Times New Roman"/>
                <w:i/>
                <w:iCs/>
                <w:sz w:val="18"/>
                <w:szCs w:val="18"/>
                <w:lang w:val="pt-PT"/>
              </w:rPr>
              <w:t xml:space="preserve"> et al.</w:t>
            </w:r>
            <w:r w:rsidRPr="00D2239A">
              <w:rPr>
                <w:rFonts w:cs="Times New Roman"/>
                <w:sz w:val="18"/>
                <w:szCs w:val="18"/>
                <w:lang w:val="pt-PT"/>
              </w:rPr>
              <w:t xml:space="preserve"> (2021)</w:t>
            </w:r>
            <w:r w:rsidRPr="00D2239A">
              <w:rPr>
                <w:rFonts w:cs="Times New Roman"/>
                <w:sz w:val="18"/>
                <w:szCs w:val="18"/>
              </w:rPr>
              <w:fldChar w:fldCharType="begin"/>
            </w:r>
            <w:r>
              <w:rPr>
                <w:rFonts w:cs="Times New Roman"/>
                <w:sz w:val="18"/>
                <w:szCs w:val="18"/>
              </w:rPr>
              <w:instrText xml:space="preserve"> ADDIN EN.CITE &lt;EndNote&gt;&lt;Cite&gt;&lt;Author&gt;Santo&lt;/Author&gt;&lt;Year&gt;2021&lt;/Year&gt;&lt;RecNum&gt;137&lt;/RecNum&gt;&lt;DisplayText&gt;&lt;style face="superscript"&gt;28&lt;/style&gt;&lt;/DisplayText&gt;&lt;record&gt;&lt;rec-number&gt;137&lt;/rec-number&gt;&lt;foreign-keys&gt;&lt;key app="EN" db-id="ffv9f0td1taf24ev0z1paazh2dx55xvtwsv9" timestamp="1713388380"&gt;137&lt;/key&gt;&lt;/foreign-keys&gt;&lt;ref-type name="Journal Article"&gt;17&lt;/ref-type&gt;&lt;contributors&gt;&lt;authors&gt;&lt;author&gt;Santo, Thomas&lt;/author&gt;&lt;author&gt;Clark, Brodie&lt;/author&gt;&lt;author&gt;Hickman, Matt&lt;/author&gt;&lt;author&gt;Grebely, Jason&lt;/author&gt;&lt;author&gt;Campbell, Gabrielle&lt;/author&gt;&lt;author&gt;Sordo, Luis&lt;/author&gt;&lt;author&gt;Chen, Aileen&lt;/author&gt;&lt;author&gt;Tran, Lucy Thi&lt;/author&gt;&lt;author&gt;Bharat, Chrianna&lt;/author&gt;&lt;author&gt;Padmanathan, Prianka&lt;/author&gt;&lt;/authors&gt;&lt;/contributors&gt;&lt;titles&gt;&lt;title&gt;Association of opioid agonist treatment with all-cause mortality and specific causes of death among people with opioid dependence: a systematic review and meta-analysis&lt;/title&gt;&lt;secondary-title&gt;JAMA psychiatry&lt;/secondary-title&gt;&lt;/titles&gt;&lt;periodical&gt;&lt;full-title&gt;JAMA Psychiatry&lt;/full-title&gt;&lt;/periodical&gt;&lt;pages&gt;979-993&lt;/pages&gt;&lt;volume&gt;78&lt;/volume&gt;&lt;number&gt;9&lt;/number&gt;&lt;dates&gt;&lt;year&gt;2021&lt;/year&gt;&lt;/dates&gt;&lt;isbn&gt;2168-622X&lt;/isbn&gt;&lt;urls&gt;&lt;/urls&gt;&lt;/record&gt;&lt;/Cite&gt;&lt;/EndNote&gt;</w:instrText>
            </w:r>
            <w:r w:rsidRPr="00D2239A">
              <w:rPr>
                <w:rFonts w:cs="Times New Roman"/>
                <w:sz w:val="18"/>
                <w:szCs w:val="18"/>
              </w:rPr>
              <w:fldChar w:fldCharType="separate"/>
            </w:r>
            <w:r w:rsidRPr="00EF4FB4">
              <w:rPr>
                <w:rFonts w:cs="Times New Roman"/>
                <w:noProof/>
                <w:sz w:val="18"/>
                <w:szCs w:val="18"/>
                <w:vertAlign w:val="superscript"/>
                <w:lang w:val="pt-PT"/>
              </w:rPr>
              <w:t>28</w:t>
            </w:r>
            <w:r w:rsidRPr="00D2239A">
              <w:rPr>
                <w:rFonts w:cs="Times New Roman"/>
                <w:sz w:val="18"/>
                <w:szCs w:val="18"/>
              </w:rPr>
              <w:fldChar w:fldCharType="end"/>
            </w:r>
            <w:r w:rsidRPr="00D2239A">
              <w:rPr>
                <w:rFonts w:cs="Times New Roman"/>
                <w:sz w:val="18"/>
                <w:szCs w:val="18"/>
                <w:lang w:val="pt-PT"/>
              </w:rPr>
              <w:t>, Sordo</w:t>
            </w:r>
            <w:r w:rsidRPr="00D2239A">
              <w:rPr>
                <w:rFonts w:cs="Times New Roman"/>
                <w:i/>
                <w:iCs/>
                <w:sz w:val="18"/>
                <w:szCs w:val="18"/>
                <w:lang w:val="pt-PT"/>
              </w:rPr>
              <w:t xml:space="preserve"> et al.</w:t>
            </w:r>
            <w:r w:rsidRPr="00D2239A">
              <w:rPr>
                <w:rFonts w:cs="Times New Roman"/>
                <w:sz w:val="18"/>
                <w:szCs w:val="18"/>
                <w:lang w:val="pt-PT"/>
              </w:rPr>
              <w:t xml:space="preserve"> </w:t>
            </w:r>
            <w:r w:rsidRPr="00D2239A">
              <w:rPr>
                <w:rFonts w:cs="Times New Roman"/>
                <w:sz w:val="18"/>
                <w:szCs w:val="18"/>
              </w:rPr>
              <w:t>(2017)</w:t>
            </w:r>
            <w:r w:rsidRPr="00D2239A">
              <w:rPr>
                <w:rFonts w:cs="Times New Roman"/>
                <w:sz w:val="18"/>
                <w:szCs w:val="18"/>
              </w:rPr>
              <w:fldChar w:fldCharType="begin"/>
            </w:r>
            <w:r>
              <w:rPr>
                <w:rFonts w:cs="Times New Roman"/>
                <w:sz w:val="18"/>
                <w:szCs w:val="18"/>
              </w:rPr>
              <w:instrText xml:space="preserve"> ADDIN EN.CITE &lt;EndNote&gt;&lt;Cite&gt;&lt;Author&gt;Sordo&lt;/Author&gt;&lt;Year&gt;2017&lt;/Year&gt;&lt;RecNum&gt;369&lt;/RecNum&gt;&lt;DisplayText&gt;&lt;style face="superscript"&gt;34&lt;/style&gt;&lt;/DisplayText&gt;&lt;record&gt;&lt;rec-number&gt;369&lt;/rec-number&gt;&lt;foreign-keys&gt;&lt;key app="EN" db-id="vvr02fsw8wr2f5et2p8pzr0qs25d59ewpfta" timestamp="1768585740"&gt;369&lt;/key&gt;&lt;/foreign-keys&gt;&lt;ref-type name="Journal Article"&gt;17&lt;/ref-type&gt;&lt;contributors&gt;&lt;authors&gt;&lt;author&gt;Sordo, Luis&lt;/author&gt;&lt;author&gt;Barrio, Gregorio&lt;/author&gt;&lt;author&gt;Bravo, Maria J&lt;/author&gt;&lt;author&gt;Indave, B Iciar&lt;/author&gt;&lt;author&gt;Degenhardt, Louisa&lt;/author&gt;&lt;author&gt;Wiessing, Lucas&lt;/author&gt;&lt;author&gt;Ferri, Marica&lt;/author&gt;&lt;author&gt;Pastor-Barriuso, Roberto&lt;/author&gt;&lt;/authors&gt;&lt;/contributors&gt;&lt;titles&gt;&lt;title&gt;Mortality risk during and after opioid substitution treatment: systematic review and meta-analysis of cohort studies&lt;/title&gt;&lt;secondary-title&gt;bmj&lt;/secondary-title&gt;&lt;/titles&gt;&lt;periodical&gt;&lt;full-title&gt;bmj&lt;/full-title&gt;&lt;/periodical&gt;&lt;volume&gt;357&lt;/volume&gt;&lt;dates&gt;&lt;year&gt;2017&lt;/year&gt;&lt;/dates&gt;&lt;isbn&gt;0959-8138&lt;/isbn&gt;&lt;urls&gt;&lt;/urls&gt;&lt;/record&gt;&lt;/Cite&gt;&lt;/EndNote&gt;</w:instrText>
            </w:r>
            <w:r w:rsidRPr="00D2239A">
              <w:rPr>
                <w:rFonts w:cs="Times New Roman"/>
                <w:sz w:val="18"/>
                <w:szCs w:val="18"/>
              </w:rPr>
              <w:fldChar w:fldCharType="separate"/>
            </w:r>
            <w:r w:rsidRPr="00EF4FB4">
              <w:rPr>
                <w:rFonts w:cs="Times New Roman"/>
                <w:noProof/>
                <w:sz w:val="18"/>
                <w:szCs w:val="18"/>
                <w:vertAlign w:val="superscript"/>
              </w:rPr>
              <w:t>34</w:t>
            </w:r>
            <w:r w:rsidRPr="00D2239A">
              <w:rPr>
                <w:rFonts w:cs="Times New Roman"/>
                <w:sz w:val="18"/>
                <w:szCs w:val="18"/>
              </w:rPr>
              <w:fldChar w:fldCharType="end"/>
            </w:r>
          </w:p>
        </w:tc>
      </w:tr>
      <w:tr w:rsidR="0058100D" w:rsidRPr="00D2239A" w14:paraId="312E752E" w14:textId="77777777" w:rsidTr="00435936">
        <w:tc>
          <w:tcPr>
            <w:tcW w:w="3865" w:type="dxa"/>
          </w:tcPr>
          <w:p w14:paraId="6383F46C" w14:textId="77777777" w:rsidR="0058100D" w:rsidRPr="00D2239A" w:rsidRDefault="0058100D" w:rsidP="00435936">
            <w:pPr>
              <w:spacing w:line="276" w:lineRule="auto"/>
              <w:ind w:left="730"/>
              <w:rPr>
                <w:rFonts w:cs="Times New Roman"/>
                <w:sz w:val="18"/>
                <w:szCs w:val="18"/>
              </w:rPr>
            </w:pPr>
            <w:r w:rsidRPr="00D2239A">
              <w:rPr>
                <w:rFonts w:cs="Times New Roman"/>
                <w:sz w:val="18"/>
                <w:szCs w:val="18"/>
              </w:rPr>
              <w:t xml:space="preserve">From </w:t>
            </w:r>
            <w:r w:rsidRPr="00D2239A">
              <w:rPr>
                <w:rFonts w:cs="Times New Roman"/>
                <w:i/>
                <w:iCs/>
                <w:sz w:val="18"/>
                <w:szCs w:val="18"/>
              </w:rPr>
              <w:t>Recovery</w:t>
            </w:r>
          </w:p>
        </w:tc>
        <w:tc>
          <w:tcPr>
            <w:tcW w:w="2160" w:type="dxa"/>
          </w:tcPr>
          <w:p w14:paraId="5844C995"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2.97</w:t>
            </w:r>
          </w:p>
        </w:tc>
        <w:tc>
          <w:tcPr>
            <w:tcW w:w="1440" w:type="dxa"/>
          </w:tcPr>
          <w:p w14:paraId="61F64254"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w:t>
            </w:r>
          </w:p>
        </w:tc>
        <w:tc>
          <w:tcPr>
            <w:tcW w:w="1885" w:type="dxa"/>
          </w:tcPr>
          <w:p w14:paraId="3F5B6B41" w14:textId="77777777" w:rsidR="0058100D" w:rsidRPr="00D2239A" w:rsidRDefault="0058100D" w:rsidP="00435936">
            <w:pPr>
              <w:spacing w:line="276" w:lineRule="auto"/>
              <w:rPr>
                <w:rFonts w:cs="Times New Roman"/>
                <w:sz w:val="18"/>
                <w:szCs w:val="18"/>
              </w:rPr>
            </w:pPr>
            <w:r w:rsidRPr="00D2239A">
              <w:rPr>
                <w:rFonts w:cs="Times New Roman"/>
                <w:sz w:val="18"/>
                <w:szCs w:val="18"/>
              </w:rPr>
              <w:t>Assumption</w:t>
            </w:r>
          </w:p>
        </w:tc>
      </w:tr>
      <w:tr w:rsidR="0058100D" w:rsidRPr="00D2239A" w14:paraId="2C6A5D23" w14:textId="77777777" w:rsidTr="00435936">
        <w:tc>
          <w:tcPr>
            <w:tcW w:w="3865" w:type="dxa"/>
          </w:tcPr>
          <w:p w14:paraId="5E523402" w14:textId="77777777" w:rsidR="0058100D" w:rsidRPr="00D2239A" w:rsidRDefault="0058100D" w:rsidP="00435936">
            <w:pPr>
              <w:spacing w:line="276" w:lineRule="auto"/>
              <w:ind w:left="370"/>
              <w:rPr>
                <w:rFonts w:cs="Times New Roman"/>
                <w:sz w:val="18"/>
                <w:szCs w:val="18"/>
              </w:rPr>
            </w:pPr>
            <w:r w:rsidRPr="00D2239A">
              <w:rPr>
                <w:rFonts w:cs="Times New Roman"/>
                <w:sz w:val="18"/>
                <w:szCs w:val="18"/>
              </w:rPr>
              <w:t xml:space="preserve">RR for naloxone availability: </w:t>
            </w:r>
            <m:oMath>
              <m:r>
                <w:rPr>
                  <w:rFonts w:ascii="Cambria Math" w:hAnsi="Cambria Math" w:cs="Times New Roman"/>
                  <w:sz w:val="18"/>
                  <w:szCs w:val="18"/>
                </w:rPr>
                <m:t>δ(t)</m:t>
              </m:r>
            </m:oMath>
          </w:p>
        </w:tc>
        <w:tc>
          <w:tcPr>
            <w:tcW w:w="2160" w:type="dxa"/>
          </w:tcPr>
          <w:p w14:paraId="12A229D0" w14:textId="77777777" w:rsidR="0058100D" w:rsidRPr="00D2239A" w:rsidRDefault="0058100D" w:rsidP="00435936">
            <w:pPr>
              <w:spacing w:line="276" w:lineRule="auto"/>
              <w:jc w:val="center"/>
              <w:rPr>
                <w:rFonts w:cs="Times New Roman"/>
                <w:sz w:val="18"/>
                <w:szCs w:val="18"/>
              </w:rPr>
            </w:pPr>
          </w:p>
        </w:tc>
        <w:tc>
          <w:tcPr>
            <w:tcW w:w="1440" w:type="dxa"/>
          </w:tcPr>
          <w:p w14:paraId="722AD86A" w14:textId="77777777" w:rsidR="0058100D" w:rsidRPr="00D2239A" w:rsidRDefault="0058100D" w:rsidP="00435936">
            <w:pPr>
              <w:spacing w:line="276" w:lineRule="auto"/>
              <w:jc w:val="center"/>
              <w:rPr>
                <w:rFonts w:cs="Times New Roman"/>
                <w:sz w:val="18"/>
                <w:szCs w:val="18"/>
              </w:rPr>
            </w:pPr>
          </w:p>
        </w:tc>
        <w:tc>
          <w:tcPr>
            <w:tcW w:w="1885" w:type="dxa"/>
          </w:tcPr>
          <w:p w14:paraId="70BD6220" w14:textId="77777777" w:rsidR="0058100D" w:rsidRPr="00D2239A" w:rsidRDefault="0058100D" w:rsidP="00435936">
            <w:pPr>
              <w:spacing w:line="276" w:lineRule="auto"/>
              <w:rPr>
                <w:rFonts w:cs="Times New Roman"/>
                <w:sz w:val="18"/>
                <w:szCs w:val="18"/>
              </w:rPr>
            </w:pPr>
            <w:r w:rsidRPr="00D2239A">
              <w:rPr>
                <w:rFonts w:cs="Times New Roman"/>
                <w:sz w:val="18"/>
                <w:szCs w:val="18"/>
              </w:rPr>
              <w:t>Supplement S</w:t>
            </w:r>
            <w:r>
              <w:rPr>
                <w:rFonts w:cs="Times New Roman"/>
                <w:sz w:val="18"/>
                <w:szCs w:val="18"/>
              </w:rPr>
              <w:t>2</w:t>
            </w:r>
            <w:r w:rsidRPr="00D2239A">
              <w:rPr>
                <w:rFonts w:cs="Times New Roman"/>
                <w:sz w:val="18"/>
                <w:szCs w:val="18"/>
              </w:rPr>
              <w:t>.4.2</w:t>
            </w:r>
          </w:p>
        </w:tc>
      </w:tr>
      <w:tr w:rsidR="0058100D" w:rsidRPr="00D2239A" w14:paraId="6106707E" w14:textId="77777777" w:rsidTr="00435936">
        <w:tc>
          <w:tcPr>
            <w:tcW w:w="3865" w:type="dxa"/>
          </w:tcPr>
          <w:p w14:paraId="0783D6C5" w14:textId="77777777" w:rsidR="0058100D" w:rsidRPr="00D2239A" w:rsidRDefault="0058100D" w:rsidP="00435936">
            <w:pPr>
              <w:spacing w:line="276" w:lineRule="auto"/>
              <w:ind w:left="730"/>
              <w:rPr>
                <w:rFonts w:cs="Times New Roman"/>
                <w:sz w:val="18"/>
                <w:szCs w:val="18"/>
              </w:rPr>
            </w:pPr>
            <w:r w:rsidRPr="00D2239A">
              <w:rPr>
                <w:rFonts w:cs="Times New Roman"/>
                <w:sz w:val="18"/>
                <w:szCs w:val="18"/>
              </w:rPr>
              <w:t xml:space="preserve">Parameters </w:t>
            </w:r>
            <m:oMath>
              <m:r>
                <w:rPr>
                  <w:rFonts w:ascii="Cambria Math" w:hAnsi="Cambria Math" w:cs="Times New Roman"/>
                  <w:sz w:val="18"/>
                  <w:szCs w:val="18"/>
                </w:rPr>
                <m:t>m</m:t>
              </m:r>
            </m:oMath>
            <w:r w:rsidRPr="00D2239A">
              <w:rPr>
                <w:rFonts w:cs="Times New Roman"/>
                <w:sz w:val="18"/>
                <w:szCs w:val="18"/>
              </w:rPr>
              <w:t xml:space="preserve"> and </w:t>
            </w:r>
            <m:oMath>
              <m:r>
                <w:rPr>
                  <w:rFonts w:ascii="Cambria Math" w:hAnsi="Cambria Math" w:cs="Times New Roman"/>
                  <w:sz w:val="18"/>
                  <w:szCs w:val="18"/>
                </w:rPr>
                <m:t>c</m:t>
              </m:r>
            </m:oMath>
          </w:p>
        </w:tc>
        <w:tc>
          <w:tcPr>
            <w:tcW w:w="2160" w:type="dxa"/>
          </w:tcPr>
          <w:p w14:paraId="67D2E8E1"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Calibrated</w:t>
            </w:r>
          </w:p>
        </w:tc>
        <w:tc>
          <w:tcPr>
            <w:tcW w:w="1440" w:type="dxa"/>
          </w:tcPr>
          <w:p w14:paraId="213CEB1D" w14:textId="77777777" w:rsidR="0058100D" w:rsidRPr="00D2239A" w:rsidRDefault="0058100D" w:rsidP="00435936">
            <w:pPr>
              <w:spacing w:line="276" w:lineRule="auto"/>
              <w:jc w:val="center"/>
              <w:rPr>
                <w:rFonts w:cs="Times New Roman"/>
                <w:sz w:val="18"/>
                <w:szCs w:val="18"/>
              </w:rPr>
            </w:pPr>
          </w:p>
        </w:tc>
        <w:tc>
          <w:tcPr>
            <w:tcW w:w="1885" w:type="dxa"/>
          </w:tcPr>
          <w:p w14:paraId="3914762D" w14:textId="77777777" w:rsidR="0058100D" w:rsidRPr="00D2239A" w:rsidRDefault="0058100D" w:rsidP="00435936">
            <w:pPr>
              <w:spacing w:line="276" w:lineRule="auto"/>
              <w:rPr>
                <w:rFonts w:cs="Times New Roman"/>
                <w:sz w:val="18"/>
                <w:szCs w:val="18"/>
              </w:rPr>
            </w:pPr>
          </w:p>
        </w:tc>
      </w:tr>
      <w:tr w:rsidR="0058100D" w:rsidRPr="00D2239A" w14:paraId="02456712" w14:textId="77777777" w:rsidTr="00435936">
        <w:tc>
          <w:tcPr>
            <w:tcW w:w="3865" w:type="dxa"/>
          </w:tcPr>
          <w:p w14:paraId="4F166AF0" w14:textId="77777777" w:rsidR="0058100D" w:rsidRPr="00D2239A" w:rsidRDefault="0058100D" w:rsidP="00435936">
            <w:pPr>
              <w:spacing w:line="276" w:lineRule="auto"/>
              <w:rPr>
                <w:rFonts w:cs="Times New Roman"/>
                <w:sz w:val="18"/>
                <w:szCs w:val="18"/>
              </w:rPr>
            </w:pPr>
            <w:r w:rsidRPr="00D2239A">
              <w:rPr>
                <w:rFonts w:cs="Times New Roman"/>
                <w:sz w:val="18"/>
                <w:szCs w:val="18"/>
              </w:rPr>
              <w:t xml:space="preserve">Reporting probability of non-fatal overdose: </w:t>
            </w:r>
            <m:oMath>
              <m:sSub>
                <m:sSubPr>
                  <m:ctrlPr>
                    <w:rPr>
                      <w:rFonts w:ascii="Cambria Math" w:hAnsi="Cambria Math" w:cs="Times New Roman"/>
                      <w:i/>
                      <w:sz w:val="18"/>
                      <w:szCs w:val="18"/>
                    </w:rPr>
                  </m:ctrlPr>
                </m:sSubPr>
                <m:e>
                  <m:r>
                    <w:rPr>
                      <w:rFonts w:ascii="Cambria Math" w:hAnsi="Cambria Math" w:cs="Times New Roman"/>
                      <w:sz w:val="18"/>
                      <w:szCs w:val="18"/>
                    </w:rPr>
                    <m:t>p</m:t>
                  </m:r>
                </m:e>
                <m:sub>
                  <m:r>
                    <w:rPr>
                      <w:rFonts w:ascii="Cambria Math" w:hAnsi="Cambria Math" w:cs="Times New Roman"/>
                      <w:sz w:val="18"/>
                      <w:szCs w:val="18"/>
                    </w:rPr>
                    <m:t>reported</m:t>
                  </m:r>
                </m:sub>
              </m:sSub>
            </m:oMath>
          </w:p>
        </w:tc>
        <w:tc>
          <w:tcPr>
            <w:tcW w:w="2160" w:type="dxa"/>
          </w:tcPr>
          <w:p w14:paraId="2A1158DF"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0.6</w:t>
            </w:r>
          </w:p>
        </w:tc>
        <w:tc>
          <w:tcPr>
            <w:tcW w:w="1440" w:type="dxa"/>
          </w:tcPr>
          <w:p w14:paraId="768B3B20"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w:t>
            </w:r>
          </w:p>
        </w:tc>
        <w:tc>
          <w:tcPr>
            <w:tcW w:w="1885" w:type="dxa"/>
          </w:tcPr>
          <w:p w14:paraId="56682BD7" w14:textId="4F0D6507" w:rsidR="0058100D" w:rsidRPr="00D2239A" w:rsidRDefault="0058100D" w:rsidP="00435936">
            <w:pPr>
              <w:spacing w:line="276" w:lineRule="auto"/>
              <w:rPr>
                <w:rFonts w:cs="Times New Roman"/>
                <w:sz w:val="18"/>
                <w:szCs w:val="18"/>
              </w:rPr>
            </w:pPr>
            <w:r w:rsidRPr="00D2239A">
              <w:rPr>
                <w:rFonts w:cs="Times New Roman"/>
                <w:sz w:val="18"/>
                <w:szCs w:val="18"/>
              </w:rPr>
              <w:t>Wampler</w:t>
            </w:r>
            <w:r w:rsidRPr="00D2239A">
              <w:rPr>
                <w:rFonts w:cs="Times New Roman"/>
                <w:i/>
                <w:iCs/>
                <w:sz w:val="18"/>
                <w:szCs w:val="18"/>
              </w:rPr>
              <w:t xml:space="preserve"> et al.</w:t>
            </w:r>
            <w:r w:rsidRPr="00D2239A">
              <w:rPr>
                <w:rFonts w:cs="Times New Roman"/>
                <w:sz w:val="18"/>
                <w:szCs w:val="18"/>
              </w:rPr>
              <w:t xml:space="preserve"> (2011)</w:t>
            </w:r>
            <w:r w:rsidRPr="00D2239A">
              <w:rPr>
                <w:rFonts w:cs="Times New Roman"/>
                <w:sz w:val="18"/>
                <w:szCs w:val="18"/>
              </w:rPr>
              <w:fldChar w:fldCharType="begin"/>
            </w:r>
            <w:r>
              <w:rPr>
                <w:rFonts w:cs="Times New Roman"/>
                <w:sz w:val="18"/>
                <w:szCs w:val="18"/>
              </w:rPr>
              <w:instrText xml:space="preserve"> ADDIN EN.CITE &lt;EndNote&gt;&lt;Cite&gt;&lt;Author&gt;Wampler&lt;/Author&gt;&lt;Year&gt;2011&lt;/Year&gt;&lt;RecNum&gt;456&lt;/RecNum&gt;&lt;DisplayText&gt;&lt;style face="superscript"&gt;36&lt;/style&gt;&lt;/DisplayText&gt;&lt;record&gt;&lt;rec-number&gt;456&lt;/rec-number&gt;&lt;foreign-keys&gt;&lt;key app="EN" db-id="avtevdx5n99twqeadeupredtzeaatxdp5xsr" timestamp="1727801651"&gt;456&lt;/key&gt;&lt;/foreign-keys&gt;&lt;ref-type name="Journal Article"&gt;17&lt;/ref-type&gt;&lt;contributors&gt;&lt;authors&gt;&lt;author&gt;Wampler, David A&lt;/author&gt;&lt;author&gt;Molina, D Kimberley&lt;/author&gt;&lt;author&gt;McManus, John&lt;/author&gt;&lt;author&gt;Laws, Philip&lt;/author&gt;&lt;author&gt;Manifold, Craig A&lt;/author&gt;&lt;/authors&gt;&lt;/contributors&gt;&lt;titles&gt;&lt;title&gt;No deaths associated with patient refusal of transport after naloxone-reversed opioid overdose&lt;/title&gt;&lt;secondary-title&gt;Prehospital Emergency Care&lt;/secondary-title&gt;&lt;/titles&gt;&lt;periodical&gt;&lt;full-title&gt;Prehospital Emergency Care&lt;/full-title&gt;&lt;abbr-1&gt;Prehosp Emerg. Care&lt;/abbr-1&gt;&lt;abbr-2&gt;Prehosp Emerg Care&lt;/abbr-2&gt;&lt;/periodical&gt;&lt;pages&gt;320-324&lt;/pages&gt;&lt;volume&gt;15&lt;/volume&gt;&lt;number&gt;3&lt;/number&gt;&lt;dates&gt;&lt;year&gt;2011&lt;/year&gt;&lt;/dates&gt;&lt;isbn&gt;1090-3127&lt;/isbn&gt;&lt;urls&gt;&lt;/urls&gt;&lt;/record&gt;&lt;/Cite&gt;&lt;/EndNote&gt;</w:instrText>
            </w:r>
            <w:r w:rsidRPr="00D2239A">
              <w:rPr>
                <w:rFonts w:cs="Times New Roman"/>
                <w:sz w:val="18"/>
                <w:szCs w:val="18"/>
              </w:rPr>
              <w:fldChar w:fldCharType="separate"/>
            </w:r>
            <w:r w:rsidRPr="0058100D">
              <w:rPr>
                <w:rFonts w:cs="Times New Roman"/>
                <w:noProof/>
                <w:sz w:val="18"/>
                <w:szCs w:val="18"/>
                <w:vertAlign w:val="superscript"/>
              </w:rPr>
              <w:t>36</w:t>
            </w:r>
            <w:r w:rsidRPr="00D2239A">
              <w:rPr>
                <w:rFonts w:cs="Times New Roman"/>
                <w:sz w:val="18"/>
                <w:szCs w:val="18"/>
              </w:rPr>
              <w:fldChar w:fldCharType="end"/>
            </w:r>
            <w:r w:rsidRPr="00D2239A">
              <w:rPr>
                <w:rFonts w:cs="Times New Roman"/>
                <w:sz w:val="18"/>
                <w:szCs w:val="18"/>
              </w:rPr>
              <w:t>,</w:t>
            </w:r>
          </w:p>
          <w:p w14:paraId="7566C2A0" w14:textId="42E739A2" w:rsidR="0058100D" w:rsidRPr="00D2239A" w:rsidRDefault="0058100D" w:rsidP="00435936">
            <w:pPr>
              <w:spacing w:line="276" w:lineRule="auto"/>
              <w:rPr>
                <w:rFonts w:cs="Times New Roman"/>
                <w:sz w:val="18"/>
                <w:szCs w:val="18"/>
              </w:rPr>
            </w:pPr>
            <w:proofErr w:type="spellStart"/>
            <w:r w:rsidRPr="00D2239A">
              <w:rPr>
                <w:rFonts w:cs="Times New Roman"/>
                <w:sz w:val="18"/>
                <w:szCs w:val="18"/>
              </w:rPr>
              <w:t>Karamouzian</w:t>
            </w:r>
            <w:proofErr w:type="spellEnd"/>
            <w:r w:rsidRPr="00D2239A">
              <w:rPr>
                <w:rFonts w:cs="Times New Roman"/>
                <w:sz w:val="18"/>
                <w:szCs w:val="18"/>
              </w:rPr>
              <w:t xml:space="preserve"> </w:t>
            </w:r>
            <w:r w:rsidRPr="00D2239A">
              <w:rPr>
                <w:rFonts w:cs="Times New Roman"/>
                <w:i/>
                <w:iCs/>
                <w:sz w:val="18"/>
                <w:szCs w:val="18"/>
              </w:rPr>
              <w:t>et al.</w:t>
            </w:r>
            <w:r w:rsidRPr="00D2239A">
              <w:rPr>
                <w:rFonts w:cs="Times New Roman"/>
                <w:sz w:val="18"/>
                <w:szCs w:val="18"/>
              </w:rPr>
              <w:t xml:space="preserve"> (2019)</w:t>
            </w:r>
            <w:r w:rsidRPr="00D2239A">
              <w:rPr>
                <w:rFonts w:cs="Times New Roman"/>
                <w:sz w:val="18"/>
                <w:szCs w:val="18"/>
              </w:rPr>
              <w:fldChar w:fldCharType="begin"/>
            </w:r>
            <w:r>
              <w:rPr>
                <w:rFonts w:cs="Times New Roman"/>
                <w:sz w:val="18"/>
                <w:szCs w:val="18"/>
              </w:rPr>
              <w:instrText xml:space="preserve"> ADDIN EN.CITE &lt;EndNote&gt;&lt;Cite&gt;&lt;Author&gt;Karamouzian&lt;/Author&gt;&lt;Year&gt;2019&lt;/Year&gt;&lt;RecNum&gt;34&lt;/RecNum&gt;&lt;DisplayText&gt;&lt;style face="superscript"&gt;37&lt;/style&gt;&lt;/DisplayText&gt;&lt;record&gt;&lt;rec-number&gt;34&lt;/rec-number&gt;&lt;foreign-keys&gt;&lt;key app="EN" db-id="ffv9f0td1taf24ev0z1paazh2dx55xvtwsv9" timestamp="1705003970"&gt;34&lt;/key&gt;&lt;/foreign-keys&gt;&lt;ref-type name="Journal Article"&gt;17&lt;/ref-type&gt;&lt;contributors&gt;&lt;authors&gt;&lt;author&gt;Karamouzian, Mohammad&lt;/author&gt;&lt;author&gt;Kuo, Margot&lt;/author&gt;&lt;author&gt;Crabtree, Alexis&lt;/author&gt;&lt;author&gt;Buxton, Jane A&lt;/author&gt;&lt;/authors&gt;&lt;/contributors&gt;&lt;titles&gt;&lt;title&gt;Correlates of seeking emergency medical help in the event of an overdose in British Columbia, Canada: Findings from the Take Home Naloxone program&lt;/title&gt;&lt;secondary-title&gt;International Journal of Drug Policy&lt;/secondary-title&gt;&lt;/titles&gt;&lt;periodical&gt;&lt;full-title&gt;International Journal of Drug Policy&lt;/full-title&gt;&lt;/periodical&gt;&lt;pages&gt;157-163&lt;/pages&gt;&lt;volume&gt;71&lt;/volume&gt;&lt;dates&gt;&lt;year&gt;2019&lt;/year&gt;&lt;/dates&gt;&lt;isbn&gt;0955-3959&lt;/isbn&gt;&lt;urls&gt;&lt;/urls&gt;&lt;/record&gt;&lt;/Cite&gt;&lt;/EndNote&gt;</w:instrText>
            </w:r>
            <w:r w:rsidRPr="00D2239A">
              <w:rPr>
                <w:rFonts w:cs="Times New Roman"/>
                <w:sz w:val="18"/>
                <w:szCs w:val="18"/>
              </w:rPr>
              <w:fldChar w:fldCharType="separate"/>
            </w:r>
            <w:r w:rsidRPr="0058100D">
              <w:rPr>
                <w:rFonts w:cs="Times New Roman"/>
                <w:noProof/>
                <w:sz w:val="18"/>
                <w:szCs w:val="18"/>
                <w:vertAlign w:val="superscript"/>
              </w:rPr>
              <w:t>37</w:t>
            </w:r>
            <w:r w:rsidRPr="00D2239A">
              <w:rPr>
                <w:rFonts w:cs="Times New Roman"/>
                <w:sz w:val="18"/>
                <w:szCs w:val="18"/>
              </w:rPr>
              <w:fldChar w:fldCharType="end"/>
            </w:r>
          </w:p>
        </w:tc>
      </w:tr>
      <w:tr w:rsidR="0058100D" w:rsidRPr="00D2239A" w14:paraId="1B2CBF81" w14:textId="77777777" w:rsidTr="00435936">
        <w:tc>
          <w:tcPr>
            <w:tcW w:w="3865" w:type="dxa"/>
          </w:tcPr>
          <w:p w14:paraId="3B8FC33B" w14:textId="77777777" w:rsidR="0058100D" w:rsidRPr="00D2239A" w:rsidRDefault="0058100D" w:rsidP="00435936">
            <w:pPr>
              <w:spacing w:line="276" w:lineRule="auto"/>
              <w:rPr>
                <w:rFonts w:cs="Times New Roman"/>
                <w:sz w:val="18"/>
                <w:szCs w:val="18"/>
              </w:rPr>
            </w:pPr>
            <w:r w:rsidRPr="00D2239A">
              <w:rPr>
                <w:rFonts w:cs="Times New Roman"/>
                <w:b/>
                <w:bCs/>
                <w:sz w:val="18"/>
                <w:szCs w:val="18"/>
              </w:rPr>
              <w:t xml:space="preserve">Other mortality parameters </w:t>
            </w:r>
          </w:p>
        </w:tc>
        <w:tc>
          <w:tcPr>
            <w:tcW w:w="2160" w:type="dxa"/>
          </w:tcPr>
          <w:p w14:paraId="15416FED" w14:textId="77777777" w:rsidR="0058100D" w:rsidRPr="00D2239A" w:rsidRDefault="0058100D" w:rsidP="00435936">
            <w:pPr>
              <w:spacing w:line="276" w:lineRule="auto"/>
              <w:jc w:val="center"/>
              <w:rPr>
                <w:rFonts w:cs="Times New Roman"/>
                <w:sz w:val="18"/>
                <w:szCs w:val="18"/>
              </w:rPr>
            </w:pPr>
          </w:p>
        </w:tc>
        <w:tc>
          <w:tcPr>
            <w:tcW w:w="1440" w:type="dxa"/>
          </w:tcPr>
          <w:p w14:paraId="0A6F9824" w14:textId="77777777" w:rsidR="0058100D" w:rsidRPr="00D2239A" w:rsidRDefault="0058100D" w:rsidP="00435936">
            <w:pPr>
              <w:spacing w:line="276" w:lineRule="auto"/>
              <w:jc w:val="center"/>
              <w:rPr>
                <w:rFonts w:cs="Times New Roman"/>
                <w:sz w:val="18"/>
                <w:szCs w:val="18"/>
              </w:rPr>
            </w:pPr>
          </w:p>
        </w:tc>
        <w:tc>
          <w:tcPr>
            <w:tcW w:w="1885" w:type="dxa"/>
          </w:tcPr>
          <w:p w14:paraId="762C43AA" w14:textId="77777777" w:rsidR="0058100D" w:rsidRPr="00D2239A" w:rsidRDefault="0058100D" w:rsidP="00435936">
            <w:pPr>
              <w:spacing w:line="276" w:lineRule="auto"/>
              <w:rPr>
                <w:rFonts w:cs="Times New Roman"/>
                <w:sz w:val="18"/>
                <w:szCs w:val="18"/>
              </w:rPr>
            </w:pPr>
            <w:r w:rsidRPr="00D2239A">
              <w:rPr>
                <w:rFonts w:cs="Times New Roman"/>
                <w:sz w:val="18"/>
                <w:szCs w:val="18"/>
              </w:rPr>
              <w:t>Supplement S</w:t>
            </w:r>
            <w:r>
              <w:rPr>
                <w:rFonts w:cs="Times New Roman"/>
                <w:sz w:val="18"/>
                <w:szCs w:val="18"/>
              </w:rPr>
              <w:t>2</w:t>
            </w:r>
            <w:r w:rsidRPr="00D2239A">
              <w:rPr>
                <w:rFonts w:cs="Times New Roman"/>
                <w:sz w:val="18"/>
                <w:szCs w:val="18"/>
              </w:rPr>
              <w:t>.4.3</w:t>
            </w:r>
          </w:p>
        </w:tc>
      </w:tr>
      <w:tr w:rsidR="0058100D" w:rsidRPr="00D2239A" w14:paraId="14B0DA4A" w14:textId="77777777" w:rsidTr="00435936">
        <w:tc>
          <w:tcPr>
            <w:tcW w:w="3865" w:type="dxa"/>
          </w:tcPr>
          <w:p w14:paraId="1EBB7D53" w14:textId="77777777" w:rsidR="0058100D" w:rsidRPr="00D2239A" w:rsidRDefault="0058100D" w:rsidP="00435936">
            <w:pPr>
              <w:spacing w:line="276" w:lineRule="auto"/>
              <w:rPr>
                <w:rFonts w:cs="Times New Roman"/>
                <w:sz w:val="18"/>
                <w:szCs w:val="18"/>
              </w:rPr>
            </w:pPr>
            <w:r w:rsidRPr="00D2239A">
              <w:rPr>
                <w:rFonts w:cs="Times New Roman"/>
                <w:sz w:val="18"/>
                <w:szCs w:val="18"/>
              </w:rPr>
              <w:t>SMR of opioid-use population vs. general population</w:t>
            </w:r>
          </w:p>
        </w:tc>
        <w:tc>
          <w:tcPr>
            <w:tcW w:w="2160" w:type="dxa"/>
          </w:tcPr>
          <w:p w14:paraId="19C39B3E"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5.02</w:t>
            </w:r>
          </w:p>
        </w:tc>
        <w:tc>
          <w:tcPr>
            <w:tcW w:w="1440" w:type="dxa"/>
          </w:tcPr>
          <w:p w14:paraId="002754F2"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[4.21, 5.98]</w:t>
            </w:r>
          </w:p>
        </w:tc>
        <w:tc>
          <w:tcPr>
            <w:tcW w:w="1885" w:type="dxa"/>
          </w:tcPr>
          <w:p w14:paraId="7FF27CF6" w14:textId="77777777" w:rsidR="0058100D" w:rsidRPr="00D2239A" w:rsidRDefault="0058100D" w:rsidP="00435936">
            <w:pPr>
              <w:spacing w:line="276" w:lineRule="auto"/>
              <w:rPr>
                <w:rFonts w:cs="Times New Roman"/>
                <w:sz w:val="18"/>
                <w:szCs w:val="18"/>
              </w:rPr>
            </w:pPr>
            <w:r w:rsidRPr="00D2239A">
              <w:rPr>
                <w:rFonts w:cs="Times New Roman"/>
                <w:sz w:val="18"/>
                <w:szCs w:val="18"/>
              </w:rPr>
              <w:t xml:space="preserve">Larney </w:t>
            </w:r>
            <w:r w:rsidRPr="00D2239A">
              <w:rPr>
                <w:rFonts w:cs="Times New Roman"/>
                <w:i/>
                <w:iCs/>
                <w:sz w:val="18"/>
                <w:szCs w:val="18"/>
              </w:rPr>
              <w:t>et al.</w:t>
            </w:r>
            <w:r w:rsidRPr="00D2239A">
              <w:rPr>
                <w:rFonts w:cs="Times New Roman"/>
                <w:sz w:val="18"/>
                <w:szCs w:val="18"/>
              </w:rPr>
              <w:t xml:space="preserve"> (2020)</w:t>
            </w:r>
            <w:r w:rsidRPr="00D2239A">
              <w:rPr>
                <w:rFonts w:cs="Times New Roman"/>
                <w:sz w:val="18"/>
                <w:szCs w:val="18"/>
              </w:rPr>
              <w:fldChar w:fldCharType="begin"/>
            </w:r>
            <w:r>
              <w:rPr>
                <w:rFonts w:cs="Times New Roman"/>
                <w:sz w:val="18"/>
                <w:szCs w:val="18"/>
              </w:rPr>
              <w:instrText xml:space="preserve"> ADDIN EN.CITE &lt;EndNote&gt;&lt;Cite&gt;&lt;Author&gt;Larney&lt;/Author&gt;&lt;Year&gt;2020&lt;/Year&gt;&lt;RecNum&gt;20&lt;/RecNum&gt;&lt;DisplayText&gt;&lt;style face="superscript"&gt;32&lt;/style&gt;&lt;/DisplayText&gt;&lt;record&gt;&lt;rec-number&gt;20&lt;/rec-number&gt;&lt;foreign-keys&gt;&lt;key app="EN" db-id="xxft2ztdi9wf0qee0zovvtvrpefvetvvad02" timestamp="1691429504" guid="cc387aa5-9f2d-4c1a-9401-1af995357f1b"&gt;20&lt;/key&gt;&lt;/foreign-keys&gt;&lt;ref-type name="Journal Article"&gt;17&lt;/ref-type&gt;&lt;contributors&gt;&lt;authors&gt;&lt;author&gt;Larney, Sarah&lt;/author&gt;&lt;author&gt;Tran, Lucy Thi&lt;/author&gt;&lt;author&gt;Leung, Janni&lt;/author&gt;&lt;author&gt;Santo, Thomas&lt;/author&gt;&lt;author&gt;Santomauro, Damian&lt;/author&gt;&lt;author&gt;Hickman, Matt&lt;/author&gt;&lt;author&gt;Peacock, Amy&lt;/author&gt;&lt;author&gt;Stockings, Emily&lt;/author&gt;&lt;author&gt;Degenhardt, Louisa&lt;/author&gt;&lt;/authors&gt;&lt;/contributors&gt;&lt;titles&gt;&lt;title&gt;All-cause and cause-specific mortality among people using extramedical opioids: a systematic review and meta-analysis&lt;/title&gt;&lt;secondary-title&gt;JAMA psychiatry&lt;/secondary-title&gt;&lt;/titles&gt;&lt;periodical&gt;&lt;full-title&gt;JAMA psychiatry&lt;/full-title&gt;&lt;/periodical&gt;&lt;pages&gt;493-502&lt;/pages&gt;&lt;volume&gt;77&lt;/volume&gt;&lt;number&gt;5&lt;/number&gt;&lt;dates&gt;&lt;year&gt;2020&lt;/year&gt;&lt;/dates&gt;&lt;isbn&gt;2168-622X&lt;/isbn&gt;&lt;urls&gt;&lt;/urls&gt;&lt;/record&gt;&lt;/Cite&gt;&lt;/EndNote&gt;</w:instrText>
            </w:r>
            <w:r w:rsidRPr="00D2239A">
              <w:rPr>
                <w:rFonts w:cs="Times New Roman"/>
                <w:sz w:val="18"/>
                <w:szCs w:val="18"/>
              </w:rPr>
              <w:fldChar w:fldCharType="separate"/>
            </w:r>
            <w:r w:rsidRPr="00EF4FB4">
              <w:rPr>
                <w:rFonts w:cs="Times New Roman"/>
                <w:noProof/>
                <w:sz w:val="18"/>
                <w:szCs w:val="18"/>
                <w:vertAlign w:val="superscript"/>
              </w:rPr>
              <w:t>32</w:t>
            </w:r>
            <w:r w:rsidRPr="00D2239A">
              <w:rPr>
                <w:rFonts w:cs="Times New Roman"/>
                <w:sz w:val="18"/>
                <w:szCs w:val="18"/>
              </w:rPr>
              <w:fldChar w:fldCharType="end"/>
            </w:r>
          </w:p>
        </w:tc>
      </w:tr>
      <w:tr w:rsidR="0058100D" w:rsidRPr="00D2239A" w14:paraId="11AF5658" w14:textId="77777777" w:rsidTr="00435936">
        <w:tc>
          <w:tcPr>
            <w:tcW w:w="3865" w:type="dxa"/>
          </w:tcPr>
          <w:p w14:paraId="5FB3008E" w14:textId="77777777" w:rsidR="0058100D" w:rsidRPr="00D2239A" w:rsidRDefault="0058100D" w:rsidP="00435936">
            <w:pPr>
              <w:spacing w:line="276" w:lineRule="auto"/>
              <w:rPr>
                <w:rFonts w:cs="Times New Roman"/>
                <w:sz w:val="18"/>
                <w:szCs w:val="18"/>
              </w:rPr>
            </w:pPr>
            <w:r w:rsidRPr="00D2239A">
              <w:rPr>
                <w:rFonts w:cs="Times New Roman"/>
                <w:sz w:val="18"/>
                <w:szCs w:val="18"/>
              </w:rPr>
              <w:t>RR of opioid-use population vs. non-opioid-use population</w:t>
            </w:r>
          </w:p>
        </w:tc>
        <w:tc>
          <w:tcPr>
            <w:tcW w:w="2160" w:type="dxa"/>
          </w:tcPr>
          <w:p w14:paraId="71291FD9"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5.43</w:t>
            </w:r>
          </w:p>
        </w:tc>
        <w:tc>
          <w:tcPr>
            <w:tcW w:w="1440" w:type="dxa"/>
          </w:tcPr>
          <w:p w14:paraId="51B7C6FC"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[4.52, 6.52]</w:t>
            </w:r>
          </w:p>
        </w:tc>
        <w:tc>
          <w:tcPr>
            <w:tcW w:w="1885" w:type="dxa"/>
          </w:tcPr>
          <w:p w14:paraId="125994D4" w14:textId="77777777" w:rsidR="0058100D" w:rsidRPr="00D2239A" w:rsidRDefault="0058100D" w:rsidP="00435936">
            <w:pPr>
              <w:spacing w:line="276" w:lineRule="auto"/>
              <w:rPr>
                <w:rFonts w:cs="Times New Roman"/>
                <w:sz w:val="18"/>
                <w:szCs w:val="18"/>
              </w:rPr>
            </w:pPr>
            <w:r w:rsidRPr="00D2239A">
              <w:rPr>
                <w:rFonts w:cs="Times New Roman"/>
                <w:sz w:val="18"/>
                <w:szCs w:val="18"/>
              </w:rPr>
              <w:t xml:space="preserve">Larney </w:t>
            </w:r>
            <w:r w:rsidRPr="00D2239A">
              <w:rPr>
                <w:rFonts w:cs="Times New Roman"/>
                <w:i/>
                <w:iCs/>
                <w:sz w:val="18"/>
                <w:szCs w:val="18"/>
              </w:rPr>
              <w:t>et al.</w:t>
            </w:r>
            <w:r w:rsidRPr="00D2239A">
              <w:rPr>
                <w:rFonts w:cs="Times New Roman"/>
                <w:sz w:val="18"/>
                <w:szCs w:val="18"/>
              </w:rPr>
              <w:t xml:space="preserve"> (2020)</w:t>
            </w:r>
            <w:r w:rsidRPr="00D2239A">
              <w:rPr>
                <w:rFonts w:cs="Times New Roman"/>
                <w:sz w:val="18"/>
                <w:szCs w:val="18"/>
              </w:rPr>
              <w:fldChar w:fldCharType="begin"/>
            </w:r>
            <w:r>
              <w:rPr>
                <w:rFonts w:cs="Times New Roman"/>
                <w:sz w:val="18"/>
                <w:szCs w:val="18"/>
              </w:rPr>
              <w:instrText xml:space="preserve"> ADDIN EN.CITE &lt;EndNote&gt;&lt;Cite&gt;&lt;Author&gt;Larney&lt;/Author&gt;&lt;Year&gt;2020&lt;/Year&gt;&lt;RecNum&gt;20&lt;/RecNum&gt;&lt;DisplayText&gt;&lt;style face="superscript"&gt;32&lt;/style&gt;&lt;/DisplayText&gt;&lt;record&gt;&lt;rec-number&gt;20&lt;/rec-number&gt;&lt;foreign-keys&gt;&lt;key app="EN" db-id="xxft2ztdi9wf0qee0zovvtvrpefvetvvad02" timestamp="1691429504" guid="cc387aa5-9f2d-4c1a-9401-1af995357f1b"&gt;20&lt;/key&gt;&lt;/foreign-keys&gt;&lt;ref-type name="Journal Article"&gt;17&lt;/ref-type&gt;&lt;contributors&gt;&lt;authors&gt;&lt;author&gt;Larney, Sarah&lt;/author&gt;&lt;author&gt;Tran, Lucy Thi&lt;/author&gt;&lt;author&gt;Leung, Janni&lt;/author&gt;&lt;author&gt;Santo, Thomas&lt;/author&gt;&lt;author&gt;Santomauro, Damian&lt;/author&gt;&lt;author&gt;Hickman, Matt&lt;/author&gt;&lt;author&gt;Peacock, Amy&lt;/author&gt;&lt;author&gt;Stockings, Emily&lt;/author&gt;&lt;author&gt;Degenhardt, Louisa&lt;/author&gt;&lt;/authors&gt;&lt;/contributors&gt;&lt;titles&gt;&lt;title&gt;All-cause and cause-specific mortality among people using extramedical opioids: a systematic review and meta-analysis&lt;/title&gt;&lt;secondary-title&gt;JAMA psychiatry&lt;/secondary-title&gt;&lt;/titles&gt;&lt;periodical&gt;&lt;full-title&gt;JAMA psychiatry&lt;/full-title&gt;&lt;/periodical&gt;&lt;pages&gt;493-502&lt;/pages&gt;&lt;volume&gt;77&lt;/volume&gt;&lt;number&gt;5&lt;/number&gt;&lt;dates&gt;&lt;year&gt;2020&lt;/year&gt;&lt;/dates&gt;&lt;isbn&gt;2168-622X&lt;/isbn&gt;&lt;urls&gt;&lt;/urls&gt;&lt;/record&gt;&lt;/Cite&gt;&lt;/EndNote&gt;</w:instrText>
            </w:r>
            <w:r w:rsidRPr="00D2239A">
              <w:rPr>
                <w:rFonts w:cs="Times New Roman"/>
                <w:sz w:val="18"/>
                <w:szCs w:val="18"/>
              </w:rPr>
              <w:fldChar w:fldCharType="separate"/>
            </w:r>
            <w:r w:rsidRPr="00EF4FB4">
              <w:rPr>
                <w:rFonts w:cs="Times New Roman"/>
                <w:noProof/>
                <w:sz w:val="18"/>
                <w:szCs w:val="18"/>
                <w:vertAlign w:val="superscript"/>
              </w:rPr>
              <w:t>32</w:t>
            </w:r>
            <w:r w:rsidRPr="00D2239A">
              <w:rPr>
                <w:rFonts w:cs="Times New Roman"/>
                <w:sz w:val="18"/>
                <w:szCs w:val="18"/>
              </w:rPr>
              <w:fldChar w:fldCharType="end"/>
            </w:r>
          </w:p>
        </w:tc>
      </w:tr>
      <w:tr w:rsidR="0058100D" w:rsidRPr="00D2239A" w14:paraId="1A77A861" w14:textId="77777777" w:rsidTr="00435936">
        <w:tc>
          <w:tcPr>
            <w:tcW w:w="3865" w:type="dxa"/>
          </w:tcPr>
          <w:p w14:paraId="0E9032D5" w14:textId="77777777" w:rsidR="0058100D" w:rsidRPr="00D2239A" w:rsidRDefault="0058100D" w:rsidP="00435936">
            <w:pPr>
              <w:spacing w:line="276" w:lineRule="auto"/>
              <w:rPr>
                <w:rFonts w:cs="Times New Roman"/>
                <w:sz w:val="18"/>
                <w:szCs w:val="18"/>
              </w:rPr>
            </w:pPr>
            <w:r w:rsidRPr="00D2239A">
              <w:rPr>
                <w:rFonts w:cs="Times New Roman"/>
                <w:sz w:val="18"/>
                <w:szCs w:val="18"/>
              </w:rPr>
              <w:t>Background mortality for general population</w:t>
            </w:r>
          </w:p>
        </w:tc>
        <w:tc>
          <w:tcPr>
            <w:tcW w:w="2160" w:type="dxa"/>
          </w:tcPr>
          <w:p w14:paraId="4CFAC615" w14:textId="77777777" w:rsidR="0058100D" w:rsidRPr="00D2239A" w:rsidRDefault="0058100D" w:rsidP="00435936">
            <w:pPr>
              <w:spacing w:line="276" w:lineRule="auto"/>
              <w:jc w:val="center"/>
              <w:rPr>
                <w:rFonts w:cs="Times New Roman"/>
                <w:sz w:val="18"/>
                <w:szCs w:val="18"/>
              </w:rPr>
            </w:pPr>
            <w:r w:rsidRPr="00D2239A">
              <w:rPr>
                <w:rFonts w:cs="Times New Roman"/>
                <w:sz w:val="18"/>
                <w:szCs w:val="18"/>
              </w:rPr>
              <w:t>Age and sex specific</w:t>
            </w:r>
          </w:p>
        </w:tc>
        <w:tc>
          <w:tcPr>
            <w:tcW w:w="1440" w:type="dxa"/>
          </w:tcPr>
          <w:p w14:paraId="4B8DF004" w14:textId="77777777" w:rsidR="0058100D" w:rsidRPr="00D2239A" w:rsidRDefault="0058100D" w:rsidP="00435936">
            <w:pPr>
              <w:spacing w:line="276" w:lineRule="auto"/>
              <w:jc w:val="center"/>
              <w:rPr>
                <w:rFonts w:cs="Times New Roman"/>
                <w:sz w:val="18"/>
                <w:szCs w:val="18"/>
              </w:rPr>
            </w:pPr>
          </w:p>
        </w:tc>
        <w:tc>
          <w:tcPr>
            <w:tcW w:w="1885" w:type="dxa"/>
          </w:tcPr>
          <w:p w14:paraId="1F3DA1DF" w14:textId="5FF6E02D" w:rsidR="0058100D" w:rsidRPr="00D2239A" w:rsidRDefault="0058100D" w:rsidP="00435936">
            <w:pPr>
              <w:spacing w:line="276" w:lineRule="auto"/>
              <w:rPr>
                <w:rFonts w:cs="Times New Roman"/>
                <w:sz w:val="18"/>
                <w:szCs w:val="18"/>
              </w:rPr>
            </w:pPr>
            <w:r w:rsidRPr="00D2239A">
              <w:rPr>
                <w:rFonts w:cs="Times New Roman"/>
                <w:sz w:val="18"/>
                <w:szCs w:val="18"/>
              </w:rPr>
              <w:t xml:space="preserve">Arias </w:t>
            </w:r>
            <w:r w:rsidRPr="00D2239A">
              <w:rPr>
                <w:rFonts w:cs="Times New Roman"/>
                <w:i/>
                <w:iCs/>
                <w:sz w:val="18"/>
                <w:szCs w:val="18"/>
              </w:rPr>
              <w:t>et al</w:t>
            </w:r>
            <w:r w:rsidRPr="00D2239A">
              <w:rPr>
                <w:rFonts w:cs="Times New Roman"/>
                <w:sz w:val="18"/>
                <w:szCs w:val="18"/>
              </w:rPr>
              <w:t>. (2022)</w:t>
            </w:r>
            <w:r w:rsidRPr="00D2239A">
              <w:rPr>
                <w:rFonts w:cs="Times New Roman"/>
                <w:sz w:val="18"/>
                <w:szCs w:val="18"/>
              </w:rPr>
              <w:fldChar w:fldCharType="begin"/>
            </w:r>
            <w:r w:rsidR="0037266D">
              <w:rPr>
                <w:rFonts w:cs="Times New Roman"/>
                <w:sz w:val="18"/>
                <w:szCs w:val="18"/>
              </w:rPr>
              <w:instrText xml:space="preserve"> ADDIN EN.CITE &lt;EndNote&gt;&lt;Cite&gt;&lt;Author&gt;Arias&lt;/Author&gt;&lt;Year&gt;2022&lt;/Year&gt;&lt;RecNum&gt;23&lt;/RecNum&gt;&lt;DisplayText&gt;&lt;style face="superscript"&gt;33&lt;/style&gt;&lt;/DisplayText&gt;&lt;record&gt;&lt;rec-number&gt;23&lt;/rec-number&gt;&lt;foreign-keys&gt;&lt;key app="EN" db-id="pwwedrtwnpw20vervr1p9p2y9exw2awedx5t" timestamp="1774561197"&gt;23&lt;/key&gt;&lt;/foreign-keys&gt;&lt;ref-type name="Journal Article"&gt;17&lt;/ref-type&gt;&lt;contributors&gt;&lt;authors&gt;&lt;author&gt;Arias, E.&lt;/author&gt;&lt;author&gt;Xu, J.&lt;/author&gt;&lt;/authors&gt;&lt;/contributors&gt;&lt;titles&gt;&lt;title&gt;United States Life Tables, 2019&lt;/title&gt;&lt;secondary-title&gt;Natl Vital Stat Rep&lt;/secondary-title&gt;&lt;/titles&gt;&lt;periodical&gt;&lt;full-title&gt;Natl Vital Stat Rep&lt;/full-title&gt;&lt;/periodical&gt;&lt;pages&gt;1-59&lt;/pages&gt;&lt;volume&gt;70&lt;/volume&gt;&lt;number&gt;19&lt;/number&gt;&lt;edition&gt;2022/03/24&lt;/edition&gt;&lt;keywords&gt;&lt;keyword&gt;*Alaska Natives&lt;/keyword&gt;&lt;keyword&gt;Ethnicity&lt;/keyword&gt;&lt;keyword&gt;Hispanic or Latino&lt;/keyword&gt;&lt;keyword&gt;Humans&lt;/keyword&gt;&lt;keyword&gt;*Life Expectancy&lt;/keyword&gt;&lt;keyword&gt;Life Tables&lt;/keyword&gt;&lt;keyword&gt;United States/epidemiology&lt;/keyword&gt;&lt;/keywords&gt;&lt;dates&gt;&lt;year&gt;2022&lt;/year&gt;&lt;pub-dates&gt;&lt;date&gt;Mar&lt;/date&gt;&lt;/pub-dates&gt;&lt;/dates&gt;&lt;isbn&gt;1551-8930 (Electronic)&amp;#xD;1551-8922 (Linking)&lt;/isbn&gt;&lt;accession-num&gt;35319436&lt;/accession-num&gt;&lt;urls&gt;&lt;related-urls&gt;&lt;url&gt;https://www.ncbi.nlm.nih.gov/pubmed/35319436&lt;/url&gt;&lt;/related-urls&gt;&lt;/urls&gt;&lt;/record&gt;&lt;/Cite&gt;&lt;/EndNote&gt;</w:instrText>
            </w:r>
            <w:r w:rsidRPr="00D2239A">
              <w:rPr>
                <w:rFonts w:cs="Times New Roman"/>
                <w:sz w:val="18"/>
                <w:szCs w:val="18"/>
              </w:rPr>
              <w:fldChar w:fldCharType="separate"/>
            </w:r>
            <w:r w:rsidRPr="00EF4FB4">
              <w:rPr>
                <w:rFonts w:cs="Times New Roman"/>
                <w:noProof/>
                <w:sz w:val="18"/>
                <w:szCs w:val="18"/>
                <w:vertAlign w:val="superscript"/>
              </w:rPr>
              <w:t>33</w:t>
            </w:r>
            <w:r w:rsidRPr="00D2239A">
              <w:rPr>
                <w:rFonts w:cs="Times New Roman"/>
                <w:sz w:val="18"/>
                <w:szCs w:val="18"/>
              </w:rPr>
              <w:fldChar w:fldCharType="end"/>
            </w:r>
          </w:p>
        </w:tc>
      </w:tr>
    </w:tbl>
    <w:p w14:paraId="7B8345D6" w14:textId="77777777" w:rsidR="0058100D" w:rsidRDefault="0058100D" w:rsidP="0058100D">
      <w:pPr>
        <w:spacing w:after="0" w:line="276" w:lineRule="auto"/>
        <w:rPr>
          <w:rFonts w:cs="Times New Roman"/>
          <w:i/>
          <w:iCs/>
          <w:sz w:val="18"/>
          <w:szCs w:val="18"/>
        </w:rPr>
      </w:pPr>
      <w:r w:rsidRPr="00D2239A">
        <w:rPr>
          <w:rFonts w:cs="Times New Roman"/>
          <w:i/>
          <w:iCs/>
          <w:sz w:val="18"/>
          <w:szCs w:val="18"/>
        </w:rPr>
        <w:t>HR: hazard ratio, MOUD: medications for opioid use disorder, OUD: opioid use disorder, SMR: standardized mortality ratio, RR: relative risk</w:t>
      </w:r>
    </w:p>
    <w:p w14:paraId="761B1036" w14:textId="77777777" w:rsidR="0058100D" w:rsidRDefault="0058100D" w:rsidP="0058100D">
      <w:pPr>
        <w:spacing w:after="0" w:line="276" w:lineRule="auto"/>
        <w:rPr>
          <w:rFonts w:cs="Times New Roman"/>
          <w:i/>
          <w:iCs/>
          <w:sz w:val="18"/>
          <w:szCs w:val="18"/>
        </w:rPr>
      </w:pPr>
    </w:p>
    <w:p w14:paraId="0749CFFF" w14:textId="77777777" w:rsidR="0058100D" w:rsidRDefault="0058100D" w:rsidP="0058100D">
      <w:pPr>
        <w:spacing w:after="0" w:line="276" w:lineRule="auto"/>
        <w:rPr>
          <w:rFonts w:cs="Times New Roman"/>
          <w:i/>
          <w:iCs/>
          <w:sz w:val="18"/>
          <w:szCs w:val="18"/>
        </w:rPr>
      </w:pPr>
    </w:p>
    <w:p w14:paraId="35BD1E2A" w14:textId="77777777" w:rsidR="0058100D" w:rsidRDefault="0058100D" w:rsidP="0058100D">
      <w:pPr>
        <w:spacing w:after="0" w:line="276" w:lineRule="auto"/>
        <w:rPr>
          <w:rFonts w:cs="Times New Roman"/>
          <w:i/>
          <w:iCs/>
          <w:sz w:val="18"/>
          <w:szCs w:val="18"/>
        </w:rPr>
      </w:pPr>
      <w:r>
        <w:rPr>
          <w:rFonts w:cs="Times New Roman"/>
          <w:i/>
          <w:iCs/>
          <w:sz w:val="18"/>
          <w:szCs w:val="18"/>
        </w:rPr>
        <w:br w:type="page"/>
      </w:r>
    </w:p>
    <w:p w14:paraId="333AF166" w14:textId="4D95FC62" w:rsidR="0058100D" w:rsidRPr="0058100D" w:rsidRDefault="00A87FBF" w:rsidP="0058100D">
      <w:pPr>
        <w:pStyle w:val="table-title"/>
        <w:ind w:left="0" w:firstLine="0"/>
        <w:rPr>
          <w:rFonts w:ascii="Times New Roman" w:hAnsi="Times New Roman"/>
          <w:szCs w:val="20"/>
        </w:rPr>
      </w:pPr>
      <w:r w:rsidRPr="00626C29">
        <w:rPr>
          <w:rFonts w:ascii="Times New Roman" w:hAnsi="Times New Roman"/>
          <w:b/>
          <w:szCs w:val="20"/>
        </w:rPr>
        <w:lastRenderedPageBreak/>
        <w:t xml:space="preserve">Supplementary </w:t>
      </w:r>
      <w:r w:rsidR="0058100D" w:rsidRPr="0058100D">
        <w:rPr>
          <w:rFonts w:ascii="Times New Roman" w:hAnsi="Times New Roman"/>
          <w:b/>
          <w:szCs w:val="20"/>
        </w:rPr>
        <w:t xml:space="preserve">Table 17. </w:t>
      </w:r>
      <w:r w:rsidR="0058100D" w:rsidRPr="0058100D">
        <w:rPr>
          <w:rFonts w:ascii="Times New Roman" w:hAnsi="Times New Roman"/>
          <w:szCs w:val="20"/>
        </w:rPr>
        <w:t>Summary of calibrated parameters across 26 HCS communities.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1"/>
        <w:gridCol w:w="1554"/>
        <w:gridCol w:w="1440"/>
        <w:gridCol w:w="1530"/>
      </w:tblGrid>
      <w:tr w:rsidR="0058100D" w:rsidRPr="00D2239A" w14:paraId="66B2C605" w14:textId="77777777" w:rsidTr="00435936">
        <w:trPr>
          <w:trHeight w:val="300"/>
        </w:trPr>
        <w:tc>
          <w:tcPr>
            <w:tcW w:w="4831" w:type="dxa"/>
            <w:hideMark/>
          </w:tcPr>
          <w:p w14:paraId="774B9C1C" w14:textId="77777777" w:rsidR="0058100D" w:rsidRPr="00D2239A" w:rsidRDefault="0058100D" w:rsidP="00435936">
            <w:pPr>
              <w:spacing w:after="0" w:line="240" w:lineRule="auto"/>
              <w:rPr>
                <w:rFonts w:eastAsia="Times New Roman" w:cs="Times New Roman"/>
                <w:b/>
                <w:bCs/>
                <w:color w:val="000000"/>
                <w:kern w:val="0"/>
                <w:sz w:val="18"/>
                <w:szCs w:val="18"/>
                <w:lang w:eastAsia="zh-CN"/>
                <w14:ligatures w14:val="none"/>
              </w:rPr>
            </w:pPr>
            <w:r w:rsidRPr="00D2239A">
              <w:rPr>
                <w:rFonts w:eastAsia="Times New Roman" w:cs="Times New Roman"/>
                <w:b/>
                <w:bCs/>
                <w:color w:val="000000"/>
                <w:kern w:val="0"/>
                <w:sz w:val="18"/>
                <w:szCs w:val="18"/>
                <w:lang w:eastAsia="zh-CN"/>
                <w14:ligatures w14:val="none"/>
              </w:rPr>
              <w:t>Parameters</w:t>
            </w:r>
          </w:p>
        </w:tc>
        <w:tc>
          <w:tcPr>
            <w:tcW w:w="1554" w:type="dxa"/>
            <w:noWrap/>
            <w:hideMark/>
          </w:tcPr>
          <w:p w14:paraId="2AB0D802" w14:textId="77777777" w:rsidR="0058100D" w:rsidRPr="00D2239A" w:rsidRDefault="0058100D" w:rsidP="00435936">
            <w:pPr>
              <w:spacing w:after="0" w:line="240" w:lineRule="auto"/>
              <w:jc w:val="center"/>
              <w:rPr>
                <w:rFonts w:eastAsia="Times New Roman" w:cs="Times New Roman"/>
                <w:b/>
                <w:bCs/>
                <w:color w:val="000000"/>
                <w:kern w:val="0"/>
                <w:sz w:val="18"/>
                <w:szCs w:val="18"/>
                <w:lang w:eastAsia="zh-CN"/>
                <w14:ligatures w14:val="none"/>
              </w:rPr>
            </w:pPr>
            <w:r w:rsidRPr="00D2239A">
              <w:rPr>
                <w:rFonts w:eastAsia="Times New Roman" w:cs="Times New Roman"/>
                <w:b/>
                <w:bCs/>
                <w:color w:val="000000"/>
                <w:kern w:val="0"/>
                <w:sz w:val="18"/>
                <w:szCs w:val="18"/>
                <w:lang w:eastAsia="zh-CN"/>
                <w14:ligatures w14:val="none"/>
              </w:rPr>
              <w:t>Mean</w:t>
            </w:r>
          </w:p>
        </w:tc>
        <w:tc>
          <w:tcPr>
            <w:tcW w:w="1440" w:type="dxa"/>
          </w:tcPr>
          <w:p w14:paraId="5D5B85B0" w14:textId="77777777" w:rsidR="0058100D" w:rsidRPr="00D2239A" w:rsidRDefault="0058100D" w:rsidP="00435936">
            <w:pPr>
              <w:spacing w:after="0" w:line="240" w:lineRule="auto"/>
              <w:jc w:val="center"/>
              <w:rPr>
                <w:rFonts w:eastAsia="Times New Roman" w:cs="Times New Roman"/>
                <w:b/>
                <w:bCs/>
                <w:color w:val="000000"/>
                <w:kern w:val="0"/>
                <w:sz w:val="18"/>
                <w:szCs w:val="18"/>
                <w:lang w:eastAsia="zh-CN"/>
                <w14:ligatures w14:val="none"/>
              </w:rPr>
            </w:pPr>
            <w:r w:rsidRPr="00D2239A">
              <w:rPr>
                <w:rFonts w:eastAsia="Times New Roman" w:cs="Times New Roman"/>
                <w:b/>
                <w:bCs/>
                <w:color w:val="000000"/>
                <w:kern w:val="0"/>
                <w:sz w:val="18"/>
                <w:szCs w:val="18"/>
                <w:lang w:eastAsia="zh-CN"/>
                <w14:ligatures w14:val="none"/>
              </w:rPr>
              <w:t>Min</w:t>
            </w:r>
          </w:p>
        </w:tc>
        <w:tc>
          <w:tcPr>
            <w:tcW w:w="1530" w:type="dxa"/>
          </w:tcPr>
          <w:p w14:paraId="1B249D49" w14:textId="77777777" w:rsidR="0058100D" w:rsidRPr="00D2239A" w:rsidRDefault="0058100D" w:rsidP="00435936">
            <w:pPr>
              <w:spacing w:after="0" w:line="240" w:lineRule="auto"/>
              <w:jc w:val="center"/>
              <w:rPr>
                <w:rFonts w:eastAsia="Times New Roman" w:cs="Times New Roman"/>
                <w:b/>
                <w:bCs/>
                <w:color w:val="000000"/>
                <w:kern w:val="0"/>
                <w:sz w:val="18"/>
                <w:szCs w:val="18"/>
                <w:lang w:eastAsia="zh-CN"/>
                <w14:ligatures w14:val="none"/>
              </w:rPr>
            </w:pPr>
            <w:r w:rsidRPr="00D2239A">
              <w:rPr>
                <w:rFonts w:eastAsia="Times New Roman" w:cs="Times New Roman"/>
                <w:b/>
                <w:bCs/>
                <w:color w:val="000000"/>
                <w:kern w:val="0"/>
                <w:sz w:val="18"/>
                <w:szCs w:val="18"/>
                <w:lang w:eastAsia="zh-CN"/>
                <w14:ligatures w14:val="none"/>
              </w:rPr>
              <w:t>Max</w:t>
            </w:r>
          </w:p>
        </w:tc>
      </w:tr>
      <w:tr w:rsidR="0058100D" w:rsidRPr="00D2239A" w14:paraId="5FD515B8" w14:textId="77777777" w:rsidTr="00435936">
        <w:trPr>
          <w:trHeight w:val="300"/>
        </w:trPr>
        <w:tc>
          <w:tcPr>
            <w:tcW w:w="4831" w:type="dxa"/>
            <w:hideMark/>
          </w:tcPr>
          <w:p w14:paraId="7363991C" w14:textId="77777777" w:rsidR="0058100D" w:rsidRPr="00D2239A" w:rsidRDefault="0058100D" w:rsidP="00435936">
            <w:pPr>
              <w:spacing w:after="0" w:line="240" w:lineRule="auto"/>
              <w:rPr>
                <w:rFonts w:eastAsia="Times New Roman" w:cs="Times New Roman"/>
                <w:b/>
                <w:bCs/>
                <w:color w:val="000000"/>
                <w:kern w:val="0"/>
                <w:sz w:val="18"/>
                <w:szCs w:val="18"/>
                <w:lang w:eastAsia="zh-CN"/>
                <w14:ligatures w14:val="none"/>
              </w:rPr>
            </w:pPr>
            <w:r w:rsidRPr="00D2239A">
              <w:rPr>
                <w:rFonts w:eastAsia="Times New Roman" w:cs="Times New Roman"/>
                <w:b/>
                <w:bCs/>
                <w:color w:val="000000"/>
                <w:kern w:val="0"/>
                <w:sz w:val="18"/>
                <w:szCs w:val="18"/>
                <w:lang w:eastAsia="zh-CN"/>
                <w14:ligatures w14:val="none"/>
              </w:rPr>
              <w:t>Transition probabilities (monthly)</w:t>
            </w:r>
          </w:p>
        </w:tc>
        <w:tc>
          <w:tcPr>
            <w:tcW w:w="1554" w:type="dxa"/>
            <w:hideMark/>
          </w:tcPr>
          <w:p w14:paraId="4EF5CB92" w14:textId="77777777" w:rsidR="0058100D" w:rsidRPr="00D2239A" w:rsidRDefault="0058100D" w:rsidP="00435936">
            <w:pPr>
              <w:spacing w:after="0" w:line="240" w:lineRule="auto"/>
              <w:jc w:val="center"/>
              <w:rPr>
                <w:rFonts w:eastAsia="Times New Roman" w:cs="Times New Roman"/>
                <w:kern w:val="0"/>
                <w:sz w:val="18"/>
                <w:szCs w:val="18"/>
                <w:lang w:eastAsia="zh-CN"/>
                <w14:ligatures w14:val="none"/>
              </w:rPr>
            </w:pPr>
          </w:p>
        </w:tc>
        <w:tc>
          <w:tcPr>
            <w:tcW w:w="1440" w:type="dxa"/>
          </w:tcPr>
          <w:p w14:paraId="468F7861" w14:textId="77777777" w:rsidR="0058100D" w:rsidRPr="00D2239A" w:rsidRDefault="0058100D" w:rsidP="00435936">
            <w:pPr>
              <w:spacing w:after="0" w:line="240" w:lineRule="auto"/>
              <w:jc w:val="center"/>
              <w:rPr>
                <w:rFonts w:eastAsia="Times New Roman" w:cs="Times New Roman"/>
                <w:kern w:val="0"/>
                <w:sz w:val="18"/>
                <w:szCs w:val="18"/>
                <w:lang w:eastAsia="zh-CN"/>
                <w14:ligatures w14:val="none"/>
              </w:rPr>
            </w:pPr>
          </w:p>
        </w:tc>
        <w:tc>
          <w:tcPr>
            <w:tcW w:w="1530" w:type="dxa"/>
          </w:tcPr>
          <w:p w14:paraId="090A0100" w14:textId="77777777" w:rsidR="0058100D" w:rsidRPr="00D2239A" w:rsidRDefault="0058100D" w:rsidP="00435936">
            <w:pPr>
              <w:spacing w:after="0" w:line="240" w:lineRule="auto"/>
              <w:jc w:val="center"/>
              <w:rPr>
                <w:rFonts w:eastAsia="Times New Roman" w:cs="Times New Roman"/>
                <w:kern w:val="0"/>
                <w:sz w:val="18"/>
                <w:szCs w:val="18"/>
                <w:lang w:eastAsia="zh-CN"/>
                <w14:ligatures w14:val="none"/>
              </w:rPr>
            </w:pPr>
          </w:p>
        </w:tc>
      </w:tr>
      <w:tr w:rsidR="0058100D" w:rsidRPr="00D2239A" w14:paraId="06981968" w14:textId="77777777" w:rsidTr="00435936">
        <w:trPr>
          <w:trHeight w:val="300"/>
        </w:trPr>
        <w:tc>
          <w:tcPr>
            <w:tcW w:w="4831" w:type="dxa"/>
            <w:hideMark/>
          </w:tcPr>
          <w:p w14:paraId="0CAF20F1" w14:textId="77777777" w:rsidR="0058100D" w:rsidRPr="00D2239A" w:rsidRDefault="0058100D" w:rsidP="00435936">
            <w:pPr>
              <w:spacing w:after="0" w:line="240" w:lineRule="auto"/>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 xml:space="preserve">From </w:t>
            </w:r>
            <w:r w:rsidRPr="00D2239A">
              <w:rPr>
                <w:rFonts w:eastAsia="Times New Roman" w:cs="Times New Roman"/>
                <w:i/>
                <w:iCs/>
                <w:color w:val="000000"/>
                <w:kern w:val="0"/>
                <w:sz w:val="18"/>
                <w:szCs w:val="18"/>
                <w:lang w:eastAsia="zh-CN"/>
                <w14:ligatures w14:val="none"/>
              </w:rPr>
              <w:t xml:space="preserve">Prescription Opioid </w:t>
            </w:r>
            <w:r>
              <w:rPr>
                <w:rFonts w:eastAsia="Times New Roman" w:cs="Times New Roman"/>
                <w:i/>
                <w:iCs/>
                <w:color w:val="000000"/>
                <w:kern w:val="0"/>
                <w:sz w:val="18"/>
                <w:szCs w:val="18"/>
                <w:lang w:eastAsia="zh-CN"/>
                <w14:ligatures w14:val="none"/>
              </w:rPr>
              <w:t>Use</w:t>
            </w:r>
            <w:r w:rsidRPr="00D2239A">
              <w:rPr>
                <w:rFonts w:eastAsia="Times New Roman" w:cs="Times New Roman"/>
                <w:color w:val="000000"/>
                <w:kern w:val="0"/>
                <w:sz w:val="18"/>
                <w:szCs w:val="18"/>
                <w:lang w:eastAsia="zh-CN"/>
                <w14:ligatures w14:val="none"/>
              </w:rPr>
              <w:t xml:space="preserve"> to </w:t>
            </w:r>
            <w:r w:rsidRPr="00D2239A">
              <w:rPr>
                <w:rFonts w:eastAsia="Times New Roman" w:cs="Times New Roman"/>
                <w:i/>
                <w:iCs/>
                <w:color w:val="000000"/>
                <w:kern w:val="0"/>
                <w:sz w:val="18"/>
                <w:szCs w:val="18"/>
                <w:lang w:eastAsia="zh-CN"/>
                <w14:ligatures w14:val="none"/>
              </w:rPr>
              <w:t>Illicit Opioid Use</w:t>
            </w:r>
          </w:p>
        </w:tc>
        <w:tc>
          <w:tcPr>
            <w:tcW w:w="1554" w:type="dxa"/>
            <w:vAlign w:val="bottom"/>
            <w:hideMark/>
          </w:tcPr>
          <w:p w14:paraId="358F8303"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0.00010</w:t>
            </w:r>
          </w:p>
        </w:tc>
        <w:tc>
          <w:tcPr>
            <w:tcW w:w="1440" w:type="dxa"/>
            <w:vAlign w:val="bottom"/>
          </w:tcPr>
          <w:p w14:paraId="5DA1CC2D"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0.00008</w:t>
            </w:r>
          </w:p>
        </w:tc>
        <w:tc>
          <w:tcPr>
            <w:tcW w:w="1530" w:type="dxa"/>
            <w:vAlign w:val="bottom"/>
          </w:tcPr>
          <w:p w14:paraId="2322BC22"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0.00018</w:t>
            </w:r>
          </w:p>
        </w:tc>
      </w:tr>
      <w:tr w:rsidR="0058100D" w:rsidRPr="00D2239A" w14:paraId="2025314F" w14:textId="77777777" w:rsidTr="00435936">
        <w:trPr>
          <w:trHeight w:val="300"/>
        </w:trPr>
        <w:tc>
          <w:tcPr>
            <w:tcW w:w="4831" w:type="dxa"/>
            <w:hideMark/>
          </w:tcPr>
          <w:p w14:paraId="14134EFA" w14:textId="77777777" w:rsidR="0058100D" w:rsidRPr="00D2239A" w:rsidRDefault="0058100D" w:rsidP="00435936">
            <w:pPr>
              <w:spacing w:after="0" w:line="240" w:lineRule="auto"/>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 xml:space="preserve">From </w:t>
            </w:r>
            <w:r w:rsidRPr="00D2239A">
              <w:rPr>
                <w:rFonts w:eastAsia="Times New Roman" w:cs="Times New Roman"/>
                <w:i/>
                <w:iCs/>
                <w:color w:val="000000"/>
                <w:kern w:val="0"/>
                <w:sz w:val="18"/>
                <w:szCs w:val="18"/>
                <w:lang w:eastAsia="zh-CN"/>
                <w14:ligatures w14:val="none"/>
              </w:rPr>
              <w:t xml:space="preserve">Prescription Opioid </w:t>
            </w:r>
            <w:r>
              <w:rPr>
                <w:rFonts w:eastAsia="Times New Roman" w:cs="Times New Roman"/>
                <w:i/>
                <w:iCs/>
                <w:color w:val="000000"/>
                <w:kern w:val="0"/>
                <w:sz w:val="18"/>
                <w:szCs w:val="18"/>
                <w:lang w:eastAsia="zh-CN"/>
                <w14:ligatures w14:val="none"/>
              </w:rPr>
              <w:t>Use</w:t>
            </w:r>
            <w:r w:rsidRPr="00D2239A">
              <w:rPr>
                <w:rFonts w:eastAsia="Times New Roman" w:cs="Times New Roman"/>
                <w:color w:val="000000"/>
                <w:kern w:val="0"/>
                <w:sz w:val="18"/>
                <w:szCs w:val="18"/>
                <w:lang w:eastAsia="zh-CN"/>
                <w14:ligatures w14:val="none"/>
              </w:rPr>
              <w:t xml:space="preserve"> to </w:t>
            </w:r>
            <w:r w:rsidRPr="00D2239A">
              <w:rPr>
                <w:rFonts w:eastAsia="Times New Roman" w:cs="Times New Roman"/>
                <w:i/>
                <w:iCs/>
                <w:color w:val="000000"/>
                <w:kern w:val="0"/>
                <w:sz w:val="18"/>
                <w:szCs w:val="18"/>
                <w:lang w:eastAsia="zh-CN"/>
                <w14:ligatures w14:val="none"/>
              </w:rPr>
              <w:t>OUD</w:t>
            </w:r>
            <w:r w:rsidRPr="00D2239A">
              <w:rPr>
                <w:rFonts w:eastAsia="Times New Roman" w:cs="Times New Roman"/>
                <w:color w:val="000000"/>
                <w:kern w:val="0"/>
                <w:sz w:val="18"/>
                <w:szCs w:val="18"/>
                <w:lang w:eastAsia="zh-CN"/>
                <w14:ligatures w14:val="none"/>
              </w:rPr>
              <w:t xml:space="preserve"> </w:t>
            </w:r>
          </w:p>
        </w:tc>
        <w:tc>
          <w:tcPr>
            <w:tcW w:w="1554" w:type="dxa"/>
            <w:vAlign w:val="bottom"/>
            <w:hideMark/>
          </w:tcPr>
          <w:p w14:paraId="43C97608"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0.00415</w:t>
            </w:r>
          </w:p>
        </w:tc>
        <w:tc>
          <w:tcPr>
            <w:tcW w:w="1440" w:type="dxa"/>
            <w:vAlign w:val="bottom"/>
          </w:tcPr>
          <w:p w14:paraId="22C1E700"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0.00286</w:t>
            </w:r>
          </w:p>
        </w:tc>
        <w:tc>
          <w:tcPr>
            <w:tcW w:w="1530" w:type="dxa"/>
            <w:vAlign w:val="bottom"/>
          </w:tcPr>
          <w:p w14:paraId="03C7B987"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0.00675</w:t>
            </w:r>
          </w:p>
        </w:tc>
      </w:tr>
      <w:tr w:rsidR="0058100D" w:rsidRPr="00D2239A" w14:paraId="58B999EB" w14:textId="77777777" w:rsidTr="00435936">
        <w:trPr>
          <w:trHeight w:val="300"/>
        </w:trPr>
        <w:tc>
          <w:tcPr>
            <w:tcW w:w="4831" w:type="dxa"/>
            <w:hideMark/>
          </w:tcPr>
          <w:p w14:paraId="4DE15F31" w14:textId="77777777" w:rsidR="0058100D" w:rsidRPr="00D2239A" w:rsidRDefault="0058100D" w:rsidP="00435936">
            <w:pPr>
              <w:spacing w:after="0" w:line="240" w:lineRule="auto"/>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 xml:space="preserve">From </w:t>
            </w:r>
            <w:r w:rsidRPr="00D2239A">
              <w:rPr>
                <w:rFonts w:eastAsia="Times New Roman" w:cs="Times New Roman"/>
                <w:i/>
                <w:iCs/>
                <w:color w:val="000000"/>
                <w:kern w:val="0"/>
                <w:sz w:val="18"/>
                <w:szCs w:val="18"/>
                <w:lang w:eastAsia="zh-CN"/>
                <w14:ligatures w14:val="none"/>
              </w:rPr>
              <w:t xml:space="preserve">Prescription Opioid </w:t>
            </w:r>
            <w:r>
              <w:rPr>
                <w:rFonts w:eastAsia="Times New Roman" w:cs="Times New Roman"/>
                <w:i/>
                <w:iCs/>
                <w:color w:val="000000"/>
                <w:kern w:val="0"/>
                <w:sz w:val="18"/>
                <w:szCs w:val="18"/>
                <w:lang w:eastAsia="zh-CN"/>
                <w14:ligatures w14:val="none"/>
              </w:rPr>
              <w:t>Use</w:t>
            </w:r>
            <w:r w:rsidRPr="00D2239A">
              <w:rPr>
                <w:rFonts w:eastAsia="Times New Roman" w:cs="Times New Roman"/>
                <w:color w:val="000000"/>
                <w:kern w:val="0"/>
                <w:sz w:val="18"/>
                <w:szCs w:val="18"/>
                <w:lang w:eastAsia="zh-CN"/>
                <w14:ligatures w14:val="none"/>
              </w:rPr>
              <w:t xml:space="preserve"> to </w:t>
            </w:r>
            <w:r w:rsidRPr="00D2239A">
              <w:rPr>
                <w:rFonts w:eastAsia="Times New Roman" w:cs="Times New Roman"/>
                <w:i/>
                <w:iCs/>
                <w:color w:val="000000"/>
                <w:kern w:val="0"/>
                <w:sz w:val="18"/>
                <w:szCs w:val="18"/>
                <w:lang w:eastAsia="zh-CN"/>
                <w14:ligatures w14:val="none"/>
              </w:rPr>
              <w:t>Exit</w:t>
            </w:r>
          </w:p>
        </w:tc>
        <w:tc>
          <w:tcPr>
            <w:tcW w:w="1554" w:type="dxa"/>
            <w:vAlign w:val="bottom"/>
            <w:hideMark/>
          </w:tcPr>
          <w:p w14:paraId="5A0DBD2E"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0.00099</w:t>
            </w:r>
          </w:p>
        </w:tc>
        <w:tc>
          <w:tcPr>
            <w:tcW w:w="1440" w:type="dxa"/>
            <w:vAlign w:val="bottom"/>
          </w:tcPr>
          <w:p w14:paraId="5C1F7A81"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0.00077</w:t>
            </w:r>
          </w:p>
        </w:tc>
        <w:tc>
          <w:tcPr>
            <w:tcW w:w="1530" w:type="dxa"/>
            <w:vAlign w:val="bottom"/>
          </w:tcPr>
          <w:p w14:paraId="3EAB9D2D"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0.00110</w:t>
            </w:r>
          </w:p>
        </w:tc>
      </w:tr>
      <w:tr w:rsidR="0058100D" w:rsidRPr="00D2239A" w14:paraId="2378F477" w14:textId="77777777" w:rsidTr="00435936">
        <w:trPr>
          <w:trHeight w:val="300"/>
        </w:trPr>
        <w:tc>
          <w:tcPr>
            <w:tcW w:w="4831" w:type="dxa"/>
            <w:hideMark/>
          </w:tcPr>
          <w:p w14:paraId="6352ACA7" w14:textId="77777777" w:rsidR="0058100D" w:rsidRPr="00D2239A" w:rsidRDefault="0058100D" w:rsidP="00435936">
            <w:pPr>
              <w:spacing w:after="0" w:line="240" w:lineRule="auto"/>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 xml:space="preserve">From </w:t>
            </w:r>
            <w:r w:rsidRPr="00D2239A">
              <w:rPr>
                <w:rFonts w:eastAsia="Times New Roman" w:cs="Times New Roman"/>
                <w:i/>
                <w:iCs/>
                <w:color w:val="000000"/>
                <w:kern w:val="0"/>
                <w:sz w:val="18"/>
                <w:szCs w:val="18"/>
                <w:lang w:eastAsia="zh-CN"/>
                <w14:ligatures w14:val="none"/>
              </w:rPr>
              <w:t>Illicit Opioid Use</w:t>
            </w:r>
            <w:r w:rsidRPr="00D2239A">
              <w:rPr>
                <w:rFonts w:eastAsia="Times New Roman" w:cs="Times New Roman"/>
                <w:color w:val="000000"/>
                <w:kern w:val="0"/>
                <w:sz w:val="18"/>
                <w:szCs w:val="18"/>
                <w:lang w:eastAsia="zh-CN"/>
                <w14:ligatures w14:val="none"/>
              </w:rPr>
              <w:t xml:space="preserve"> to </w:t>
            </w:r>
            <w:r w:rsidRPr="00D2239A">
              <w:rPr>
                <w:rFonts w:eastAsia="Times New Roman" w:cs="Times New Roman"/>
                <w:i/>
                <w:iCs/>
                <w:color w:val="000000"/>
                <w:kern w:val="0"/>
                <w:sz w:val="18"/>
                <w:szCs w:val="18"/>
                <w:lang w:eastAsia="zh-CN"/>
                <w14:ligatures w14:val="none"/>
              </w:rPr>
              <w:t>OUD</w:t>
            </w:r>
          </w:p>
        </w:tc>
        <w:tc>
          <w:tcPr>
            <w:tcW w:w="1554" w:type="dxa"/>
            <w:vAlign w:val="bottom"/>
            <w:hideMark/>
          </w:tcPr>
          <w:p w14:paraId="75B66C2A"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0.01690</w:t>
            </w:r>
          </w:p>
        </w:tc>
        <w:tc>
          <w:tcPr>
            <w:tcW w:w="1440" w:type="dxa"/>
            <w:vAlign w:val="bottom"/>
          </w:tcPr>
          <w:p w14:paraId="72607DDE"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0.01082</w:t>
            </w:r>
          </w:p>
        </w:tc>
        <w:tc>
          <w:tcPr>
            <w:tcW w:w="1530" w:type="dxa"/>
            <w:vAlign w:val="bottom"/>
          </w:tcPr>
          <w:p w14:paraId="7AC99C2A"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0.03311</w:t>
            </w:r>
          </w:p>
        </w:tc>
      </w:tr>
      <w:tr w:rsidR="0058100D" w:rsidRPr="00D2239A" w14:paraId="457AEC4A" w14:textId="77777777" w:rsidTr="00435936">
        <w:trPr>
          <w:trHeight w:val="300"/>
        </w:trPr>
        <w:tc>
          <w:tcPr>
            <w:tcW w:w="4831" w:type="dxa"/>
            <w:hideMark/>
          </w:tcPr>
          <w:p w14:paraId="724740C9" w14:textId="77777777" w:rsidR="0058100D" w:rsidRPr="00D2239A" w:rsidRDefault="0058100D" w:rsidP="00435936">
            <w:pPr>
              <w:spacing w:after="0" w:line="240" w:lineRule="auto"/>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 xml:space="preserve">From </w:t>
            </w:r>
            <w:r w:rsidRPr="00D2239A">
              <w:rPr>
                <w:rFonts w:eastAsia="Times New Roman" w:cs="Times New Roman"/>
                <w:i/>
                <w:iCs/>
                <w:color w:val="000000"/>
                <w:kern w:val="0"/>
                <w:sz w:val="18"/>
                <w:szCs w:val="18"/>
                <w:lang w:eastAsia="zh-CN"/>
                <w14:ligatures w14:val="none"/>
              </w:rPr>
              <w:t>Illicit Opioid Use</w:t>
            </w:r>
            <w:r w:rsidRPr="00D2239A">
              <w:rPr>
                <w:rFonts w:eastAsia="Times New Roman" w:cs="Times New Roman"/>
                <w:color w:val="000000"/>
                <w:kern w:val="0"/>
                <w:sz w:val="18"/>
                <w:szCs w:val="18"/>
                <w:lang w:eastAsia="zh-CN"/>
                <w14:ligatures w14:val="none"/>
              </w:rPr>
              <w:t xml:space="preserve"> to </w:t>
            </w:r>
            <w:r w:rsidRPr="00D2239A">
              <w:rPr>
                <w:rFonts w:eastAsia="Times New Roman" w:cs="Times New Roman"/>
                <w:i/>
                <w:iCs/>
                <w:color w:val="000000"/>
                <w:kern w:val="0"/>
                <w:sz w:val="18"/>
                <w:szCs w:val="18"/>
                <w:lang w:eastAsia="zh-CN"/>
                <w14:ligatures w14:val="none"/>
              </w:rPr>
              <w:t>Exit</w:t>
            </w:r>
          </w:p>
        </w:tc>
        <w:tc>
          <w:tcPr>
            <w:tcW w:w="1554" w:type="dxa"/>
            <w:vAlign w:val="bottom"/>
            <w:hideMark/>
          </w:tcPr>
          <w:p w14:paraId="328D4AC4"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0.00101</w:t>
            </w:r>
          </w:p>
        </w:tc>
        <w:tc>
          <w:tcPr>
            <w:tcW w:w="1440" w:type="dxa"/>
            <w:vAlign w:val="bottom"/>
          </w:tcPr>
          <w:p w14:paraId="717A22D5"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0.00086</w:t>
            </w:r>
          </w:p>
        </w:tc>
        <w:tc>
          <w:tcPr>
            <w:tcW w:w="1530" w:type="dxa"/>
            <w:vAlign w:val="bottom"/>
          </w:tcPr>
          <w:p w14:paraId="75973937"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0.00112</w:t>
            </w:r>
          </w:p>
        </w:tc>
      </w:tr>
      <w:tr w:rsidR="0058100D" w:rsidRPr="00D2239A" w14:paraId="3598677E" w14:textId="77777777" w:rsidTr="00435936">
        <w:trPr>
          <w:trHeight w:val="288"/>
        </w:trPr>
        <w:tc>
          <w:tcPr>
            <w:tcW w:w="4831" w:type="dxa"/>
            <w:hideMark/>
          </w:tcPr>
          <w:p w14:paraId="17C7AFB9" w14:textId="77777777" w:rsidR="0058100D" w:rsidRPr="00D2239A" w:rsidRDefault="0058100D" w:rsidP="00435936">
            <w:pPr>
              <w:spacing w:after="0" w:line="240" w:lineRule="auto"/>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 xml:space="preserve">From </w:t>
            </w:r>
            <w:r w:rsidRPr="00D2239A">
              <w:rPr>
                <w:rFonts w:eastAsia="Times New Roman" w:cs="Times New Roman"/>
                <w:i/>
                <w:iCs/>
                <w:color w:val="000000"/>
                <w:kern w:val="0"/>
                <w:sz w:val="18"/>
                <w:szCs w:val="18"/>
                <w:lang w:eastAsia="zh-CN"/>
                <w14:ligatures w14:val="none"/>
              </w:rPr>
              <w:t>OUD</w:t>
            </w:r>
            <w:r w:rsidRPr="00D2239A">
              <w:rPr>
                <w:rFonts w:eastAsia="Times New Roman" w:cs="Times New Roman"/>
                <w:color w:val="000000"/>
                <w:kern w:val="0"/>
                <w:sz w:val="18"/>
                <w:szCs w:val="18"/>
                <w:lang w:eastAsia="zh-CN"/>
                <w14:ligatures w14:val="none"/>
              </w:rPr>
              <w:t xml:space="preserve"> to </w:t>
            </w:r>
            <w:r w:rsidRPr="00D2239A">
              <w:rPr>
                <w:rFonts w:eastAsia="Times New Roman" w:cs="Times New Roman"/>
                <w:i/>
                <w:iCs/>
                <w:color w:val="000000"/>
                <w:kern w:val="0"/>
                <w:sz w:val="18"/>
                <w:szCs w:val="18"/>
                <w:lang w:eastAsia="zh-CN"/>
                <w14:ligatures w14:val="none"/>
              </w:rPr>
              <w:t>MOUD</w:t>
            </w:r>
            <w:r w:rsidRPr="00D2239A">
              <w:rPr>
                <w:rFonts w:eastAsia="Times New Roman" w:cs="Times New Roman"/>
                <w:color w:val="000000"/>
                <w:kern w:val="0"/>
                <w:sz w:val="18"/>
                <w:szCs w:val="18"/>
                <w:lang w:eastAsia="zh-CN"/>
                <w14:ligatures w14:val="none"/>
              </w:rPr>
              <w:t xml:space="preserve"> (treatment initiation): Buprenorphine</w:t>
            </w:r>
          </w:p>
        </w:tc>
        <w:tc>
          <w:tcPr>
            <w:tcW w:w="1554" w:type="dxa"/>
            <w:vAlign w:val="bottom"/>
            <w:hideMark/>
          </w:tcPr>
          <w:p w14:paraId="62AD01B4"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 </w:t>
            </w:r>
          </w:p>
        </w:tc>
        <w:tc>
          <w:tcPr>
            <w:tcW w:w="1440" w:type="dxa"/>
            <w:vAlign w:val="bottom"/>
          </w:tcPr>
          <w:p w14:paraId="22274AC2"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p>
        </w:tc>
        <w:tc>
          <w:tcPr>
            <w:tcW w:w="1530" w:type="dxa"/>
            <w:vAlign w:val="bottom"/>
          </w:tcPr>
          <w:p w14:paraId="586BAB53"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 </w:t>
            </w:r>
          </w:p>
        </w:tc>
      </w:tr>
      <w:tr w:rsidR="0058100D" w:rsidRPr="00D2239A" w14:paraId="1B367607" w14:textId="77777777" w:rsidTr="00435936">
        <w:trPr>
          <w:trHeight w:val="300"/>
        </w:trPr>
        <w:tc>
          <w:tcPr>
            <w:tcW w:w="4831" w:type="dxa"/>
            <w:hideMark/>
          </w:tcPr>
          <w:p w14:paraId="32C72C88"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up to 2017</w:t>
            </w:r>
          </w:p>
        </w:tc>
        <w:tc>
          <w:tcPr>
            <w:tcW w:w="1554" w:type="dxa"/>
            <w:vAlign w:val="bottom"/>
            <w:hideMark/>
          </w:tcPr>
          <w:p w14:paraId="1E043C7E"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0.01206</w:t>
            </w:r>
          </w:p>
        </w:tc>
        <w:tc>
          <w:tcPr>
            <w:tcW w:w="1440" w:type="dxa"/>
            <w:vAlign w:val="bottom"/>
          </w:tcPr>
          <w:p w14:paraId="23917482"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0.00529</w:t>
            </w:r>
          </w:p>
        </w:tc>
        <w:tc>
          <w:tcPr>
            <w:tcW w:w="1530" w:type="dxa"/>
            <w:vAlign w:val="bottom"/>
          </w:tcPr>
          <w:p w14:paraId="1E2F64B0"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0.01735</w:t>
            </w:r>
          </w:p>
        </w:tc>
      </w:tr>
      <w:tr w:rsidR="0058100D" w:rsidRPr="00D2239A" w14:paraId="5C9C80E4" w14:textId="77777777" w:rsidTr="00435936">
        <w:trPr>
          <w:trHeight w:val="300"/>
        </w:trPr>
        <w:tc>
          <w:tcPr>
            <w:tcW w:w="4831" w:type="dxa"/>
            <w:hideMark/>
          </w:tcPr>
          <w:p w14:paraId="135AA5F7"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cs="Times New Roman"/>
                <w:sz w:val="18"/>
                <w:szCs w:val="18"/>
              </w:rPr>
              <w:t>Percentage</w:t>
            </w:r>
            <w:r w:rsidRPr="00D2239A">
              <w:rPr>
                <w:rFonts w:eastAsia="Times New Roman" w:cs="Times New Roman"/>
                <w:color w:val="000000"/>
                <w:kern w:val="0"/>
                <w:sz w:val="18"/>
                <w:szCs w:val="18"/>
                <w:lang w:eastAsia="zh-CN"/>
                <w14:ligatures w14:val="none"/>
              </w:rPr>
              <w:t xml:space="preserve"> change in value for each year between 2017-19</w:t>
            </w:r>
          </w:p>
        </w:tc>
        <w:tc>
          <w:tcPr>
            <w:tcW w:w="1554" w:type="dxa"/>
            <w:vAlign w:val="bottom"/>
            <w:hideMark/>
          </w:tcPr>
          <w:p w14:paraId="179DA9C8"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12.0%</w:t>
            </w:r>
          </w:p>
        </w:tc>
        <w:tc>
          <w:tcPr>
            <w:tcW w:w="1440" w:type="dxa"/>
            <w:vAlign w:val="bottom"/>
          </w:tcPr>
          <w:p w14:paraId="16872836"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-6.6%</w:t>
            </w:r>
          </w:p>
        </w:tc>
        <w:tc>
          <w:tcPr>
            <w:tcW w:w="1530" w:type="dxa"/>
            <w:vAlign w:val="bottom"/>
          </w:tcPr>
          <w:p w14:paraId="5A1E6F31"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109.1%</w:t>
            </w:r>
          </w:p>
        </w:tc>
      </w:tr>
      <w:tr w:rsidR="0058100D" w:rsidRPr="00D2239A" w14:paraId="21708967" w14:textId="77777777" w:rsidTr="00435936">
        <w:trPr>
          <w:trHeight w:val="300"/>
        </w:trPr>
        <w:tc>
          <w:tcPr>
            <w:tcW w:w="4831" w:type="dxa"/>
            <w:hideMark/>
          </w:tcPr>
          <w:p w14:paraId="7B099FB7"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in 2020</w:t>
            </w:r>
          </w:p>
        </w:tc>
        <w:tc>
          <w:tcPr>
            <w:tcW w:w="1554" w:type="dxa"/>
            <w:vAlign w:val="bottom"/>
            <w:hideMark/>
          </w:tcPr>
          <w:p w14:paraId="3B41171B"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0.01416</w:t>
            </w:r>
          </w:p>
        </w:tc>
        <w:tc>
          <w:tcPr>
            <w:tcW w:w="1440" w:type="dxa"/>
            <w:vAlign w:val="bottom"/>
          </w:tcPr>
          <w:p w14:paraId="4B2048BD"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0.00511</w:t>
            </w:r>
          </w:p>
        </w:tc>
        <w:tc>
          <w:tcPr>
            <w:tcW w:w="1530" w:type="dxa"/>
            <w:vAlign w:val="bottom"/>
          </w:tcPr>
          <w:p w14:paraId="30936403"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0.02442</w:t>
            </w:r>
          </w:p>
        </w:tc>
      </w:tr>
      <w:tr w:rsidR="0058100D" w:rsidRPr="00D2239A" w14:paraId="796C129B" w14:textId="77777777" w:rsidTr="00435936">
        <w:trPr>
          <w:trHeight w:val="300"/>
        </w:trPr>
        <w:tc>
          <w:tcPr>
            <w:tcW w:w="4831" w:type="dxa"/>
            <w:hideMark/>
          </w:tcPr>
          <w:p w14:paraId="755404BD"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in 2021</w:t>
            </w:r>
          </w:p>
        </w:tc>
        <w:tc>
          <w:tcPr>
            <w:tcW w:w="1554" w:type="dxa"/>
            <w:vAlign w:val="bottom"/>
            <w:hideMark/>
          </w:tcPr>
          <w:p w14:paraId="3346BC13"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0.01390</w:t>
            </w:r>
          </w:p>
        </w:tc>
        <w:tc>
          <w:tcPr>
            <w:tcW w:w="1440" w:type="dxa"/>
            <w:vAlign w:val="bottom"/>
          </w:tcPr>
          <w:p w14:paraId="3BA9F0A8"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0.00529</w:t>
            </w:r>
          </w:p>
        </w:tc>
        <w:tc>
          <w:tcPr>
            <w:tcW w:w="1530" w:type="dxa"/>
            <w:vAlign w:val="bottom"/>
          </w:tcPr>
          <w:p w14:paraId="01822903"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0.02375</w:t>
            </w:r>
          </w:p>
        </w:tc>
      </w:tr>
      <w:tr w:rsidR="0058100D" w:rsidRPr="00D2239A" w14:paraId="5DE3F6AC" w14:textId="77777777" w:rsidTr="00435936">
        <w:trPr>
          <w:trHeight w:val="300"/>
        </w:trPr>
        <w:tc>
          <w:tcPr>
            <w:tcW w:w="4831" w:type="dxa"/>
            <w:hideMark/>
          </w:tcPr>
          <w:p w14:paraId="4212BF31"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in 2022</w:t>
            </w:r>
          </w:p>
        </w:tc>
        <w:tc>
          <w:tcPr>
            <w:tcW w:w="1554" w:type="dxa"/>
            <w:vAlign w:val="bottom"/>
            <w:hideMark/>
          </w:tcPr>
          <w:p w14:paraId="643D9BFB"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0.01420</w:t>
            </w:r>
          </w:p>
        </w:tc>
        <w:tc>
          <w:tcPr>
            <w:tcW w:w="1440" w:type="dxa"/>
            <w:vAlign w:val="bottom"/>
          </w:tcPr>
          <w:p w14:paraId="2A95DC94"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0.00425</w:t>
            </w:r>
          </w:p>
        </w:tc>
        <w:tc>
          <w:tcPr>
            <w:tcW w:w="1530" w:type="dxa"/>
            <w:vAlign w:val="bottom"/>
          </w:tcPr>
          <w:p w14:paraId="523BDEEC"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0.02896</w:t>
            </w:r>
          </w:p>
        </w:tc>
      </w:tr>
      <w:tr w:rsidR="0058100D" w:rsidRPr="00D2239A" w14:paraId="4AC397C0" w14:textId="77777777" w:rsidTr="00435936">
        <w:trPr>
          <w:trHeight w:val="300"/>
        </w:trPr>
        <w:tc>
          <w:tcPr>
            <w:tcW w:w="4831" w:type="dxa"/>
          </w:tcPr>
          <w:p w14:paraId="0D7B16C1"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in 202</w:t>
            </w:r>
            <w:r>
              <w:rPr>
                <w:rFonts w:eastAsia="Times New Roman" w:cs="Times New Roman"/>
                <w:color w:val="000000"/>
                <w:kern w:val="0"/>
                <w:sz w:val="18"/>
                <w:szCs w:val="18"/>
                <w:lang w:eastAsia="zh-CN"/>
                <w14:ligatures w14:val="none"/>
              </w:rPr>
              <w:t>3</w:t>
            </w:r>
          </w:p>
        </w:tc>
        <w:tc>
          <w:tcPr>
            <w:tcW w:w="1554" w:type="dxa"/>
            <w:vAlign w:val="bottom"/>
          </w:tcPr>
          <w:p w14:paraId="46249DAA"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0.01506</w:t>
            </w:r>
          </w:p>
        </w:tc>
        <w:tc>
          <w:tcPr>
            <w:tcW w:w="1440" w:type="dxa"/>
            <w:vAlign w:val="bottom"/>
          </w:tcPr>
          <w:p w14:paraId="05C15B67"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0.00411</w:t>
            </w:r>
          </w:p>
        </w:tc>
        <w:tc>
          <w:tcPr>
            <w:tcW w:w="1530" w:type="dxa"/>
            <w:vAlign w:val="bottom"/>
          </w:tcPr>
          <w:p w14:paraId="65DC2D52"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0.03044</w:t>
            </w:r>
          </w:p>
        </w:tc>
      </w:tr>
      <w:tr w:rsidR="0058100D" w:rsidRPr="00D2239A" w14:paraId="1AEAEE01" w14:textId="77777777" w:rsidTr="00435936">
        <w:trPr>
          <w:trHeight w:val="288"/>
        </w:trPr>
        <w:tc>
          <w:tcPr>
            <w:tcW w:w="4831" w:type="dxa"/>
            <w:hideMark/>
          </w:tcPr>
          <w:p w14:paraId="4CA18F58" w14:textId="77777777" w:rsidR="0058100D" w:rsidRPr="00D2239A" w:rsidRDefault="0058100D" w:rsidP="00435936">
            <w:pPr>
              <w:spacing w:after="0" w:line="240" w:lineRule="auto"/>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 xml:space="preserve">From </w:t>
            </w:r>
            <w:r w:rsidRPr="00D2239A">
              <w:rPr>
                <w:rFonts w:eastAsia="Times New Roman" w:cs="Times New Roman"/>
                <w:i/>
                <w:iCs/>
                <w:color w:val="000000"/>
                <w:kern w:val="0"/>
                <w:sz w:val="18"/>
                <w:szCs w:val="18"/>
                <w:lang w:eastAsia="zh-CN"/>
                <w14:ligatures w14:val="none"/>
              </w:rPr>
              <w:t>OUD</w:t>
            </w:r>
            <w:r w:rsidRPr="00D2239A">
              <w:rPr>
                <w:rFonts w:eastAsia="Times New Roman" w:cs="Times New Roman"/>
                <w:color w:val="000000"/>
                <w:kern w:val="0"/>
                <w:sz w:val="18"/>
                <w:szCs w:val="18"/>
                <w:lang w:eastAsia="zh-CN"/>
                <w14:ligatures w14:val="none"/>
              </w:rPr>
              <w:t xml:space="preserve"> to </w:t>
            </w:r>
            <w:r w:rsidRPr="00D2239A">
              <w:rPr>
                <w:rFonts w:eastAsia="Times New Roman" w:cs="Times New Roman"/>
                <w:i/>
                <w:iCs/>
                <w:color w:val="000000"/>
                <w:kern w:val="0"/>
                <w:sz w:val="18"/>
                <w:szCs w:val="18"/>
                <w:lang w:eastAsia="zh-CN"/>
                <w14:ligatures w14:val="none"/>
              </w:rPr>
              <w:t>MOUD</w:t>
            </w:r>
            <w:r w:rsidRPr="00D2239A">
              <w:rPr>
                <w:rFonts w:eastAsia="Times New Roman" w:cs="Times New Roman"/>
                <w:color w:val="000000"/>
                <w:kern w:val="0"/>
                <w:sz w:val="18"/>
                <w:szCs w:val="18"/>
                <w:lang w:eastAsia="zh-CN"/>
                <w14:ligatures w14:val="none"/>
              </w:rPr>
              <w:t xml:space="preserve"> (treatment initiation): Methadone</w:t>
            </w:r>
          </w:p>
        </w:tc>
        <w:tc>
          <w:tcPr>
            <w:tcW w:w="1554" w:type="dxa"/>
            <w:vAlign w:val="bottom"/>
            <w:hideMark/>
          </w:tcPr>
          <w:p w14:paraId="6D0500B4"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 </w:t>
            </w:r>
          </w:p>
        </w:tc>
        <w:tc>
          <w:tcPr>
            <w:tcW w:w="1440" w:type="dxa"/>
            <w:vAlign w:val="bottom"/>
          </w:tcPr>
          <w:p w14:paraId="73F8DC25"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p>
        </w:tc>
        <w:tc>
          <w:tcPr>
            <w:tcW w:w="1530" w:type="dxa"/>
            <w:vAlign w:val="bottom"/>
          </w:tcPr>
          <w:p w14:paraId="2D2260DE"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 </w:t>
            </w:r>
          </w:p>
        </w:tc>
      </w:tr>
      <w:tr w:rsidR="0058100D" w:rsidRPr="00D2239A" w14:paraId="59E1F250" w14:textId="77777777" w:rsidTr="00435936">
        <w:trPr>
          <w:trHeight w:val="300"/>
        </w:trPr>
        <w:tc>
          <w:tcPr>
            <w:tcW w:w="4831" w:type="dxa"/>
            <w:hideMark/>
          </w:tcPr>
          <w:p w14:paraId="41B96F89"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up to 2017</w:t>
            </w:r>
          </w:p>
        </w:tc>
        <w:tc>
          <w:tcPr>
            <w:tcW w:w="1554" w:type="dxa"/>
            <w:vAlign w:val="bottom"/>
            <w:hideMark/>
          </w:tcPr>
          <w:p w14:paraId="01F8A614"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0.00414</w:t>
            </w:r>
          </w:p>
        </w:tc>
        <w:tc>
          <w:tcPr>
            <w:tcW w:w="1440" w:type="dxa"/>
            <w:vAlign w:val="bottom"/>
          </w:tcPr>
          <w:p w14:paraId="3B07EF6F"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0.00009</w:t>
            </w:r>
          </w:p>
        </w:tc>
        <w:tc>
          <w:tcPr>
            <w:tcW w:w="1530" w:type="dxa"/>
            <w:vAlign w:val="bottom"/>
          </w:tcPr>
          <w:p w14:paraId="3A794893"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0.01264</w:t>
            </w:r>
          </w:p>
        </w:tc>
      </w:tr>
      <w:tr w:rsidR="0058100D" w:rsidRPr="00D2239A" w14:paraId="0E501209" w14:textId="77777777" w:rsidTr="00435936">
        <w:trPr>
          <w:trHeight w:val="300"/>
        </w:trPr>
        <w:tc>
          <w:tcPr>
            <w:tcW w:w="4831" w:type="dxa"/>
            <w:hideMark/>
          </w:tcPr>
          <w:p w14:paraId="4C19C8C5"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Percentage change in value for each year between 2017-19</w:t>
            </w:r>
          </w:p>
        </w:tc>
        <w:tc>
          <w:tcPr>
            <w:tcW w:w="1554" w:type="dxa"/>
            <w:vAlign w:val="bottom"/>
            <w:hideMark/>
          </w:tcPr>
          <w:p w14:paraId="14380203"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73.4%</w:t>
            </w:r>
          </w:p>
        </w:tc>
        <w:tc>
          <w:tcPr>
            <w:tcW w:w="1440" w:type="dxa"/>
            <w:vAlign w:val="bottom"/>
          </w:tcPr>
          <w:p w14:paraId="43B1FBC4"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-18.6%</w:t>
            </w:r>
          </w:p>
        </w:tc>
        <w:tc>
          <w:tcPr>
            <w:tcW w:w="1530" w:type="dxa"/>
            <w:vAlign w:val="bottom"/>
          </w:tcPr>
          <w:p w14:paraId="1E145D68"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527.3%</w:t>
            </w:r>
          </w:p>
        </w:tc>
      </w:tr>
      <w:tr w:rsidR="0058100D" w:rsidRPr="00D2239A" w14:paraId="3C8E8B63" w14:textId="77777777" w:rsidTr="00435936">
        <w:trPr>
          <w:trHeight w:val="300"/>
        </w:trPr>
        <w:tc>
          <w:tcPr>
            <w:tcW w:w="4831" w:type="dxa"/>
            <w:hideMark/>
          </w:tcPr>
          <w:p w14:paraId="30D0A00A"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in 2020</w:t>
            </w:r>
          </w:p>
        </w:tc>
        <w:tc>
          <w:tcPr>
            <w:tcW w:w="1554" w:type="dxa"/>
            <w:vAlign w:val="bottom"/>
            <w:hideMark/>
          </w:tcPr>
          <w:p w14:paraId="4E985F06"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0.00561</w:t>
            </w:r>
          </w:p>
        </w:tc>
        <w:tc>
          <w:tcPr>
            <w:tcW w:w="1440" w:type="dxa"/>
            <w:vAlign w:val="bottom"/>
          </w:tcPr>
          <w:p w14:paraId="46823648"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0.00059</w:t>
            </w:r>
          </w:p>
        </w:tc>
        <w:tc>
          <w:tcPr>
            <w:tcW w:w="1530" w:type="dxa"/>
            <w:vAlign w:val="bottom"/>
          </w:tcPr>
          <w:p w14:paraId="0C693E7A"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0.01268</w:t>
            </w:r>
          </w:p>
        </w:tc>
      </w:tr>
      <w:tr w:rsidR="0058100D" w:rsidRPr="00D2239A" w14:paraId="4C6562E3" w14:textId="77777777" w:rsidTr="00435936">
        <w:trPr>
          <w:trHeight w:val="300"/>
        </w:trPr>
        <w:tc>
          <w:tcPr>
            <w:tcW w:w="4831" w:type="dxa"/>
            <w:hideMark/>
          </w:tcPr>
          <w:p w14:paraId="4386303A"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in 2021</w:t>
            </w:r>
          </w:p>
        </w:tc>
        <w:tc>
          <w:tcPr>
            <w:tcW w:w="1554" w:type="dxa"/>
            <w:vAlign w:val="bottom"/>
            <w:hideMark/>
          </w:tcPr>
          <w:p w14:paraId="0DF5040E"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0.00612</w:t>
            </w:r>
          </w:p>
        </w:tc>
        <w:tc>
          <w:tcPr>
            <w:tcW w:w="1440" w:type="dxa"/>
            <w:vAlign w:val="bottom"/>
          </w:tcPr>
          <w:p w14:paraId="0BA93E8B"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0.00088</w:t>
            </w:r>
          </w:p>
        </w:tc>
        <w:tc>
          <w:tcPr>
            <w:tcW w:w="1530" w:type="dxa"/>
            <w:vAlign w:val="bottom"/>
          </w:tcPr>
          <w:p w14:paraId="76D10979"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0.01786</w:t>
            </w:r>
          </w:p>
        </w:tc>
      </w:tr>
      <w:tr w:rsidR="0058100D" w:rsidRPr="00D2239A" w14:paraId="04595B09" w14:textId="77777777" w:rsidTr="00435936">
        <w:trPr>
          <w:trHeight w:val="300"/>
        </w:trPr>
        <w:tc>
          <w:tcPr>
            <w:tcW w:w="4831" w:type="dxa"/>
            <w:hideMark/>
          </w:tcPr>
          <w:p w14:paraId="688F8916"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in 2022</w:t>
            </w:r>
          </w:p>
        </w:tc>
        <w:tc>
          <w:tcPr>
            <w:tcW w:w="1554" w:type="dxa"/>
            <w:vAlign w:val="bottom"/>
            <w:hideMark/>
          </w:tcPr>
          <w:p w14:paraId="658AFD09"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0.00610</w:t>
            </w:r>
          </w:p>
        </w:tc>
        <w:tc>
          <w:tcPr>
            <w:tcW w:w="1440" w:type="dxa"/>
            <w:vAlign w:val="bottom"/>
          </w:tcPr>
          <w:p w14:paraId="201A3FA0"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0.00059</w:t>
            </w:r>
          </w:p>
        </w:tc>
        <w:tc>
          <w:tcPr>
            <w:tcW w:w="1530" w:type="dxa"/>
            <w:vAlign w:val="bottom"/>
          </w:tcPr>
          <w:p w14:paraId="2A07B28B"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0.01572</w:t>
            </w:r>
          </w:p>
        </w:tc>
      </w:tr>
      <w:tr w:rsidR="0058100D" w:rsidRPr="00D2239A" w14:paraId="7E0DB724" w14:textId="77777777" w:rsidTr="00435936">
        <w:trPr>
          <w:trHeight w:val="288"/>
        </w:trPr>
        <w:tc>
          <w:tcPr>
            <w:tcW w:w="4831" w:type="dxa"/>
            <w:hideMark/>
          </w:tcPr>
          <w:p w14:paraId="73062841" w14:textId="77777777" w:rsidR="0058100D" w:rsidRPr="00D2239A" w:rsidRDefault="0058100D" w:rsidP="00435936">
            <w:pPr>
              <w:spacing w:after="0" w:line="240" w:lineRule="auto"/>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 xml:space="preserve">From </w:t>
            </w:r>
            <w:r w:rsidRPr="00D2239A">
              <w:rPr>
                <w:rFonts w:eastAsia="Times New Roman" w:cs="Times New Roman"/>
                <w:i/>
                <w:iCs/>
                <w:color w:val="000000"/>
                <w:kern w:val="0"/>
                <w:sz w:val="18"/>
                <w:szCs w:val="18"/>
                <w:lang w:eastAsia="zh-CN"/>
                <w14:ligatures w14:val="none"/>
              </w:rPr>
              <w:t>OUD</w:t>
            </w:r>
            <w:r w:rsidRPr="00D2239A">
              <w:rPr>
                <w:rFonts w:eastAsia="Times New Roman" w:cs="Times New Roman"/>
                <w:color w:val="000000"/>
                <w:kern w:val="0"/>
                <w:sz w:val="18"/>
                <w:szCs w:val="18"/>
                <w:lang w:eastAsia="zh-CN"/>
                <w14:ligatures w14:val="none"/>
              </w:rPr>
              <w:t xml:space="preserve"> to </w:t>
            </w:r>
            <w:r w:rsidRPr="00D2239A">
              <w:rPr>
                <w:rFonts w:eastAsia="Times New Roman" w:cs="Times New Roman"/>
                <w:i/>
                <w:iCs/>
                <w:color w:val="000000"/>
                <w:kern w:val="0"/>
                <w:sz w:val="18"/>
                <w:szCs w:val="18"/>
                <w:lang w:eastAsia="zh-CN"/>
                <w14:ligatures w14:val="none"/>
              </w:rPr>
              <w:t>MOUD</w:t>
            </w:r>
            <w:r w:rsidRPr="00D2239A">
              <w:rPr>
                <w:rFonts w:eastAsia="Times New Roman" w:cs="Times New Roman"/>
                <w:color w:val="000000"/>
                <w:kern w:val="0"/>
                <w:sz w:val="18"/>
                <w:szCs w:val="18"/>
                <w:lang w:eastAsia="zh-CN"/>
                <w14:ligatures w14:val="none"/>
              </w:rPr>
              <w:t xml:space="preserve"> (treatment initiation): Naltrexone</w:t>
            </w:r>
          </w:p>
        </w:tc>
        <w:tc>
          <w:tcPr>
            <w:tcW w:w="1554" w:type="dxa"/>
            <w:vAlign w:val="bottom"/>
            <w:hideMark/>
          </w:tcPr>
          <w:p w14:paraId="4E434A76"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 </w:t>
            </w:r>
          </w:p>
        </w:tc>
        <w:tc>
          <w:tcPr>
            <w:tcW w:w="1440" w:type="dxa"/>
            <w:vAlign w:val="bottom"/>
          </w:tcPr>
          <w:p w14:paraId="068C6CA8"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p>
        </w:tc>
        <w:tc>
          <w:tcPr>
            <w:tcW w:w="1530" w:type="dxa"/>
            <w:vAlign w:val="bottom"/>
          </w:tcPr>
          <w:p w14:paraId="54313010"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 </w:t>
            </w:r>
          </w:p>
        </w:tc>
      </w:tr>
      <w:tr w:rsidR="0058100D" w:rsidRPr="00D2239A" w14:paraId="2459638D" w14:textId="77777777" w:rsidTr="00435936">
        <w:trPr>
          <w:trHeight w:val="300"/>
        </w:trPr>
        <w:tc>
          <w:tcPr>
            <w:tcW w:w="4831" w:type="dxa"/>
            <w:hideMark/>
          </w:tcPr>
          <w:p w14:paraId="6F37DE68"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up to 2017</w:t>
            </w:r>
          </w:p>
        </w:tc>
        <w:tc>
          <w:tcPr>
            <w:tcW w:w="1554" w:type="dxa"/>
            <w:vAlign w:val="bottom"/>
            <w:hideMark/>
          </w:tcPr>
          <w:p w14:paraId="4D5C1F36"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0.00545</w:t>
            </w:r>
          </w:p>
        </w:tc>
        <w:tc>
          <w:tcPr>
            <w:tcW w:w="1440" w:type="dxa"/>
            <w:vAlign w:val="bottom"/>
          </w:tcPr>
          <w:p w14:paraId="622635F4"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0.00195</w:t>
            </w:r>
          </w:p>
        </w:tc>
        <w:tc>
          <w:tcPr>
            <w:tcW w:w="1530" w:type="dxa"/>
            <w:vAlign w:val="bottom"/>
          </w:tcPr>
          <w:p w14:paraId="6EF0BB96"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0.01049</w:t>
            </w:r>
          </w:p>
        </w:tc>
      </w:tr>
      <w:tr w:rsidR="0058100D" w:rsidRPr="00D2239A" w14:paraId="0C9CEFD7" w14:textId="77777777" w:rsidTr="00435936">
        <w:trPr>
          <w:trHeight w:val="528"/>
        </w:trPr>
        <w:tc>
          <w:tcPr>
            <w:tcW w:w="4831" w:type="dxa"/>
            <w:hideMark/>
          </w:tcPr>
          <w:p w14:paraId="144CEE05"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Percentage change in value for each year between 2017-19</w:t>
            </w:r>
          </w:p>
        </w:tc>
        <w:tc>
          <w:tcPr>
            <w:tcW w:w="1554" w:type="dxa"/>
            <w:vAlign w:val="bottom"/>
            <w:hideMark/>
          </w:tcPr>
          <w:p w14:paraId="6653E877"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0.9%</w:t>
            </w:r>
          </w:p>
        </w:tc>
        <w:tc>
          <w:tcPr>
            <w:tcW w:w="1440" w:type="dxa"/>
            <w:vAlign w:val="bottom"/>
          </w:tcPr>
          <w:p w14:paraId="3C0A1557"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-19.6%</w:t>
            </w:r>
          </w:p>
        </w:tc>
        <w:tc>
          <w:tcPr>
            <w:tcW w:w="1530" w:type="dxa"/>
            <w:vAlign w:val="bottom"/>
          </w:tcPr>
          <w:p w14:paraId="69E18AF6"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60.6%</w:t>
            </w:r>
          </w:p>
        </w:tc>
      </w:tr>
      <w:tr w:rsidR="0058100D" w:rsidRPr="00D2239A" w14:paraId="28034EB5" w14:textId="77777777" w:rsidTr="00435936">
        <w:trPr>
          <w:trHeight w:val="300"/>
        </w:trPr>
        <w:tc>
          <w:tcPr>
            <w:tcW w:w="4831" w:type="dxa"/>
            <w:hideMark/>
          </w:tcPr>
          <w:p w14:paraId="7BA9B0DE"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in 2020</w:t>
            </w:r>
          </w:p>
        </w:tc>
        <w:tc>
          <w:tcPr>
            <w:tcW w:w="1554" w:type="dxa"/>
            <w:vAlign w:val="bottom"/>
            <w:hideMark/>
          </w:tcPr>
          <w:p w14:paraId="37F32378"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0.00422</w:t>
            </w:r>
          </w:p>
        </w:tc>
        <w:tc>
          <w:tcPr>
            <w:tcW w:w="1440" w:type="dxa"/>
            <w:vAlign w:val="bottom"/>
          </w:tcPr>
          <w:p w14:paraId="05A47EF3"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0.00184</w:t>
            </w:r>
          </w:p>
        </w:tc>
        <w:tc>
          <w:tcPr>
            <w:tcW w:w="1530" w:type="dxa"/>
            <w:vAlign w:val="bottom"/>
          </w:tcPr>
          <w:p w14:paraId="12A6E747"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0.00943</w:t>
            </w:r>
          </w:p>
        </w:tc>
      </w:tr>
      <w:tr w:rsidR="0058100D" w:rsidRPr="00D2239A" w14:paraId="4F461D18" w14:textId="77777777" w:rsidTr="00435936">
        <w:trPr>
          <w:trHeight w:val="300"/>
        </w:trPr>
        <w:tc>
          <w:tcPr>
            <w:tcW w:w="4831" w:type="dxa"/>
            <w:hideMark/>
          </w:tcPr>
          <w:p w14:paraId="21EF4D46"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in 2021</w:t>
            </w:r>
          </w:p>
        </w:tc>
        <w:tc>
          <w:tcPr>
            <w:tcW w:w="1554" w:type="dxa"/>
            <w:vAlign w:val="bottom"/>
            <w:hideMark/>
          </w:tcPr>
          <w:p w14:paraId="74742FE6"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0.00403</w:t>
            </w:r>
          </w:p>
        </w:tc>
        <w:tc>
          <w:tcPr>
            <w:tcW w:w="1440" w:type="dxa"/>
            <w:vAlign w:val="bottom"/>
          </w:tcPr>
          <w:p w14:paraId="285E709C"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0.00141</w:t>
            </w:r>
          </w:p>
        </w:tc>
        <w:tc>
          <w:tcPr>
            <w:tcW w:w="1530" w:type="dxa"/>
            <w:vAlign w:val="bottom"/>
          </w:tcPr>
          <w:p w14:paraId="4A12D36F"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0.01143</w:t>
            </w:r>
          </w:p>
        </w:tc>
      </w:tr>
      <w:tr w:rsidR="0058100D" w:rsidRPr="00D2239A" w14:paraId="6B4E2F77" w14:textId="77777777" w:rsidTr="00435936">
        <w:trPr>
          <w:trHeight w:val="300"/>
        </w:trPr>
        <w:tc>
          <w:tcPr>
            <w:tcW w:w="4831" w:type="dxa"/>
            <w:hideMark/>
          </w:tcPr>
          <w:p w14:paraId="4FD6FE68"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in 2022</w:t>
            </w:r>
          </w:p>
        </w:tc>
        <w:tc>
          <w:tcPr>
            <w:tcW w:w="1554" w:type="dxa"/>
            <w:vAlign w:val="bottom"/>
            <w:hideMark/>
          </w:tcPr>
          <w:p w14:paraId="05EAA9B6"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0.00387</w:t>
            </w:r>
          </w:p>
        </w:tc>
        <w:tc>
          <w:tcPr>
            <w:tcW w:w="1440" w:type="dxa"/>
            <w:vAlign w:val="bottom"/>
          </w:tcPr>
          <w:p w14:paraId="167D5B00"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0.00144</w:t>
            </w:r>
          </w:p>
        </w:tc>
        <w:tc>
          <w:tcPr>
            <w:tcW w:w="1530" w:type="dxa"/>
            <w:vAlign w:val="bottom"/>
          </w:tcPr>
          <w:p w14:paraId="6218C519"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0.01003</w:t>
            </w:r>
          </w:p>
        </w:tc>
      </w:tr>
      <w:tr w:rsidR="0058100D" w:rsidRPr="00D2239A" w14:paraId="73796B90" w14:textId="77777777" w:rsidTr="00435936">
        <w:trPr>
          <w:trHeight w:val="300"/>
        </w:trPr>
        <w:tc>
          <w:tcPr>
            <w:tcW w:w="4831" w:type="dxa"/>
          </w:tcPr>
          <w:p w14:paraId="317FCAD6" w14:textId="77777777" w:rsidR="0058100D" w:rsidRPr="00D2239A" w:rsidRDefault="0058100D" w:rsidP="00435936">
            <w:pPr>
              <w:spacing w:after="0" w:line="276" w:lineRule="auto"/>
              <w:rPr>
                <w:rFonts w:eastAsia="Times New Roman" w:cs="Times New Roman"/>
                <w:b/>
                <w:bCs/>
                <w:color w:val="000000"/>
                <w:kern w:val="0"/>
                <w:sz w:val="18"/>
                <w:szCs w:val="18"/>
                <w:lang w:eastAsia="zh-CN"/>
                <w14:ligatures w14:val="none"/>
              </w:rPr>
            </w:pPr>
            <w:r w:rsidRPr="00D2239A">
              <w:rPr>
                <w:rFonts w:eastAsia="Times New Roman" w:cs="Times New Roman"/>
                <w:b/>
                <w:bCs/>
                <w:color w:val="000000"/>
                <w:kern w:val="0"/>
                <w:sz w:val="18"/>
                <w:szCs w:val="18"/>
                <w:lang w:eastAsia="zh-CN"/>
                <w14:ligatures w14:val="none"/>
              </w:rPr>
              <w:t xml:space="preserve">Treatment retention parameter </w:t>
            </w:r>
            <m:oMath>
              <m:sSub>
                <m:sSubPr>
                  <m:ctrlPr>
                    <w:rPr>
                      <w:rFonts w:ascii="Cambria Math" w:eastAsia="Times New Roman" w:hAnsi="Cambria Math" w:cs="Times New Roman"/>
                      <w:b/>
                      <w:bCs/>
                      <w:i/>
                      <w:color w:val="000000"/>
                      <w:kern w:val="0"/>
                      <w:sz w:val="18"/>
                      <w:szCs w:val="18"/>
                      <w:lang w:eastAsia="zh-CN"/>
                      <w14:ligatures w14:val="none"/>
                    </w:rPr>
                  </m:ctrlPr>
                </m:sSubPr>
                <m:e>
                  <m:r>
                    <m:rPr>
                      <m:sty m:val="bi"/>
                    </m:rPr>
                    <w:rPr>
                      <w:rFonts w:ascii="Cambria Math" w:eastAsia="Times New Roman" w:hAnsi="Cambria Math" w:cs="Times New Roman"/>
                      <w:color w:val="000000"/>
                      <w:kern w:val="0"/>
                      <w:sz w:val="18"/>
                      <w:szCs w:val="18"/>
                      <w:lang w:eastAsia="zh-CN"/>
                      <w14:ligatures w14:val="none"/>
                    </w:rPr>
                    <m:t>K</m:t>
                  </m:r>
                </m:e>
                <m:sub>
                  <m:r>
                    <m:rPr>
                      <m:sty m:val="bi"/>
                    </m:rPr>
                    <w:rPr>
                      <w:rFonts w:ascii="Cambria Math" w:eastAsia="Times New Roman" w:hAnsi="Cambria Math" w:cs="Times New Roman"/>
                      <w:color w:val="000000"/>
                      <w:kern w:val="0"/>
                      <w:sz w:val="18"/>
                      <w:szCs w:val="18"/>
                      <w:lang w:eastAsia="zh-CN"/>
                      <w14:ligatures w14:val="none"/>
                    </w:rPr>
                    <m:t>med</m:t>
                  </m:r>
                </m:sub>
              </m:sSub>
            </m:oMath>
          </w:p>
        </w:tc>
        <w:tc>
          <w:tcPr>
            <w:tcW w:w="1554" w:type="dxa"/>
            <w:vAlign w:val="bottom"/>
          </w:tcPr>
          <w:p w14:paraId="0E954F15"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 </w:t>
            </w:r>
          </w:p>
        </w:tc>
        <w:tc>
          <w:tcPr>
            <w:tcW w:w="1440" w:type="dxa"/>
            <w:vAlign w:val="bottom"/>
          </w:tcPr>
          <w:p w14:paraId="11079C38"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p>
        </w:tc>
        <w:tc>
          <w:tcPr>
            <w:tcW w:w="1530" w:type="dxa"/>
            <w:vAlign w:val="bottom"/>
          </w:tcPr>
          <w:p w14:paraId="6C00BDAC"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 </w:t>
            </w:r>
          </w:p>
        </w:tc>
      </w:tr>
      <w:tr w:rsidR="0058100D" w:rsidRPr="00D2239A" w14:paraId="01C18B4B" w14:textId="77777777" w:rsidTr="00435936">
        <w:trPr>
          <w:trHeight w:val="288"/>
        </w:trPr>
        <w:tc>
          <w:tcPr>
            <w:tcW w:w="4831" w:type="dxa"/>
            <w:hideMark/>
          </w:tcPr>
          <w:p w14:paraId="14206BBA" w14:textId="77777777" w:rsidR="0058100D" w:rsidRPr="00D2239A" w:rsidRDefault="0058100D" w:rsidP="00435936">
            <w:pPr>
              <w:spacing w:after="0" w:line="240" w:lineRule="auto"/>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Buprenorphine</w:t>
            </w:r>
          </w:p>
        </w:tc>
        <w:tc>
          <w:tcPr>
            <w:tcW w:w="1554" w:type="dxa"/>
            <w:vAlign w:val="bottom"/>
            <w:hideMark/>
          </w:tcPr>
          <w:p w14:paraId="3AD16E27"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 </w:t>
            </w:r>
          </w:p>
        </w:tc>
        <w:tc>
          <w:tcPr>
            <w:tcW w:w="1440" w:type="dxa"/>
            <w:vAlign w:val="bottom"/>
          </w:tcPr>
          <w:p w14:paraId="0F7B8EC2"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p>
        </w:tc>
        <w:tc>
          <w:tcPr>
            <w:tcW w:w="1530" w:type="dxa"/>
            <w:vAlign w:val="bottom"/>
          </w:tcPr>
          <w:p w14:paraId="122071FC"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 </w:t>
            </w:r>
          </w:p>
        </w:tc>
      </w:tr>
      <w:tr w:rsidR="0058100D" w:rsidRPr="00D2239A" w14:paraId="780536AD" w14:textId="77777777" w:rsidTr="00435936">
        <w:trPr>
          <w:trHeight w:val="300"/>
        </w:trPr>
        <w:tc>
          <w:tcPr>
            <w:tcW w:w="4831" w:type="dxa"/>
            <w:hideMark/>
          </w:tcPr>
          <w:p w14:paraId="79097F4E"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up to 2019</w:t>
            </w:r>
          </w:p>
        </w:tc>
        <w:tc>
          <w:tcPr>
            <w:tcW w:w="1554" w:type="dxa"/>
            <w:vAlign w:val="bottom"/>
            <w:hideMark/>
          </w:tcPr>
          <w:p w14:paraId="7C65C2FA"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0.84210</w:t>
            </w:r>
          </w:p>
        </w:tc>
        <w:tc>
          <w:tcPr>
            <w:tcW w:w="1440" w:type="dxa"/>
            <w:vAlign w:val="bottom"/>
          </w:tcPr>
          <w:p w14:paraId="66F5FA76"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0.62685</w:t>
            </w:r>
          </w:p>
        </w:tc>
        <w:tc>
          <w:tcPr>
            <w:tcW w:w="1530" w:type="dxa"/>
            <w:vAlign w:val="bottom"/>
          </w:tcPr>
          <w:p w14:paraId="059674A3"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1.12833</w:t>
            </w:r>
          </w:p>
        </w:tc>
      </w:tr>
      <w:tr w:rsidR="0058100D" w:rsidRPr="00D2239A" w14:paraId="08DC6376" w14:textId="77777777" w:rsidTr="00435936">
        <w:trPr>
          <w:trHeight w:val="300"/>
        </w:trPr>
        <w:tc>
          <w:tcPr>
            <w:tcW w:w="4831" w:type="dxa"/>
            <w:hideMark/>
          </w:tcPr>
          <w:p w14:paraId="7B0F8427"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in 2020</w:t>
            </w:r>
          </w:p>
        </w:tc>
        <w:tc>
          <w:tcPr>
            <w:tcW w:w="1554" w:type="dxa"/>
            <w:vAlign w:val="bottom"/>
            <w:hideMark/>
          </w:tcPr>
          <w:p w14:paraId="1D4DCF5F"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0.82683</w:t>
            </w:r>
          </w:p>
        </w:tc>
        <w:tc>
          <w:tcPr>
            <w:tcW w:w="1440" w:type="dxa"/>
            <w:vAlign w:val="bottom"/>
          </w:tcPr>
          <w:p w14:paraId="4D192516"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0.64213</w:t>
            </w:r>
          </w:p>
        </w:tc>
        <w:tc>
          <w:tcPr>
            <w:tcW w:w="1530" w:type="dxa"/>
            <w:vAlign w:val="bottom"/>
          </w:tcPr>
          <w:p w14:paraId="58B091F6"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1.36799</w:t>
            </w:r>
          </w:p>
        </w:tc>
      </w:tr>
      <w:tr w:rsidR="0058100D" w:rsidRPr="00D2239A" w14:paraId="2808C8C0" w14:textId="77777777" w:rsidTr="00435936">
        <w:trPr>
          <w:trHeight w:val="300"/>
        </w:trPr>
        <w:tc>
          <w:tcPr>
            <w:tcW w:w="4831" w:type="dxa"/>
            <w:hideMark/>
          </w:tcPr>
          <w:p w14:paraId="09E05839"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in 2021</w:t>
            </w:r>
          </w:p>
        </w:tc>
        <w:tc>
          <w:tcPr>
            <w:tcW w:w="1554" w:type="dxa"/>
            <w:vAlign w:val="bottom"/>
            <w:hideMark/>
          </w:tcPr>
          <w:p w14:paraId="7EA53894"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0.86928</w:t>
            </w:r>
          </w:p>
        </w:tc>
        <w:tc>
          <w:tcPr>
            <w:tcW w:w="1440" w:type="dxa"/>
            <w:vAlign w:val="bottom"/>
          </w:tcPr>
          <w:p w14:paraId="2378769C"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0.70534</w:t>
            </w:r>
          </w:p>
        </w:tc>
        <w:tc>
          <w:tcPr>
            <w:tcW w:w="1530" w:type="dxa"/>
            <w:vAlign w:val="bottom"/>
          </w:tcPr>
          <w:p w14:paraId="5F6B076D"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1.08078</w:t>
            </w:r>
          </w:p>
        </w:tc>
      </w:tr>
      <w:tr w:rsidR="0058100D" w:rsidRPr="00D2239A" w14:paraId="02C6B9D4" w14:textId="77777777" w:rsidTr="00435936">
        <w:trPr>
          <w:trHeight w:val="300"/>
        </w:trPr>
        <w:tc>
          <w:tcPr>
            <w:tcW w:w="4831" w:type="dxa"/>
            <w:hideMark/>
          </w:tcPr>
          <w:p w14:paraId="740A33A8"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in 2022</w:t>
            </w:r>
          </w:p>
        </w:tc>
        <w:tc>
          <w:tcPr>
            <w:tcW w:w="1554" w:type="dxa"/>
            <w:vAlign w:val="bottom"/>
            <w:hideMark/>
          </w:tcPr>
          <w:p w14:paraId="466C9FEE"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0.91964</w:t>
            </w:r>
          </w:p>
        </w:tc>
        <w:tc>
          <w:tcPr>
            <w:tcW w:w="1440" w:type="dxa"/>
            <w:vAlign w:val="bottom"/>
          </w:tcPr>
          <w:p w14:paraId="50403684"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0.61274</w:t>
            </w:r>
          </w:p>
        </w:tc>
        <w:tc>
          <w:tcPr>
            <w:tcW w:w="1530" w:type="dxa"/>
            <w:vAlign w:val="bottom"/>
          </w:tcPr>
          <w:p w14:paraId="4A78439D"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1.36668</w:t>
            </w:r>
          </w:p>
        </w:tc>
      </w:tr>
      <w:tr w:rsidR="0058100D" w:rsidRPr="00D2239A" w14:paraId="51735740" w14:textId="77777777" w:rsidTr="00435936">
        <w:trPr>
          <w:trHeight w:val="300"/>
        </w:trPr>
        <w:tc>
          <w:tcPr>
            <w:tcW w:w="4831" w:type="dxa"/>
          </w:tcPr>
          <w:p w14:paraId="1CD39AB0"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in 202</w:t>
            </w:r>
            <w:r>
              <w:rPr>
                <w:rFonts w:eastAsia="Times New Roman" w:cs="Times New Roman"/>
                <w:color w:val="000000"/>
                <w:kern w:val="0"/>
                <w:sz w:val="18"/>
                <w:szCs w:val="18"/>
                <w:lang w:eastAsia="zh-CN"/>
                <w14:ligatures w14:val="none"/>
              </w:rPr>
              <w:t>3</w:t>
            </w:r>
          </w:p>
        </w:tc>
        <w:tc>
          <w:tcPr>
            <w:tcW w:w="1554" w:type="dxa"/>
            <w:vAlign w:val="bottom"/>
          </w:tcPr>
          <w:p w14:paraId="7CE20CE8"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1.27878</w:t>
            </w:r>
          </w:p>
        </w:tc>
        <w:tc>
          <w:tcPr>
            <w:tcW w:w="1440" w:type="dxa"/>
            <w:vAlign w:val="bottom"/>
          </w:tcPr>
          <w:p w14:paraId="07160F41"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0.63204</w:t>
            </w:r>
          </w:p>
        </w:tc>
        <w:tc>
          <w:tcPr>
            <w:tcW w:w="1530" w:type="dxa"/>
            <w:vAlign w:val="bottom"/>
          </w:tcPr>
          <w:p w14:paraId="7453E489"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2.36193</w:t>
            </w:r>
          </w:p>
        </w:tc>
      </w:tr>
      <w:tr w:rsidR="0058100D" w:rsidRPr="00D2239A" w14:paraId="67C67F6B" w14:textId="77777777" w:rsidTr="00435936">
        <w:trPr>
          <w:trHeight w:val="300"/>
        </w:trPr>
        <w:tc>
          <w:tcPr>
            <w:tcW w:w="4831" w:type="dxa"/>
            <w:hideMark/>
          </w:tcPr>
          <w:p w14:paraId="50E71947" w14:textId="77777777" w:rsidR="0058100D" w:rsidRPr="00D2239A" w:rsidRDefault="0058100D" w:rsidP="00435936">
            <w:pPr>
              <w:spacing w:after="0" w:line="240" w:lineRule="auto"/>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Methadone</w:t>
            </w:r>
          </w:p>
        </w:tc>
        <w:tc>
          <w:tcPr>
            <w:tcW w:w="1554" w:type="dxa"/>
            <w:vAlign w:val="bottom"/>
            <w:hideMark/>
          </w:tcPr>
          <w:p w14:paraId="4CC18944"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 </w:t>
            </w:r>
          </w:p>
        </w:tc>
        <w:tc>
          <w:tcPr>
            <w:tcW w:w="1440" w:type="dxa"/>
            <w:vAlign w:val="bottom"/>
          </w:tcPr>
          <w:p w14:paraId="37BBD2B1"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p>
        </w:tc>
        <w:tc>
          <w:tcPr>
            <w:tcW w:w="1530" w:type="dxa"/>
            <w:vAlign w:val="bottom"/>
          </w:tcPr>
          <w:p w14:paraId="3B8E93BD"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 </w:t>
            </w:r>
          </w:p>
        </w:tc>
      </w:tr>
      <w:tr w:rsidR="0058100D" w:rsidRPr="00D2239A" w14:paraId="3A767794" w14:textId="77777777" w:rsidTr="00435936">
        <w:trPr>
          <w:trHeight w:val="300"/>
        </w:trPr>
        <w:tc>
          <w:tcPr>
            <w:tcW w:w="4831" w:type="dxa"/>
            <w:hideMark/>
          </w:tcPr>
          <w:p w14:paraId="451309D5"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up to 2019</w:t>
            </w:r>
          </w:p>
        </w:tc>
        <w:tc>
          <w:tcPr>
            <w:tcW w:w="1554" w:type="dxa"/>
            <w:vAlign w:val="bottom"/>
            <w:hideMark/>
          </w:tcPr>
          <w:p w14:paraId="066D01AE"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0.78364</w:t>
            </w:r>
          </w:p>
        </w:tc>
        <w:tc>
          <w:tcPr>
            <w:tcW w:w="1440" w:type="dxa"/>
            <w:vAlign w:val="bottom"/>
          </w:tcPr>
          <w:p w14:paraId="1EE626C3"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0.44559</w:t>
            </w:r>
          </w:p>
        </w:tc>
        <w:tc>
          <w:tcPr>
            <w:tcW w:w="1530" w:type="dxa"/>
            <w:vAlign w:val="bottom"/>
          </w:tcPr>
          <w:p w14:paraId="7E69C34E"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1.39570</w:t>
            </w:r>
          </w:p>
        </w:tc>
      </w:tr>
      <w:tr w:rsidR="0058100D" w:rsidRPr="00D2239A" w14:paraId="5F259F35" w14:textId="77777777" w:rsidTr="00435936">
        <w:trPr>
          <w:trHeight w:val="300"/>
        </w:trPr>
        <w:tc>
          <w:tcPr>
            <w:tcW w:w="4831" w:type="dxa"/>
            <w:hideMark/>
          </w:tcPr>
          <w:p w14:paraId="6DD64680"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in 2020</w:t>
            </w:r>
          </w:p>
        </w:tc>
        <w:tc>
          <w:tcPr>
            <w:tcW w:w="1554" w:type="dxa"/>
            <w:vAlign w:val="bottom"/>
            <w:hideMark/>
          </w:tcPr>
          <w:p w14:paraId="505B7F41"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0.67009</w:t>
            </w:r>
          </w:p>
        </w:tc>
        <w:tc>
          <w:tcPr>
            <w:tcW w:w="1440" w:type="dxa"/>
            <w:vAlign w:val="bottom"/>
          </w:tcPr>
          <w:p w14:paraId="612DCA09"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0.30555</w:t>
            </w:r>
          </w:p>
        </w:tc>
        <w:tc>
          <w:tcPr>
            <w:tcW w:w="1530" w:type="dxa"/>
            <w:vAlign w:val="bottom"/>
          </w:tcPr>
          <w:p w14:paraId="34ACAAEA"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1.05047</w:t>
            </w:r>
          </w:p>
        </w:tc>
      </w:tr>
      <w:tr w:rsidR="0058100D" w:rsidRPr="00D2239A" w14:paraId="39F6C501" w14:textId="77777777" w:rsidTr="00435936">
        <w:trPr>
          <w:trHeight w:val="300"/>
        </w:trPr>
        <w:tc>
          <w:tcPr>
            <w:tcW w:w="4831" w:type="dxa"/>
            <w:hideMark/>
          </w:tcPr>
          <w:p w14:paraId="4159AA0B"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in 2021</w:t>
            </w:r>
          </w:p>
        </w:tc>
        <w:tc>
          <w:tcPr>
            <w:tcW w:w="1554" w:type="dxa"/>
            <w:vAlign w:val="bottom"/>
            <w:hideMark/>
          </w:tcPr>
          <w:p w14:paraId="27DD3027"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0.76498</w:t>
            </w:r>
          </w:p>
        </w:tc>
        <w:tc>
          <w:tcPr>
            <w:tcW w:w="1440" w:type="dxa"/>
            <w:vAlign w:val="bottom"/>
          </w:tcPr>
          <w:p w14:paraId="6B8D1EEF"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0.35262</w:t>
            </w:r>
          </w:p>
        </w:tc>
        <w:tc>
          <w:tcPr>
            <w:tcW w:w="1530" w:type="dxa"/>
            <w:vAlign w:val="bottom"/>
          </w:tcPr>
          <w:p w14:paraId="1FE89DB4"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1.78781</w:t>
            </w:r>
          </w:p>
        </w:tc>
      </w:tr>
      <w:tr w:rsidR="0058100D" w:rsidRPr="00D2239A" w14:paraId="4FE626A1" w14:textId="77777777" w:rsidTr="00435936">
        <w:trPr>
          <w:trHeight w:val="300"/>
        </w:trPr>
        <w:tc>
          <w:tcPr>
            <w:tcW w:w="4831" w:type="dxa"/>
            <w:hideMark/>
          </w:tcPr>
          <w:p w14:paraId="4AF07D32"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in 2022</w:t>
            </w:r>
          </w:p>
        </w:tc>
        <w:tc>
          <w:tcPr>
            <w:tcW w:w="1554" w:type="dxa"/>
            <w:vAlign w:val="bottom"/>
            <w:hideMark/>
          </w:tcPr>
          <w:p w14:paraId="06FFCC19"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0.86478</w:t>
            </w:r>
          </w:p>
        </w:tc>
        <w:tc>
          <w:tcPr>
            <w:tcW w:w="1440" w:type="dxa"/>
            <w:vAlign w:val="bottom"/>
          </w:tcPr>
          <w:p w14:paraId="1E4581E6"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0.55716</w:t>
            </w:r>
          </w:p>
        </w:tc>
        <w:tc>
          <w:tcPr>
            <w:tcW w:w="1530" w:type="dxa"/>
            <w:vAlign w:val="bottom"/>
          </w:tcPr>
          <w:p w14:paraId="6B950B7A"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2.17862</w:t>
            </w:r>
          </w:p>
        </w:tc>
      </w:tr>
      <w:tr w:rsidR="0058100D" w:rsidRPr="00D2239A" w14:paraId="6DCCB800" w14:textId="77777777" w:rsidTr="00435936">
        <w:trPr>
          <w:trHeight w:val="300"/>
        </w:trPr>
        <w:tc>
          <w:tcPr>
            <w:tcW w:w="4831" w:type="dxa"/>
            <w:hideMark/>
          </w:tcPr>
          <w:p w14:paraId="4B64CA20" w14:textId="77777777" w:rsidR="0058100D" w:rsidRPr="00D2239A" w:rsidRDefault="0058100D" w:rsidP="00435936">
            <w:pPr>
              <w:spacing w:after="0" w:line="240" w:lineRule="auto"/>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Naltrexone</w:t>
            </w:r>
          </w:p>
        </w:tc>
        <w:tc>
          <w:tcPr>
            <w:tcW w:w="1554" w:type="dxa"/>
            <w:vAlign w:val="bottom"/>
            <w:hideMark/>
          </w:tcPr>
          <w:p w14:paraId="74AB0D15"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 </w:t>
            </w:r>
          </w:p>
        </w:tc>
        <w:tc>
          <w:tcPr>
            <w:tcW w:w="1440" w:type="dxa"/>
            <w:vAlign w:val="bottom"/>
          </w:tcPr>
          <w:p w14:paraId="6121C834"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p>
        </w:tc>
        <w:tc>
          <w:tcPr>
            <w:tcW w:w="1530" w:type="dxa"/>
            <w:vAlign w:val="bottom"/>
          </w:tcPr>
          <w:p w14:paraId="680A4A2E"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 </w:t>
            </w:r>
          </w:p>
        </w:tc>
      </w:tr>
      <w:tr w:rsidR="0058100D" w:rsidRPr="00D2239A" w14:paraId="3EE40133" w14:textId="77777777" w:rsidTr="00435936">
        <w:trPr>
          <w:trHeight w:val="300"/>
        </w:trPr>
        <w:tc>
          <w:tcPr>
            <w:tcW w:w="4831" w:type="dxa"/>
            <w:hideMark/>
          </w:tcPr>
          <w:p w14:paraId="61BBCA6A"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up to 2019</w:t>
            </w:r>
          </w:p>
        </w:tc>
        <w:tc>
          <w:tcPr>
            <w:tcW w:w="1554" w:type="dxa"/>
            <w:vAlign w:val="bottom"/>
            <w:hideMark/>
          </w:tcPr>
          <w:p w14:paraId="7C512C6E"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2.01303</w:t>
            </w:r>
          </w:p>
        </w:tc>
        <w:tc>
          <w:tcPr>
            <w:tcW w:w="1440" w:type="dxa"/>
            <w:vAlign w:val="bottom"/>
          </w:tcPr>
          <w:p w14:paraId="512275B1"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1.82731</w:t>
            </w:r>
          </w:p>
        </w:tc>
        <w:tc>
          <w:tcPr>
            <w:tcW w:w="1530" w:type="dxa"/>
            <w:vAlign w:val="bottom"/>
          </w:tcPr>
          <w:p w14:paraId="3209D959"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2.31956</w:t>
            </w:r>
          </w:p>
        </w:tc>
      </w:tr>
      <w:tr w:rsidR="0058100D" w:rsidRPr="00D2239A" w14:paraId="3D001492" w14:textId="77777777" w:rsidTr="00435936">
        <w:trPr>
          <w:trHeight w:val="300"/>
        </w:trPr>
        <w:tc>
          <w:tcPr>
            <w:tcW w:w="4831" w:type="dxa"/>
            <w:hideMark/>
          </w:tcPr>
          <w:p w14:paraId="4C0EE183"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lastRenderedPageBreak/>
              <w:t>Value in 2020</w:t>
            </w:r>
          </w:p>
        </w:tc>
        <w:tc>
          <w:tcPr>
            <w:tcW w:w="1554" w:type="dxa"/>
            <w:vAlign w:val="bottom"/>
            <w:hideMark/>
          </w:tcPr>
          <w:p w14:paraId="71EE2C36"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2.11315</w:t>
            </w:r>
          </w:p>
        </w:tc>
        <w:tc>
          <w:tcPr>
            <w:tcW w:w="1440" w:type="dxa"/>
            <w:vAlign w:val="bottom"/>
          </w:tcPr>
          <w:p w14:paraId="59231AB6"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1.44951</w:t>
            </w:r>
          </w:p>
        </w:tc>
        <w:tc>
          <w:tcPr>
            <w:tcW w:w="1530" w:type="dxa"/>
            <w:vAlign w:val="bottom"/>
          </w:tcPr>
          <w:p w14:paraId="32C4A524"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2.64137</w:t>
            </w:r>
          </w:p>
        </w:tc>
      </w:tr>
      <w:tr w:rsidR="0058100D" w:rsidRPr="00D2239A" w14:paraId="7CA860A8" w14:textId="77777777" w:rsidTr="00435936">
        <w:trPr>
          <w:trHeight w:val="300"/>
        </w:trPr>
        <w:tc>
          <w:tcPr>
            <w:tcW w:w="4831" w:type="dxa"/>
            <w:hideMark/>
          </w:tcPr>
          <w:p w14:paraId="4721EB3F"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in 2021</w:t>
            </w:r>
          </w:p>
        </w:tc>
        <w:tc>
          <w:tcPr>
            <w:tcW w:w="1554" w:type="dxa"/>
            <w:vAlign w:val="bottom"/>
            <w:hideMark/>
          </w:tcPr>
          <w:p w14:paraId="7B4AB14A"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1.97576</w:t>
            </w:r>
          </w:p>
        </w:tc>
        <w:tc>
          <w:tcPr>
            <w:tcW w:w="1440" w:type="dxa"/>
            <w:vAlign w:val="bottom"/>
          </w:tcPr>
          <w:p w14:paraId="7B80692D"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1.36598</w:t>
            </w:r>
          </w:p>
        </w:tc>
        <w:tc>
          <w:tcPr>
            <w:tcW w:w="1530" w:type="dxa"/>
            <w:vAlign w:val="bottom"/>
          </w:tcPr>
          <w:p w14:paraId="084FE8F3"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2.91109</w:t>
            </w:r>
          </w:p>
        </w:tc>
      </w:tr>
      <w:tr w:rsidR="0058100D" w:rsidRPr="00D2239A" w14:paraId="659E7F30" w14:textId="77777777" w:rsidTr="00435936">
        <w:trPr>
          <w:trHeight w:val="300"/>
        </w:trPr>
        <w:tc>
          <w:tcPr>
            <w:tcW w:w="4831" w:type="dxa"/>
            <w:hideMark/>
          </w:tcPr>
          <w:p w14:paraId="6290F794"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in 2022</w:t>
            </w:r>
          </w:p>
        </w:tc>
        <w:tc>
          <w:tcPr>
            <w:tcW w:w="1554" w:type="dxa"/>
            <w:vAlign w:val="bottom"/>
            <w:hideMark/>
          </w:tcPr>
          <w:p w14:paraId="6E76CDFE"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2.06108</w:t>
            </w:r>
          </w:p>
        </w:tc>
        <w:tc>
          <w:tcPr>
            <w:tcW w:w="1440" w:type="dxa"/>
            <w:vAlign w:val="bottom"/>
          </w:tcPr>
          <w:p w14:paraId="5EC97252"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1.29609</w:t>
            </w:r>
          </w:p>
        </w:tc>
        <w:tc>
          <w:tcPr>
            <w:tcW w:w="1530" w:type="dxa"/>
            <w:vAlign w:val="bottom"/>
          </w:tcPr>
          <w:p w14:paraId="7133A71A"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2.62827</w:t>
            </w:r>
          </w:p>
        </w:tc>
      </w:tr>
      <w:tr w:rsidR="0058100D" w:rsidRPr="00D2239A" w14:paraId="02677019" w14:textId="77777777" w:rsidTr="00435936">
        <w:trPr>
          <w:trHeight w:val="300"/>
        </w:trPr>
        <w:tc>
          <w:tcPr>
            <w:tcW w:w="4831" w:type="dxa"/>
            <w:hideMark/>
          </w:tcPr>
          <w:p w14:paraId="0C824043" w14:textId="77777777" w:rsidR="0058100D" w:rsidRPr="00D2239A" w:rsidRDefault="0058100D" w:rsidP="00435936">
            <w:pPr>
              <w:spacing w:after="0" w:line="240" w:lineRule="auto"/>
              <w:rPr>
                <w:rFonts w:eastAsia="Times New Roman" w:cs="Times New Roman"/>
                <w:b/>
                <w:bCs/>
                <w:color w:val="000000"/>
                <w:kern w:val="0"/>
                <w:sz w:val="18"/>
                <w:szCs w:val="18"/>
                <w:lang w:eastAsia="zh-CN"/>
                <w14:ligatures w14:val="none"/>
              </w:rPr>
            </w:pPr>
            <w:r w:rsidRPr="00D2239A">
              <w:rPr>
                <w:rFonts w:eastAsia="Times New Roman" w:cs="Times New Roman"/>
                <w:b/>
                <w:bCs/>
                <w:color w:val="000000"/>
                <w:kern w:val="0"/>
                <w:sz w:val="18"/>
                <w:szCs w:val="18"/>
                <w:lang w:eastAsia="zh-CN"/>
                <w14:ligatures w14:val="none"/>
              </w:rPr>
              <w:t>Initial population</w:t>
            </w:r>
          </w:p>
        </w:tc>
        <w:tc>
          <w:tcPr>
            <w:tcW w:w="1554" w:type="dxa"/>
            <w:vAlign w:val="bottom"/>
            <w:hideMark/>
          </w:tcPr>
          <w:p w14:paraId="7BE80C6C"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 </w:t>
            </w:r>
          </w:p>
        </w:tc>
        <w:tc>
          <w:tcPr>
            <w:tcW w:w="1440" w:type="dxa"/>
            <w:vAlign w:val="bottom"/>
          </w:tcPr>
          <w:p w14:paraId="10319362"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p>
        </w:tc>
        <w:tc>
          <w:tcPr>
            <w:tcW w:w="1530" w:type="dxa"/>
            <w:vAlign w:val="bottom"/>
          </w:tcPr>
          <w:p w14:paraId="58EFCBB9"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 </w:t>
            </w:r>
          </w:p>
        </w:tc>
      </w:tr>
      <w:tr w:rsidR="0058100D" w:rsidRPr="00D2239A" w14:paraId="6E0B841A" w14:textId="77777777" w:rsidTr="00435936">
        <w:trPr>
          <w:trHeight w:val="528"/>
        </w:trPr>
        <w:tc>
          <w:tcPr>
            <w:tcW w:w="4831" w:type="dxa"/>
            <w:hideMark/>
          </w:tcPr>
          <w:p w14:paraId="5544142C" w14:textId="77777777" w:rsidR="0058100D" w:rsidRPr="00D2239A" w:rsidRDefault="0058100D" w:rsidP="00435936">
            <w:pPr>
              <w:spacing w:after="0" w:line="240" w:lineRule="auto"/>
              <w:rPr>
                <w:rFonts w:eastAsia="Times New Roman" w:cs="Times New Roman"/>
                <w:b/>
                <w:bCs/>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 xml:space="preserve">Adjustment coefficient for initial population in </w:t>
            </w:r>
            <w:r w:rsidRPr="00D2239A">
              <w:rPr>
                <w:rFonts w:eastAsia="Times New Roman" w:cs="Times New Roman"/>
                <w:i/>
                <w:iCs/>
                <w:color w:val="000000"/>
                <w:kern w:val="0"/>
                <w:sz w:val="18"/>
                <w:szCs w:val="18"/>
                <w:lang w:eastAsia="zh-CN"/>
                <w14:ligatures w14:val="none"/>
              </w:rPr>
              <w:t xml:space="preserve">Prescription Opioid </w:t>
            </w:r>
            <w:r>
              <w:rPr>
                <w:rFonts w:eastAsia="Times New Roman" w:cs="Times New Roman"/>
                <w:i/>
                <w:iCs/>
                <w:color w:val="000000"/>
                <w:kern w:val="0"/>
                <w:sz w:val="18"/>
                <w:szCs w:val="18"/>
                <w:lang w:eastAsia="zh-CN"/>
                <w14:ligatures w14:val="none"/>
              </w:rPr>
              <w:t>Use</w:t>
            </w:r>
          </w:p>
        </w:tc>
        <w:tc>
          <w:tcPr>
            <w:tcW w:w="1554" w:type="dxa"/>
            <w:vAlign w:val="bottom"/>
            <w:hideMark/>
          </w:tcPr>
          <w:p w14:paraId="2FC6B275"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0.82222</w:t>
            </w:r>
          </w:p>
        </w:tc>
        <w:tc>
          <w:tcPr>
            <w:tcW w:w="1440" w:type="dxa"/>
            <w:vAlign w:val="bottom"/>
          </w:tcPr>
          <w:p w14:paraId="74B8EE25"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0.69875</w:t>
            </w:r>
          </w:p>
        </w:tc>
        <w:tc>
          <w:tcPr>
            <w:tcW w:w="1530" w:type="dxa"/>
            <w:vAlign w:val="bottom"/>
          </w:tcPr>
          <w:p w14:paraId="7594F1C2"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0.97358</w:t>
            </w:r>
          </w:p>
        </w:tc>
      </w:tr>
      <w:tr w:rsidR="0058100D" w:rsidRPr="00D2239A" w14:paraId="74938B17" w14:textId="77777777" w:rsidTr="00435936">
        <w:trPr>
          <w:trHeight w:val="300"/>
        </w:trPr>
        <w:tc>
          <w:tcPr>
            <w:tcW w:w="4831" w:type="dxa"/>
            <w:hideMark/>
          </w:tcPr>
          <w:p w14:paraId="4AD7D78D" w14:textId="77777777" w:rsidR="0058100D" w:rsidRPr="00D2239A" w:rsidRDefault="0058100D" w:rsidP="00435936">
            <w:pPr>
              <w:spacing w:after="0" w:line="240" w:lineRule="auto"/>
              <w:rPr>
                <w:rFonts w:eastAsia="Times New Roman" w:cs="Times New Roman"/>
                <w:b/>
                <w:bCs/>
                <w:color w:val="000000"/>
                <w:kern w:val="0"/>
                <w:sz w:val="18"/>
                <w:szCs w:val="18"/>
                <w:lang w:eastAsia="zh-CN"/>
                <w14:ligatures w14:val="none"/>
              </w:rPr>
            </w:pPr>
            <w:r w:rsidRPr="00D2239A">
              <w:rPr>
                <w:rFonts w:eastAsia="Times New Roman" w:cs="Times New Roman"/>
                <w:b/>
                <w:bCs/>
                <w:color w:val="000000"/>
                <w:kern w:val="0"/>
                <w:sz w:val="18"/>
                <w:szCs w:val="18"/>
                <w:lang w:eastAsia="zh-CN"/>
                <w14:ligatures w14:val="none"/>
              </w:rPr>
              <w:t>New incidences per month</w:t>
            </w:r>
          </w:p>
        </w:tc>
        <w:tc>
          <w:tcPr>
            <w:tcW w:w="1554" w:type="dxa"/>
            <w:vAlign w:val="bottom"/>
            <w:hideMark/>
          </w:tcPr>
          <w:p w14:paraId="55750AAC"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 </w:t>
            </w:r>
          </w:p>
        </w:tc>
        <w:tc>
          <w:tcPr>
            <w:tcW w:w="1440" w:type="dxa"/>
            <w:vAlign w:val="bottom"/>
          </w:tcPr>
          <w:p w14:paraId="06274925"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p>
        </w:tc>
        <w:tc>
          <w:tcPr>
            <w:tcW w:w="1530" w:type="dxa"/>
            <w:vAlign w:val="bottom"/>
          </w:tcPr>
          <w:p w14:paraId="2C2DD00F"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 </w:t>
            </w:r>
          </w:p>
        </w:tc>
      </w:tr>
      <w:tr w:rsidR="0058100D" w:rsidRPr="00D2239A" w14:paraId="1EFF036C" w14:textId="77777777" w:rsidTr="00435936">
        <w:trPr>
          <w:trHeight w:val="300"/>
        </w:trPr>
        <w:tc>
          <w:tcPr>
            <w:tcW w:w="4831" w:type="dxa"/>
            <w:hideMark/>
          </w:tcPr>
          <w:p w14:paraId="5B4BE1AC" w14:textId="77777777" w:rsidR="0058100D" w:rsidRPr="00D2239A" w:rsidRDefault="0058100D" w:rsidP="00435936">
            <w:pPr>
              <w:spacing w:after="0" w:line="240" w:lineRule="auto"/>
              <w:rPr>
                <w:rFonts w:eastAsia="Times New Roman" w:cs="Times New Roman"/>
                <w:i/>
                <w:iCs/>
                <w:color w:val="000000"/>
                <w:kern w:val="0"/>
                <w:sz w:val="18"/>
                <w:szCs w:val="18"/>
                <w:lang w:eastAsia="zh-CN"/>
                <w14:ligatures w14:val="none"/>
              </w:rPr>
            </w:pPr>
            <w:r w:rsidRPr="00D2239A">
              <w:rPr>
                <w:rFonts w:eastAsia="Times New Roman" w:cs="Times New Roman"/>
                <w:i/>
                <w:iCs/>
                <w:color w:val="000000"/>
                <w:kern w:val="0"/>
                <w:sz w:val="18"/>
                <w:szCs w:val="18"/>
                <w:lang w:eastAsia="zh-CN"/>
                <w14:ligatures w14:val="none"/>
              </w:rPr>
              <w:t xml:space="preserve">Prescription Opioid </w:t>
            </w:r>
            <w:r>
              <w:rPr>
                <w:rFonts w:eastAsia="Times New Roman" w:cs="Times New Roman"/>
                <w:i/>
                <w:iCs/>
                <w:color w:val="000000"/>
                <w:kern w:val="0"/>
                <w:sz w:val="18"/>
                <w:szCs w:val="18"/>
                <w:lang w:eastAsia="zh-CN"/>
                <w14:ligatures w14:val="none"/>
              </w:rPr>
              <w:t>Use</w:t>
            </w:r>
          </w:p>
        </w:tc>
        <w:tc>
          <w:tcPr>
            <w:tcW w:w="1554" w:type="dxa"/>
            <w:vAlign w:val="bottom"/>
            <w:hideMark/>
          </w:tcPr>
          <w:p w14:paraId="091D681E"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58.77576</w:t>
            </w:r>
          </w:p>
        </w:tc>
        <w:tc>
          <w:tcPr>
            <w:tcW w:w="1440" w:type="dxa"/>
            <w:vAlign w:val="bottom"/>
          </w:tcPr>
          <w:p w14:paraId="482FF833"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12.16358</w:t>
            </w:r>
          </w:p>
        </w:tc>
        <w:tc>
          <w:tcPr>
            <w:tcW w:w="1530" w:type="dxa"/>
            <w:vAlign w:val="bottom"/>
          </w:tcPr>
          <w:p w14:paraId="7351AA4B"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334.62312</w:t>
            </w:r>
          </w:p>
        </w:tc>
      </w:tr>
      <w:tr w:rsidR="0058100D" w:rsidRPr="00D2239A" w14:paraId="235CC083" w14:textId="77777777" w:rsidTr="00435936">
        <w:trPr>
          <w:trHeight w:val="300"/>
        </w:trPr>
        <w:tc>
          <w:tcPr>
            <w:tcW w:w="4831" w:type="dxa"/>
            <w:hideMark/>
          </w:tcPr>
          <w:p w14:paraId="38330999" w14:textId="77777777" w:rsidR="0058100D" w:rsidRPr="00D2239A" w:rsidRDefault="0058100D" w:rsidP="00435936">
            <w:pPr>
              <w:spacing w:after="0" w:line="240" w:lineRule="auto"/>
              <w:rPr>
                <w:rFonts w:eastAsia="Times New Roman" w:cs="Times New Roman"/>
                <w:i/>
                <w:iCs/>
                <w:color w:val="000000"/>
                <w:kern w:val="0"/>
                <w:sz w:val="18"/>
                <w:szCs w:val="18"/>
                <w:lang w:eastAsia="zh-CN"/>
                <w14:ligatures w14:val="none"/>
              </w:rPr>
            </w:pPr>
            <w:r w:rsidRPr="00D2239A">
              <w:rPr>
                <w:rFonts w:eastAsia="Times New Roman" w:cs="Times New Roman"/>
                <w:i/>
                <w:iCs/>
                <w:color w:val="000000"/>
                <w:kern w:val="0"/>
                <w:sz w:val="18"/>
                <w:szCs w:val="18"/>
                <w:lang w:eastAsia="zh-CN"/>
                <w14:ligatures w14:val="none"/>
              </w:rPr>
              <w:t>Illicit Opioid Use</w:t>
            </w:r>
          </w:p>
        </w:tc>
        <w:tc>
          <w:tcPr>
            <w:tcW w:w="1554" w:type="dxa"/>
            <w:vAlign w:val="bottom"/>
            <w:hideMark/>
          </w:tcPr>
          <w:p w14:paraId="1903F160"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46.05925</w:t>
            </w:r>
          </w:p>
        </w:tc>
        <w:tc>
          <w:tcPr>
            <w:tcW w:w="1440" w:type="dxa"/>
            <w:vAlign w:val="bottom"/>
          </w:tcPr>
          <w:p w14:paraId="474FAB98"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7.22936</w:t>
            </w:r>
          </w:p>
        </w:tc>
        <w:tc>
          <w:tcPr>
            <w:tcW w:w="1530" w:type="dxa"/>
            <w:vAlign w:val="bottom"/>
          </w:tcPr>
          <w:p w14:paraId="5676B724"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164.52906</w:t>
            </w:r>
          </w:p>
        </w:tc>
      </w:tr>
      <w:tr w:rsidR="0058100D" w:rsidRPr="00D2239A" w14:paraId="1E9DA755" w14:textId="77777777" w:rsidTr="00435936">
        <w:trPr>
          <w:trHeight w:val="300"/>
        </w:trPr>
        <w:tc>
          <w:tcPr>
            <w:tcW w:w="4831" w:type="dxa"/>
          </w:tcPr>
          <w:p w14:paraId="385232AA" w14:textId="77777777" w:rsidR="0058100D" w:rsidRPr="00D2239A" w:rsidRDefault="0058100D" w:rsidP="00435936">
            <w:pPr>
              <w:spacing w:after="0" w:line="240" w:lineRule="auto"/>
              <w:rPr>
                <w:rFonts w:eastAsia="Times New Roman" w:cs="Times New Roman"/>
                <w:i/>
                <w:iCs/>
                <w:color w:val="000000"/>
                <w:kern w:val="0"/>
                <w:sz w:val="18"/>
                <w:szCs w:val="18"/>
                <w:lang w:eastAsia="zh-CN"/>
                <w14:ligatures w14:val="none"/>
              </w:rPr>
            </w:pPr>
            <w:r w:rsidRPr="0016710E">
              <w:rPr>
                <w:rFonts w:eastAsia="Times New Roman" w:cs="Times New Roman"/>
                <w:i/>
                <w:iCs/>
                <w:color w:val="000000"/>
                <w:kern w:val="0"/>
                <w:sz w:val="18"/>
                <w:szCs w:val="18"/>
                <w:lang w:eastAsia="zh-CN"/>
                <w14:ligatures w14:val="none"/>
              </w:rPr>
              <w:t xml:space="preserve">Change in prescription opioid </w:t>
            </w:r>
            <w:r>
              <w:rPr>
                <w:rFonts w:eastAsia="Times New Roman" w:cs="Times New Roman"/>
                <w:i/>
                <w:iCs/>
                <w:color w:val="000000"/>
                <w:kern w:val="0"/>
                <w:sz w:val="18"/>
                <w:szCs w:val="18"/>
                <w:lang w:eastAsia="zh-CN"/>
                <w14:ligatures w14:val="none"/>
              </w:rPr>
              <w:t>use</w:t>
            </w:r>
            <w:r w:rsidRPr="0016710E">
              <w:rPr>
                <w:rFonts w:eastAsia="Times New Roman" w:cs="Times New Roman"/>
                <w:i/>
                <w:iCs/>
                <w:color w:val="000000"/>
                <w:kern w:val="0"/>
                <w:sz w:val="18"/>
                <w:szCs w:val="18"/>
                <w:lang w:eastAsia="zh-CN"/>
                <w14:ligatures w14:val="none"/>
              </w:rPr>
              <w:t xml:space="preserve"> after 2020</w:t>
            </w:r>
          </w:p>
        </w:tc>
        <w:tc>
          <w:tcPr>
            <w:tcW w:w="1554" w:type="dxa"/>
            <w:vAlign w:val="bottom"/>
          </w:tcPr>
          <w:p w14:paraId="446E6BC4"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86.8%</w:t>
            </w:r>
          </w:p>
        </w:tc>
        <w:tc>
          <w:tcPr>
            <w:tcW w:w="1440" w:type="dxa"/>
            <w:vAlign w:val="bottom"/>
          </w:tcPr>
          <w:p w14:paraId="5B290708"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80.6%</w:t>
            </w:r>
          </w:p>
        </w:tc>
        <w:tc>
          <w:tcPr>
            <w:tcW w:w="1530" w:type="dxa"/>
            <w:vAlign w:val="bottom"/>
          </w:tcPr>
          <w:p w14:paraId="4FFFAD06"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94.7%</w:t>
            </w:r>
          </w:p>
        </w:tc>
      </w:tr>
      <w:tr w:rsidR="0058100D" w:rsidRPr="00D2239A" w14:paraId="3C5435C4" w14:textId="77777777" w:rsidTr="00435936">
        <w:trPr>
          <w:trHeight w:val="300"/>
        </w:trPr>
        <w:tc>
          <w:tcPr>
            <w:tcW w:w="4831" w:type="dxa"/>
          </w:tcPr>
          <w:p w14:paraId="21292DCA" w14:textId="77777777" w:rsidR="0058100D" w:rsidRPr="00D2239A" w:rsidRDefault="0058100D" w:rsidP="00435936">
            <w:pPr>
              <w:spacing w:after="0" w:line="240" w:lineRule="auto"/>
              <w:rPr>
                <w:rFonts w:eastAsia="Times New Roman" w:cs="Times New Roman"/>
                <w:i/>
                <w:iCs/>
                <w:color w:val="000000"/>
                <w:kern w:val="0"/>
                <w:sz w:val="18"/>
                <w:szCs w:val="18"/>
                <w:lang w:eastAsia="zh-CN"/>
                <w14:ligatures w14:val="none"/>
              </w:rPr>
            </w:pPr>
            <w:r w:rsidRPr="0016710E">
              <w:rPr>
                <w:rFonts w:eastAsia="Times New Roman" w:cs="Times New Roman"/>
                <w:i/>
                <w:iCs/>
                <w:color w:val="000000"/>
                <w:kern w:val="0"/>
                <w:sz w:val="18"/>
                <w:szCs w:val="18"/>
                <w:lang w:eastAsia="zh-CN"/>
                <w14:ligatures w14:val="none"/>
              </w:rPr>
              <w:t>Change in illicit opioid use after 2020</w:t>
            </w:r>
          </w:p>
        </w:tc>
        <w:tc>
          <w:tcPr>
            <w:tcW w:w="1554" w:type="dxa"/>
            <w:vAlign w:val="bottom"/>
          </w:tcPr>
          <w:p w14:paraId="43CE63EB"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88.4%</w:t>
            </w:r>
          </w:p>
        </w:tc>
        <w:tc>
          <w:tcPr>
            <w:tcW w:w="1440" w:type="dxa"/>
            <w:vAlign w:val="bottom"/>
          </w:tcPr>
          <w:p w14:paraId="5FDBF76D"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80.4%</w:t>
            </w:r>
          </w:p>
        </w:tc>
        <w:tc>
          <w:tcPr>
            <w:tcW w:w="1530" w:type="dxa"/>
            <w:vAlign w:val="bottom"/>
          </w:tcPr>
          <w:p w14:paraId="14AFEE43"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99.7%</w:t>
            </w:r>
          </w:p>
        </w:tc>
      </w:tr>
      <w:tr w:rsidR="0058100D" w:rsidRPr="00D2239A" w14:paraId="30CE3510" w14:textId="77777777" w:rsidTr="00435936">
        <w:trPr>
          <w:trHeight w:val="300"/>
        </w:trPr>
        <w:tc>
          <w:tcPr>
            <w:tcW w:w="4831" w:type="dxa"/>
            <w:hideMark/>
          </w:tcPr>
          <w:p w14:paraId="059F673D" w14:textId="77777777" w:rsidR="0058100D" w:rsidRPr="00D2239A" w:rsidRDefault="0058100D" w:rsidP="00435936">
            <w:pPr>
              <w:spacing w:after="0" w:line="240" w:lineRule="auto"/>
              <w:rPr>
                <w:rFonts w:eastAsia="Times New Roman" w:cs="Times New Roman"/>
                <w:b/>
                <w:bCs/>
                <w:color w:val="000000"/>
                <w:kern w:val="0"/>
                <w:sz w:val="18"/>
                <w:szCs w:val="18"/>
                <w:lang w:eastAsia="zh-CN"/>
                <w14:ligatures w14:val="none"/>
              </w:rPr>
            </w:pPr>
            <w:r w:rsidRPr="00D2239A">
              <w:rPr>
                <w:rFonts w:eastAsia="Times New Roman" w:cs="Times New Roman"/>
                <w:b/>
                <w:bCs/>
                <w:color w:val="000000"/>
                <w:kern w:val="0"/>
                <w:sz w:val="18"/>
                <w:szCs w:val="18"/>
                <w:lang w:eastAsia="zh-CN"/>
                <w14:ligatures w14:val="none"/>
              </w:rPr>
              <w:t>Overdose pathway</w:t>
            </w:r>
          </w:p>
        </w:tc>
        <w:tc>
          <w:tcPr>
            <w:tcW w:w="1554" w:type="dxa"/>
            <w:vAlign w:val="bottom"/>
            <w:hideMark/>
          </w:tcPr>
          <w:p w14:paraId="4F484A21"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 </w:t>
            </w:r>
          </w:p>
        </w:tc>
        <w:tc>
          <w:tcPr>
            <w:tcW w:w="1440" w:type="dxa"/>
            <w:vAlign w:val="bottom"/>
          </w:tcPr>
          <w:p w14:paraId="2350ABF5"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p>
        </w:tc>
        <w:tc>
          <w:tcPr>
            <w:tcW w:w="1530" w:type="dxa"/>
            <w:vAlign w:val="bottom"/>
          </w:tcPr>
          <w:p w14:paraId="68E192EB"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 </w:t>
            </w:r>
          </w:p>
        </w:tc>
      </w:tr>
      <w:tr w:rsidR="0058100D" w:rsidRPr="00D2239A" w14:paraId="0B37CC81" w14:textId="77777777" w:rsidTr="00435936">
        <w:trPr>
          <w:trHeight w:val="300"/>
        </w:trPr>
        <w:tc>
          <w:tcPr>
            <w:tcW w:w="4831" w:type="dxa"/>
            <w:hideMark/>
          </w:tcPr>
          <w:p w14:paraId="71D66BAB" w14:textId="77777777" w:rsidR="0058100D" w:rsidRPr="00D2239A" w:rsidRDefault="0058100D" w:rsidP="00435936">
            <w:pPr>
              <w:spacing w:after="0" w:line="240" w:lineRule="auto"/>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 xml:space="preserve">Baseline overdose probability (in </w:t>
            </w:r>
            <w:r w:rsidRPr="00D2239A">
              <w:rPr>
                <w:rFonts w:eastAsia="Times New Roman" w:cs="Times New Roman"/>
                <w:i/>
                <w:iCs/>
                <w:color w:val="000000"/>
                <w:kern w:val="0"/>
                <w:sz w:val="18"/>
                <w:szCs w:val="18"/>
                <w:lang w:eastAsia="zh-CN"/>
                <w14:ligatures w14:val="none"/>
              </w:rPr>
              <w:t>OUD</w:t>
            </w:r>
            <w:r w:rsidRPr="00D2239A">
              <w:rPr>
                <w:rFonts w:eastAsia="Times New Roman" w:cs="Times New Roman"/>
                <w:color w:val="000000"/>
                <w:kern w:val="0"/>
                <w:sz w:val="18"/>
                <w:szCs w:val="18"/>
                <w:lang w:eastAsia="zh-CN"/>
                <w14:ligatures w14:val="none"/>
              </w:rPr>
              <w:t xml:space="preserve"> and </w:t>
            </w:r>
            <w:r w:rsidRPr="00D2239A">
              <w:rPr>
                <w:rFonts w:eastAsia="Times New Roman" w:cs="Times New Roman"/>
                <w:i/>
                <w:iCs/>
                <w:color w:val="000000"/>
                <w:kern w:val="0"/>
                <w:sz w:val="18"/>
                <w:szCs w:val="18"/>
                <w:lang w:eastAsia="zh-CN"/>
                <w14:ligatures w14:val="none"/>
              </w:rPr>
              <w:t>MOUD</w:t>
            </w:r>
            <w:r w:rsidRPr="00D2239A">
              <w:rPr>
                <w:rFonts w:eastAsia="Times New Roman" w:cs="Times New Roman"/>
                <w:color w:val="000000"/>
                <w:kern w:val="0"/>
                <w:sz w:val="18"/>
                <w:szCs w:val="18"/>
                <w:lang w:eastAsia="zh-CN"/>
                <w14:ligatures w14:val="none"/>
              </w:rPr>
              <w:t>)</w:t>
            </w:r>
          </w:p>
        </w:tc>
        <w:tc>
          <w:tcPr>
            <w:tcW w:w="1554" w:type="dxa"/>
            <w:vAlign w:val="bottom"/>
            <w:hideMark/>
          </w:tcPr>
          <w:p w14:paraId="49ED7C8D"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0.00449</w:t>
            </w:r>
          </w:p>
        </w:tc>
        <w:tc>
          <w:tcPr>
            <w:tcW w:w="1440" w:type="dxa"/>
            <w:vAlign w:val="bottom"/>
          </w:tcPr>
          <w:p w14:paraId="36D009C3"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0.00154</w:t>
            </w:r>
          </w:p>
        </w:tc>
        <w:tc>
          <w:tcPr>
            <w:tcW w:w="1530" w:type="dxa"/>
            <w:vAlign w:val="bottom"/>
          </w:tcPr>
          <w:p w14:paraId="66133DD4"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0.00888</w:t>
            </w:r>
          </w:p>
        </w:tc>
      </w:tr>
      <w:tr w:rsidR="0058100D" w:rsidRPr="00D2239A" w14:paraId="1FAC4CCA" w14:textId="77777777" w:rsidTr="00435936">
        <w:trPr>
          <w:trHeight w:val="300"/>
        </w:trPr>
        <w:tc>
          <w:tcPr>
            <w:tcW w:w="4831" w:type="dxa"/>
            <w:hideMark/>
          </w:tcPr>
          <w:p w14:paraId="76AD2636"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 xml:space="preserve">RR for </w:t>
            </w:r>
            <w:r w:rsidRPr="00D2239A">
              <w:rPr>
                <w:rFonts w:eastAsia="Times New Roman" w:cs="Times New Roman"/>
                <w:i/>
                <w:iCs/>
                <w:color w:val="000000"/>
                <w:kern w:val="0"/>
                <w:sz w:val="18"/>
                <w:szCs w:val="18"/>
                <w:lang w:eastAsia="zh-CN"/>
                <w14:ligatures w14:val="none"/>
              </w:rPr>
              <w:t xml:space="preserve">Prescription Opioid </w:t>
            </w:r>
            <w:r>
              <w:rPr>
                <w:rFonts w:eastAsia="Times New Roman" w:cs="Times New Roman"/>
                <w:i/>
                <w:iCs/>
                <w:color w:val="000000"/>
                <w:kern w:val="0"/>
                <w:sz w:val="18"/>
                <w:szCs w:val="18"/>
                <w:lang w:eastAsia="zh-CN"/>
                <w14:ligatures w14:val="none"/>
              </w:rPr>
              <w:t>Use</w:t>
            </w:r>
            <w:r w:rsidRPr="00D2239A">
              <w:rPr>
                <w:rFonts w:eastAsia="Times New Roman" w:cs="Times New Roman"/>
                <w:color w:val="000000"/>
                <w:kern w:val="0"/>
                <w:sz w:val="18"/>
                <w:szCs w:val="18"/>
                <w:lang w:eastAsia="zh-CN"/>
                <w14:ligatures w14:val="none"/>
              </w:rPr>
              <w:t xml:space="preserve"> (vs. </w:t>
            </w:r>
            <w:r w:rsidRPr="00D2239A">
              <w:rPr>
                <w:rFonts w:eastAsia="Times New Roman" w:cs="Times New Roman"/>
                <w:i/>
                <w:iCs/>
                <w:color w:val="000000"/>
                <w:kern w:val="0"/>
                <w:sz w:val="18"/>
                <w:szCs w:val="18"/>
                <w:lang w:eastAsia="zh-CN"/>
                <w14:ligatures w14:val="none"/>
              </w:rPr>
              <w:t>OUD</w:t>
            </w:r>
            <w:r w:rsidRPr="00D2239A">
              <w:rPr>
                <w:rFonts w:eastAsia="Times New Roman" w:cs="Times New Roman"/>
                <w:color w:val="000000"/>
                <w:kern w:val="0"/>
                <w:sz w:val="18"/>
                <w:szCs w:val="18"/>
                <w:lang w:eastAsia="zh-CN"/>
                <w14:ligatures w14:val="none"/>
              </w:rPr>
              <w:t>)</w:t>
            </w:r>
          </w:p>
        </w:tc>
        <w:tc>
          <w:tcPr>
            <w:tcW w:w="1554" w:type="dxa"/>
            <w:vAlign w:val="bottom"/>
            <w:hideMark/>
          </w:tcPr>
          <w:p w14:paraId="6B9FCC0B"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0.61557</w:t>
            </w:r>
          </w:p>
        </w:tc>
        <w:tc>
          <w:tcPr>
            <w:tcW w:w="1440" w:type="dxa"/>
            <w:vAlign w:val="bottom"/>
          </w:tcPr>
          <w:p w14:paraId="6C63A786"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0.53513</w:t>
            </w:r>
          </w:p>
        </w:tc>
        <w:tc>
          <w:tcPr>
            <w:tcW w:w="1530" w:type="dxa"/>
            <w:vAlign w:val="bottom"/>
          </w:tcPr>
          <w:p w14:paraId="461E9E50"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0.85229</w:t>
            </w:r>
          </w:p>
        </w:tc>
      </w:tr>
      <w:tr w:rsidR="0058100D" w:rsidRPr="00D2239A" w14:paraId="2D3B6307" w14:textId="77777777" w:rsidTr="00435936">
        <w:trPr>
          <w:trHeight w:val="300"/>
        </w:trPr>
        <w:tc>
          <w:tcPr>
            <w:tcW w:w="4831" w:type="dxa"/>
            <w:hideMark/>
          </w:tcPr>
          <w:p w14:paraId="300AA02D"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 xml:space="preserve">RR for </w:t>
            </w:r>
            <w:r w:rsidRPr="00D2239A">
              <w:rPr>
                <w:rFonts w:eastAsia="Times New Roman" w:cs="Times New Roman"/>
                <w:i/>
                <w:iCs/>
                <w:color w:val="000000"/>
                <w:kern w:val="0"/>
                <w:sz w:val="18"/>
                <w:szCs w:val="18"/>
                <w:lang w:eastAsia="zh-CN"/>
                <w14:ligatures w14:val="none"/>
              </w:rPr>
              <w:t>Illicit Opioid Use</w:t>
            </w:r>
            <w:r w:rsidRPr="00D2239A">
              <w:rPr>
                <w:rFonts w:eastAsia="Times New Roman" w:cs="Times New Roman"/>
                <w:color w:val="000000"/>
                <w:kern w:val="0"/>
                <w:sz w:val="18"/>
                <w:szCs w:val="18"/>
                <w:lang w:eastAsia="zh-CN"/>
                <w14:ligatures w14:val="none"/>
              </w:rPr>
              <w:t xml:space="preserve"> (vs. </w:t>
            </w:r>
            <w:r w:rsidRPr="00D2239A">
              <w:rPr>
                <w:rFonts w:eastAsia="Times New Roman" w:cs="Times New Roman"/>
                <w:i/>
                <w:iCs/>
                <w:color w:val="000000"/>
                <w:kern w:val="0"/>
                <w:sz w:val="18"/>
                <w:szCs w:val="18"/>
                <w:lang w:eastAsia="zh-CN"/>
                <w14:ligatures w14:val="none"/>
              </w:rPr>
              <w:t>OUD</w:t>
            </w:r>
            <w:r w:rsidRPr="00D2239A">
              <w:rPr>
                <w:rFonts w:eastAsia="Times New Roman" w:cs="Times New Roman"/>
                <w:color w:val="000000"/>
                <w:kern w:val="0"/>
                <w:sz w:val="18"/>
                <w:szCs w:val="18"/>
                <w:lang w:eastAsia="zh-CN"/>
                <w14:ligatures w14:val="none"/>
              </w:rPr>
              <w:t>)</w:t>
            </w:r>
          </w:p>
        </w:tc>
        <w:tc>
          <w:tcPr>
            <w:tcW w:w="1554" w:type="dxa"/>
            <w:vAlign w:val="bottom"/>
            <w:hideMark/>
          </w:tcPr>
          <w:p w14:paraId="22AF9A11"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1.04300</w:t>
            </w:r>
          </w:p>
        </w:tc>
        <w:tc>
          <w:tcPr>
            <w:tcW w:w="1440" w:type="dxa"/>
            <w:vAlign w:val="bottom"/>
          </w:tcPr>
          <w:p w14:paraId="45B64F19"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0.91245</w:t>
            </w:r>
          </w:p>
        </w:tc>
        <w:tc>
          <w:tcPr>
            <w:tcW w:w="1530" w:type="dxa"/>
            <w:vAlign w:val="bottom"/>
          </w:tcPr>
          <w:p w14:paraId="7E055283"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1.17276</w:t>
            </w:r>
          </w:p>
        </w:tc>
      </w:tr>
      <w:tr w:rsidR="0058100D" w:rsidRPr="00D2239A" w14:paraId="2606EEA0" w14:textId="77777777" w:rsidTr="00435936">
        <w:trPr>
          <w:trHeight w:val="300"/>
        </w:trPr>
        <w:tc>
          <w:tcPr>
            <w:tcW w:w="4831" w:type="dxa"/>
            <w:hideMark/>
          </w:tcPr>
          <w:p w14:paraId="5A52CBB3" w14:textId="77777777" w:rsidR="0058100D" w:rsidRPr="00D2239A" w:rsidRDefault="0058100D" w:rsidP="00435936">
            <w:pPr>
              <w:spacing w:after="0" w:line="240" w:lineRule="auto"/>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 xml:space="preserve">Baseline fatal probability of overdose (for </w:t>
            </w:r>
            <w:r w:rsidRPr="00D2239A">
              <w:rPr>
                <w:rFonts w:eastAsia="Times New Roman" w:cs="Times New Roman"/>
                <w:i/>
                <w:iCs/>
                <w:color w:val="000000"/>
                <w:kern w:val="0"/>
                <w:sz w:val="18"/>
                <w:szCs w:val="18"/>
                <w:lang w:eastAsia="zh-CN"/>
                <w14:ligatures w14:val="none"/>
              </w:rPr>
              <w:t>OUD</w:t>
            </w:r>
            <w:r w:rsidRPr="00D2239A">
              <w:rPr>
                <w:rFonts w:eastAsia="Times New Roman" w:cs="Times New Roman"/>
                <w:color w:val="000000"/>
                <w:kern w:val="0"/>
                <w:sz w:val="18"/>
                <w:szCs w:val="18"/>
                <w:lang w:eastAsia="zh-CN"/>
                <w14:ligatures w14:val="none"/>
              </w:rPr>
              <w:t xml:space="preserve">), </w:t>
            </w:r>
            <m:oMath>
              <m:sSubSup>
                <m:sSubSupPr>
                  <m:ctrlPr>
                    <w:rPr>
                      <w:rFonts w:ascii="Cambria Math" w:eastAsia="Times New Roman" w:hAnsi="Cambria Math" w:cs="Times New Roman"/>
                      <w:i/>
                      <w:color w:val="000000"/>
                      <w:kern w:val="0"/>
                      <w:sz w:val="18"/>
                      <w:szCs w:val="18"/>
                      <w:lang w:eastAsia="zh-CN"/>
                      <w14:ligatures w14:val="none"/>
                    </w:rPr>
                  </m:ctrlPr>
                </m:sSubSupPr>
                <m:e>
                  <m:r>
                    <w:rPr>
                      <w:rFonts w:ascii="Cambria Math" w:eastAsia="Times New Roman" w:hAnsi="Cambria Math" w:cs="Times New Roman"/>
                      <w:color w:val="000000"/>
                      <w:kern w:val="0"/>
                      <w:sz w:val="18"/>
                      <w:szCs w:val="18"/>
                      <w:lang w:eastAsia="zh-CN"/>
                      <w14:ligatures w14:val="none"/>
                    </w:rPr>
                    <m:t>p</m:t>
                  </m:r>
                </m:e>
                <m:sub>
                  <m:r>
                    <w:rPr>
                      <w:rFonts w:ascii="Cambria Math" w:eastAsia="Times New Roman" w:hAnsi="Cambria Math" w:cs="Times New Roman"/>
                      <w:color w:val="000000"/>
                      <w:kern w:val="0"/>
                      <w:sz w:val="18"/>
                      <w:szCs w:val="18"/>
                      <w:lang w:eastAsia="zh-CN"/>
                      <w14:ligatures w14:val="none"/>
                    </w:rPr>
                    <m:t>fatal</m:t>
                  </m:r>
                </m:sub>
                <m:sup>
                  <m:r>
                    <w:rPr>
                      <w:rFonts w:ascii="Cambria Math" w:eastAsia="Times New Roman" w:hAnsi="Cambria Math" w:cs="Times New Roman"/>
                      <w:color w:val="000000"/>
                      <w:kern w:val="0"/>
                      <w:sz w:val="18"/>
                      <w:szCs w:val="18"/>
                      <w:lang w:eastAsia="zh-CN"/>
                      <w14:ligatures w14:val="none"/>
                    </w:rPr>
                    <m:t>base</m:t>
                  </m:r>
                </m:sup>
              </m:sSubSup>
            </m:oMath>
            <w:r w:rsidRPr="00D2239A">
              <w:rPr>
                <w:rFonts w:eastAsia="Times New Roman" w:cs="Times New Roman"/>
                <w:color w:val="000000"/>
                <w:kern w:val="0"/>
                <w:sz w:val="18"/>
                <w:szCs w:val="18"/>
                <w:lang w:eastAsia="zh-CN"/>
                <w14:ligatures w14:val="none"/>
              </w:rPr>
              <w:t xml:space="preserve"> </w:t>
            </w:r>
          </w:p>
        </w:tc>
        <w:tc>
          <w:tcPr>
            <w:tcW w:w="1554" w:type="dxa"/>
            <w:vAlign w:val="bottom"/>
            <w:hideMark/>
          </w:tcPr>
          <w:p w14:paraId="355D68CC"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 </w:t>
            </w:r>
          </w:p>
        </w:tc>
        <w:tc>
          <w:tcPr>
            <w:tcW w:w="1440" w:type="dxa"/>
            <w:vAlign w:val="bottom"/>
          </w:tcPr>
          <w:p w14:paraId="5B8A1A9F"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p>
        </w:tc>
        <w:tc>
          <w:tcPr>
            <w:tcW w:w="1530" w:type="dxa"/>
            <w:vAlign w:val="bottom"/>
          </w:tcPr>
          <w:p w14:paraId="5C2C2EA9"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 </w:t>
            </w:r>
          </w:p>
        </w:tc>
      </w:tr>
      <w:tr w:rsidR="0058100D" w:rsidRPr="00D2239A" w14:paraId="3A656718" w14:textId="77777777" w:rsidTr="00435936">
        <w:trPr>
          <w:trHeight w:val="300"/>
        </w:trPr>
        <w:tc>
          <w:tcPr>
            <w:tcW w:w="4831" w:type="dxa"/>
            <w:hideMark/>
          </w:tcPr>
          <w:p w14:paraId="72FD32CF"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up to 2017</w:t>
            </w:r>
          </w:p>
        </w:tc>
        <w:tc>
          <w:tcPr>
            <w:tcW w:w="1554" w:type="dxa"/>
            <w:vAlign w:val="bottom"/>
            <w:hideMark/>
          </w:tcPr>
          <w:p w14:paraId="7693225C"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0.15250</w:t>
            </w:r>
          </w:p>
        </w:tc>
        <w:tc>
          <w:tcPr>
            <w:tcW w:w="1440" w:type="dxa"/>
            <w:vAlign w:val="bottom"/>
          </w:tcPr>
          <w:p w14:paraId="059A2AAC"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0.07633</w:t>
            </w:r>
          </w:p>
        </w:tc>
        <w:tc>
          <w:tcPr>
            <w:tcW w:w="1530" w:type="dxa"/>
            <w:vAlign w:val="bottom"/>
          </w:tcPr>
          <w:p w14:paraId="0663B6B8"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0.28610</w:t>
            </w:r>
          </w:p>
        </w:tc>
      </w:tr>
      <w:tr w:rsidR="0058100D" w:rsidRPr="00D2239A" w14:paraId="5B6C9854" w14:textId="77777777" w:rsidTr="00435936">
        <w:trPr>
          <w:trHeight w:val="300"/>
        </w:trPr>
        <w:tc>
          <w:tcPr>
            <w:tcW w:w="4831" w:type="dxa"/>
            <w:hideMark/>
          </w:tcPr>
          <w:p w14:paraId="5F30CAAD"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Percentage change in probability value for each year between 2017-19</w:t>
            </w:r>
          </w:p>
        </w:tc>
        <w:tc>
          <w:tcPr>
            <w:tcW w:w="1554" w:type="dxa"/>
            <w:vAlign w:val="bottom"/>
            <w:hideMark/>
          </w:tcPr>
          <w:p w14:paraId="6DDC2935"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0.3%</w:t>
            </w:r>
          </w:p>
        </w:tc>
        <w:tc>
          <w:tcPr>
            <w:tcW w:w="1440" w:type="dxa"/>
            <w:vAlign w:val="bottom"/>
          </w:tcPr>
          <w:p w14:paraId="3225D8B5"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-32.5%</w:t>
            </w:r>
          </w:p>
        </w:tc>
        <w:tc>
          <w:tcPr>
            <w:tcW w:w="1530" w:type="dxa"/>
            <w:vAlign w:val="bottom"/>
          </w:tcPr>
          <w:p w14:paraId="70F7545E"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77.7%</w:t>
            </w:r>
          </w:p>
        </w:tc>
      </w:tr>
      <w:tr w:rsidR="0058100D" w:rsidRPr="00D2239A" w14:paraId="3F30B7A2" w14:textId="77777777" w:rsidTr="00435936">
        <w:trPr>
          <w:trHeight w:val="300"/>
        </w:trPr>
        <w:tc>
          <w:tcPr>
            <w:tcW w:w="4831" w:type="dxa"/>
            <w:hideMark/>
          </w:tcPr>
          <w:p w14:paraId="701CA3DB"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in 2020</w:t>
            </w:r>
          </w:p>
        </w:tc>
        <w:tc>
          <w:tcPr>
            <w:tcW w:w="1554" w:type="dxa"/>
            <w:vAlign w:val="bottom"/>
            <w:hideMark/>
          </w:tcPr>
          <w:p w14:paraId="15C7047E"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0.20830</w:t>
            </w:r>
          </w:p>
        </w:tc>
        <w:tc>
          <w:tcPr>
            <w:tcW w:w="1440" w:type="dxa"/>
            <w:vAlign w:val="bottom"/>
          </w:tcPr>
          <w:p w14:paraId="0F041A09"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0.11027</w:t>
            </w:r>
          </w:p>
        </w:tc>
        <w:tc>
          <w:tcPr>
            <w:tcW w:w="1530" w:type="dxa"/>
            <w:vAlign w:val="bottom"/>
          </w:tcPr>
          <w:p w14:paraId="2B6790F4"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0.42128</w:t>
            </w:r>
          </w:p>
        </w:tc>
      </w:tr>
      <w:tr w:rsidR="0058100D" w:rsidRPr="00D2239A" w14:paraId="61D6FE6E" w14:textId="77777777" w:rsidTr="00435936">
        <w:trPr>
          <w:trHeight w:val="300"/>
        </w:trPr>
        <w:tc>
          <w:tcPr>
            <w:tcW w:w="4831" w:type="dxa"/>
            <w:hideMark/>
          </w:tcPr>
          <w:p w14:paraId="4B019745"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in 2021</w:t>
            </w:r>
          </w:p>
        </w:tc>
        <w:tc>
          <w:tcPr>
            <w:tcW w:w="1554" w:type="dxa"/>
            <w:vAlign w:val="bottom"/>
            <w:hideMark/>
          </w:tcPr>
          <w:p w14:paraId="17150E9B"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0.22809</w:t>
            </w:r>
          </w:p>
        </w:tc>
        <w:tc>
          <w:tcPr>
            <w:tcW w:w="1440" w:type="dxa"/>
            <w:vAlign w:val="bottom"/>
          </w:tcPr>
          <w:p w14:paraId="1DDE104D"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0.10267</w:t>
            </w:r>
          </w:p>
        </w:tc>
        <w:tc>
          <w:tcPr>
            <w:tcW w:w="1530" w:type="dxa"/>
            <w:vAlign w:val="bottom"/>
          </w:tcPr>
          <w:p w14:paraId="6B241217"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0.45575</w:t>
            </w:r>
          </w:p>
        </w:tc>
      </w:tr>
      <w:tr w:rsidR="0058100D" w:rsidRPr="00D2239A" w14:paraId="5D0B520D" w14:textId="77777777" w:rsidTr="00435936">
        <w:trPr>
          <w:trHeight w:val="300"/>
        </w:trPr>
        <w:tc>
          <w:tcPr>
            <w:tcW w:w="4831" w:type="dxa"/>
            <w:hideMark/>
          </w:tcPr>
          <w:p w14:paraId="0FEBA864"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in 2022</w:t>
            </w:r>
          </w:p>
        </w:tc>
        <w:tc>
          <w:tcPr>
            <w:tcW w:w="1554" w:type="dxa"/>
            <w:vAlign w:val="bottom"/>
            <w:hideMark/>
          </w:tcPr>
          <w:p w14:paraId="5EA7C36B"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0.23452</w:t>
            </w:r>
          </w:p>
        </w:tc>
        <w:tc>
          <w:tcPr>
            <w:tcW w:w="1440" w:type="dxa"/>
            <w:vAlign w:val="bottom"/>
          </w:tcPr>
          <w:p w14:paraId="6500B776"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0.06908</w:t>
            </w:r>
          </w:p>
        </w:tc>
        <w:tc>
          <w:tcPr>
            <w:tcW w:w="1530" w:type="dxa"/>
            <w:vAlign w:val="bottom"/>
          </w:tcPr>
          <w:p w14:paraId="678B10AB"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0.51510</w:t>
            </w:r>
          </w:p>
        </w:tc>
      </w:tr>
      <w:tr w:rsidR="0058100D" w:rsidRPr="00D2239A" w14:paraId="11784FA5" w14:textId="77777777" w:rsidTr="00435936">
        <w:trPr>
          <w:trHeight w:val="300"/>
        </w:trPr>
        <w:tc>
          <w:tcPr>
            <w:tcW w:w="4831" w:type="dxa"/>
          </w:tcPr>
          <w:p w14:paraId="1657A613"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in 202</w:t>
            </w:r>
            <w:r>
              <w:rPr>
                <w:rFonts w:eastAsia="Times New Roman" w:cs="Times New Roman"/>
                <w:color w:val="000000"/>
                <w:kern w:val="0"/>
                <w:sz w:val="18"/>
                <w:szCs w:val="18"/>
                <w:lang w:eastAsia="zh-CN"/>
                <w14:ligatures w14:val="none"/>
              </w:rPr>
              <w:t>3</w:t>
            </w:r>
          </w:p>
        </w:tc>
        <w:tc>
          <w:tcPr>
            <w:tcW w:w="1554" w:type="dxa"/>
            <w:vAlign w:val="bottom"/>
          </w:tcPr>
          <w:p w14:paraId="3B8AE937"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0.21792</w:t>
            </w:r>
          </w:p>
        </w:tc>
        <w:tc>
          <w:tcPr>
            <w:tcW w:w="1440" w:type="dxa"/>
            <w:vAlign w:val="bottom"/>
          </w:tcPr>
          <w:p w14:paraId="5B21B34D"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0.10927</w:t>
            </w:r>
          </w:p>
        </w:tc>
        <w:tc>
          <w:tcPr>
            <w:tcW w:w="1530" w:type="dxa"/>
            <w:vAlign w:val="bottom"/>
          </w:tcPr>
          <w:p w14:paraId="36E88663"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0.36668</w:t>
            </w:r>
          </w:p>
        </w:tc>
      </w:tr>
      <w:tr w:rsidR="0058100D" w:rsidRPr="00D2239A" w14:paraId="0B32C668" w14:textId="77777777" w:rsidTr="00435936">
        <w:trPr>
          <w:trHeight w:val="300"/>
        </w:trPr>
        <w:tc>
          <w:tcPr>
            <w:tcW w:w="4831" w:type="dxa"/>
          </w:tcPr>
          <w:p w14:paraId="4F9431F3"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Value in 202</w:t>
            </w:r>
            <w:r>
              <w:rPr>
                <w:rFonts w:eastAsia="Times New Roman" w:cs="Times New Roman"/>
                <w:color w:val="000000"/>
                <w:kern w:val="0"/>
                <w:sz w:val="18"/>
                <w:szCs w:val="18"/>
                <w:lang w:eastAsia="zh-CN"/>
                <w14:ligatures w14:val="none"/>
              </w:rPr>
              <w:t>4</w:t>
            </w:r>
          </w:p>
        </w:tc>
        <w:tc>
          <w:tcPr>
            <w:tcW w:w="1554" w:type="dxa"/>
            <w:vAlign w:val="bottom"/>
          </w:tcPr>
          <w:p w14:paraId="034D1C49"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0.10328</w:t>
            </w:r>
          </w:p>
        </w:tc>
        <w:tc>
          <w:tcPr>
            <w:tcW w:w="1440" w:type="dxa"/>
            <w:vAlign w:val="bottom"/>
          </w:tcPr>
          <w:p w14:paraId="4042CA4D"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0.02745</w:t>
            </w:r>
          </w:p>
        </w:tc>
        <w:tc>
          <w:tcPr>
            <w:tcW w:w="1530" w:type="dxa"/>
            <w:vAlign w:val="bottom"/>
          </w:tcPr>
          <w:p w14:paraId="5D57C523"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0.20570</w:t>
            </w:r>
          </w:p>
        </w:tc>
      </w:tr>
      <w:tr w:rsidR="0058100D" w:rsidRPr="00D2239A" w14:paraId="1E15D473" w14:textId="77777777" w:rsidTr="00435936">
        <w:trPr>
          <w:trHeight w:val="300"/>
        </w:trPr>
        <w:tc>
          <w:tcPr>
            <w:tcW w:w="4831" w:type="dxa"/>
            <w:hideMark/>
          </w:tcPr>
          <w:p w14:paraId="35F22C78" w14:textId="77777777" w:rsidR="0058100D" w:rsidRPr="00D2239A" w:rsidRDefault="0058100D" w:rsidP="00435936">
            <w:pPr>
              <w:spacing w:after="0" w:line="276" w:lineRule="auto"/>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RR of fatal probability of overdose for</w:t>
            </w:r>
          </w:p>
        </w:tc>
        <w:tc>
          <w:tcPr>
            <w:tcW w:w="1554" w:type="dxa"/>
            <w:vAlign w:val="bottom"/>
            <w:hideMark/>
          </w:tcPr>
          <w:p w14:paraId="26A0C346"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 </w:t>
            </w:r>
          </w:p>
        </w:tc>
        <w:tc>
          <w:tcPr>
            <w:tcW w:w="1440" w:type="dxa"/>
            <w:vAlign w:val="bottom"/>
          </w:tcPr>
          <w:p w14:paraId="00701971"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p>
        </w:tc>
        <w:tc>
          <w:tcPr>
            <w:tcW w:w="1530" w:type="dxa"/>
            <w:vAlign w:val="bottom"/>
          </w:tcPr>
          <w:p w14:paraId="678CC2B0"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 </w:t>
            </w:r>
          </w:p>
        </w:tc>
      </w:tr>
      <w:tr w:rsidR="0058100D" w:rsidRPr="00D2239A" w14:paraId="240632E7" w14:textId="77777777" w:rsidTr="00435936">
        <w:trPr>
          <w:trHeight w:val="300"/>
        </w:trPr>
        <w:tc>
          <w:tcPr>
            <w:tcW w:w="4831" w:type="dxa"/>
          </w:tcPr>
          <w:p w14:paraId="4683FE0B"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i/>
                <w:iCs/>
                <w:color w:val="000000"/>
                <w:kern w:val="0"/>
                <w:sz w:val="18"/>
                <w:szCs w:val="18"/>
                <w:lang w:eastAsia="zh-CN"/>
                <w14:ligatures w14:val="none"/>
              </w:rPr>
              <w:t xml:space="preserve">Prescription Opioid </w:t>
            </w:r>
            <w:r>
              <w:rPr>
                <w:rFonts w:eastAsia="Times New Roman" w:cs="Times New Roman"/>
                <w:i/>
                <w:iCs/>
                <w:color w:val="000000"/>
                <w:kern w:val="0"/>
                <w:sz w:val="18"/>
                <w:szCs w:val="18"/>
                <w:lang w:eastAsia="zh-CN"/>
                <w14:ligatures w14:val="none"/>
              </w:rPr>
              <w:t>Use</w:t>
            </w:r>
            <w:r w:rsidRPr="00D2239A">
              <w:rPr>
                <w:rFonts w:eastAsia="Times New Roman" w:cs="Times New Roman"/>
                <w:color w:val="000000"/>
                <w:kern w:val="0"/>
                <w:sz w:val="18"/>
                <w:szCs w:val="18"/>
                <w:lang w:eastAsia="zh-CN"/>
                <w14:ligatures w14:val="none"/>
              </w:rPr>
              <w:t xml:space="preserve"> (vs. </w:t>
            </w:r>
            <w:r w:rsidRPr="00D2239A">
              <w:rPr>
                <w:rFonts w:eastAsia="Times New Roman" w:cs="Times New Roman"/>
                <w:i/>
                <w:iCs/>
                <w:color w:val="000000"/>
                <w:kern w:val="0"/>
                <w:sz w:val="18"/>
                <w:szCs w:val="18"/>
                <w:lang w:eastAsia="zh-CN"/>
                <w14:ligatures w14:val="none"/>
              </w:rPr>
              <w:t>OUD</w:t>
            </w:r>
            <w:r w:rsidRPr="00D2239A">
              <w:rPr>
                <w:rFonts w:eastAsia="Times New Roman" w:cs="Times New Roman"/>
                <w:color w:val="000000"/>
                <w:kern w:val="0"/>
                <w:sz w:val="18"/>
                <w:szCs w:val="18"/>
                <w:lang w:eastAsia="zh-CN"/>
                <w14:ligatures w14:val="none"/>
              </w:rPr>
              <w:t>) state</w:t>
            </w:r>
          </w:p>
        </w:tc>
        <w:tc>
          <w:tcPr>
            <w:tcW w:w="1554" w:type="dxa"/>
            <w:vAlign w:val="bottom"/>
          </w:tcPr>
          <w:p w14:paraId="50B5C3A9"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0.55066</w:t>
            </w:r>
          </w:p>
        </w:tc>
        <w:tc>
          <w:tcPr>
            <w:tcW w:w="1440" w:type="dxa"/>
            <w:vAlign w:val="bottom"/>
          </w:tcPr>
          <w:p w14:paraId="6820182A"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0.47240</w:t>
            </w:r>
          </w:p>
        </w:tc>
        <w:tc>
          <w:tcPr>
            <w:tcW w:w="1530" w:type="dxa"/>
            <w:vAlign w:val="bottom"/>
          </w:tcPr>
          <w:p w14:paraId="324BE112"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0.63921</w:t>
            </w:r>
          </w:p>
        </w:tc>
      </w:tr>
      <w:tr w:rsidR="0058100D" w:rsidRPr="00D2239A" w14:paraId="7E28B7DF" w14:textId="77777777" w:rsidTr="00435936">
        <w:trPr>
          <w:trHeight w:val="288"/>
        </w:trPr>
        <w:tc>
          <w:tcPr>
            <w:tcW w:w="4831" w:type="dxa"/>
            <w:hideMark/>
          </w:tcPr>
          <w:p w14:paraId="1CDB86B6"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i/>
                <w:iCs/>
                <w:color w:val="000000"/>
                <w:kern w:val="0"/>
                <w:sz w:val="18"/>
                <w:szCs w:val="18"/>
                <w:lang w:eastAsia="zh-CN"/>
                <w14:ligatures w14:val="none"/>
              </w:rPr>
              <w:t>Illicit Opioid Use</w:t>
            </w:r>
            <w:r w:rsidRPr="00D2239A">
              <w:rPr>
                <w:rFonts w:eastAsia="Times New Roman" w:cs="Times New Roman"/>
                <w:color w:val="000000"/>
                <w:kern w:val="0"/>
                <w:sz w:val="18"/>
                <w:szCs w:val="18"/>
                <w:lang w:eastAsia="zh-CN"/>
                <w14:ligatures w14:val="none"/>
              </w:rPr>
              <w:t xml:space="preserve"> (vs. </w:t>
            </w:r>
            <w:r w:rsidRPr="00D2239A">
              <w:rPr>
                <w:rFonts w:eastAsia="Times New Roman" w:cs="Times New Roman"/>
                <w:i/>
                <w:iCs/>
                <w:color w:val="000000"/>
                <w:kern w:val="0"/>
                <w:sz w:val="18"/>
                <w:szCs w:val="18"/>
                <w:lang w:eastAsia="zh-CN"/>
                <w14:ligatures w14:val="none"/>
              </w:rPr>
              <w:t>OUD</w:t>
            </w:r>
            <w:r w:rsidRPr="00D2239A">
              <w:rPr>
                <w:rFonts w:eastAsia="Times New Roman" w:cs="Times New Roman"/>
                <w:color w:val="000000"/>
                <w:kern w:val="0"/>
                <w:sz w:val="18"/>
                <w:szCs w:val="18"/>
                <w:lang w:eastAsia="zh-CN"/>
                <w14:ligatures w14:val="none"/>
              </w:rPr>
              <w:t>) state</w:t>
            </w:r>
          </w:p>
        </w:tc>
        <w:tc>
          <w:tcPr>
            <w:tcW w:w="1554" w:type="dxa"/>
            <w:vAlign w:val="bottom"/>
            <w:hideMark/>
          </w:tcPr>
          <w:p w14:paraId="2CCBAFD6"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0.55497</w:t>
            </w:r>
          </w:p>
        </w:tc>
        <w:tc>
          <w:tcPr>
            <w:tcW w:w="1440" w:type="dxa"/>
            <w:vAlign w:val="bottom"/>
          </w:tcPr>
          <w:p w14:paraId="1D2575AB"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0.50089</w:t>
            </w:r>
          </w:p>
        </w:tc>
        <w:tc>
          <w:tcPr>
            <w:tcW w:w="1530" w:type="dxa"/>
            <w:vAlign w:val="bottom"/>
          </w:tcPr>
          <w:p w14:paraId="411FDB31"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0.63685</w:t>
            </w:r>
          </w:p>
        </w:tc>
      </w:tr>
      <w:tr w:rsidR="0058100D" w:rsidRPr="00D2239A" w14:paraId="04DCF9E1" w14:textId="77777777" w:rsidTr="00435936">
        <w:trPr>
          <w:trHeight w:val="288"/>
        </w:trPr>
        <w:tc>
          <w:tcPr>
            <w:tcW w:w="4831" w:type="dxa"/>
            <w:hideMark/>
          </w:tcPr>
          <w:p w14:paraId="7B22D461"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 xml:space="preserve">Naloxone availability: scaling parameter </w:t>
            </w:r>
            <m:oMath>
              <m:r>
                <w:rPr>
                  <w:rFonts w:ascii="Cambria Math" w:eastAsia="Times New Roman" w:hAnsi="Cambria Math" w:cs="Times New Roman"/>
                  <w:color w:val="000000"/>
                  <w:kern w:val="0"/>
                  <w:sz w:val="18"/>
                  <w:szCs w:val="18"/>
                  <w:lang w:eastAsia="zh-CN"/>
                  <w14:ligatures w14:val="none"/>
                </w:rPr>
                <m:t>m</m:t>
              </m:r>
            </m:oMath>
          </w:p>
        </w:tc>
        <w:tc>
          <w:tcPr>
            <w:tcW w:w="1554" w:type="dxa"/>
            <w:vAlign w:val="bottom"/>
            <w:hideMark/>
          </w:tcPr>
          <w:p w14:paraId="023A7C83"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0.87635</w:t>
            </w:r>
          </w:p>
        </w:tc>
        <w:tc>
          <w:tcPr>
            <w:tcW w:w="1440" w:type="dxa"/>
            <w:vAlign w:val="bottom"/>
          </w:tcPr>
          <w:p w14:paraId="18C75707"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0.49557</w:t>
            </w:r>
          </w:p>
        </w:tc>
        <w:tc>
          <w:tcPr>
            <w:tcW w:w="1530" w:type="dxa"/>
            <w:vAlign w:val="bottom"/>
          </w:tcPr>
          <w:p w14:paraId="32626C2E"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1.06034</w:t>
            </w:r>
          </w:p>
        </w:tc>
      </w:tr>
      <w:tr w:rsidR="0058100D" w:rsidRPr="00D2239A" w14:paraId="332D1B62" w14:textId="77777777" w:rsidTr="00435936">
        <w:trPr>
          <w:trHeight w:val="288"/>
        </w:trPr>
        <w:tc>
          <w:tcPr>
            <w:tcW w:w="4831" w:type="dxa"/>
            <w:hideMark/>
          </w:tcPr>
          <w:p w14:paraId="2C6AE60F" w14:textId="77777777" w:rsidR="0058100D" w:rsidRPr="00D2239A" w:rsidRDefault="0058100D" w:rsidP="00435936">
            <w:pPr>
              <w:spacing w:after="0" w:line="276" w:lineRule="auto"/>
              <w:ind w:left="370"/>
              <w:rPr>
                <w:rFonts w:eastAsia="Times New Roman" w:cs="Times New Roman"/>
                <w:color w:val="000000"/>
                <w:kern w:val="0"/>
                <w:sz w:val="18"/>
                <w:szCs w:val="18"/>
                <w:lang w:eastAsia="zh-CN"/>
                <w14:ligatures w14:val="none"/>
              </w:rPr>
            </w:pPr>
            <w:r w:rsidRPr="00D2239A">
              <w:rPr>
                <w:rFonts w:eastAsia="Times New Roman" w:cs="Times New Roman"/>
                <w:color w:val="000000"/>
                <w:kern w:val="0"/>
                <w:sz w:val="18"/>
                <w:szCs w:val="18"/>
                <w:lang w:eastAsia="zh-CN"/>
                <w14:ligatures w14:val="none"/>
              </w:rPr>
              <w:t xml:space="preserve">Naloxone availability: saturation parameter </w:t>
            </w:r>
            <m:oMath>
              <m:r>
                <w:rPr>
                  <w:rFonts w:ascii="Cambria Math" w:eastAsia="Times New Roman" w:hAnsi="Cambria Math" w:cs="Times New Roman"/>
                  <w:color w:val="000000"/>
                  <w:kern w:val="0"/>
                  <w:sz w:val="18"/>
                  <w:szCs w:val="18"/>
                  <w:lang w:eastAsia="zh-CN"/>
                  <w14:ligatures w14:val="none"/>
                </w:rPr>
                <m:t>c</m:t>
              </m:r>
            </m:oMath>
          </w:p>
        </w:tc>
        <w:tc>
          <w:tcPr>
            <w:tcW w:w="1554" w:type="dxa"/>
            <w:vAlign w:val="bottom"/>
            <w:hideMark/>
          </w:tcPr>
          <w:p w14:paraId="1C08A591"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0.52947</w:t>
            </w:r>
          </w:p>
        </w:tc>
        <w:tc>
          <w:tcPr>
            <w:tcW w:w="1440" w:type="dxa"/>
            <w:vAlign w:val="bottom"/>
          </w:tcPr>
          <w:p w14:paraId="12C47688"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0.34906</w:t>
            </w:r>
          </w:p>
        </w:tc>
        <w:tc>
          <w:tcPr>
            <w:tcW w:w="1530" w:type="dxa"/>
            <w:vAlign w:val="bottom"/>
          </w:tcPr>
          <w:p w14:paraId="1604047E" w14:textId="77777777" w:rsidR="0058100D" w:rsidRPr="004D6812" w:rsidRDefault="0058100D" w:rsidP="00435936">
            <w:pPr>
              <w:spacing w:after="0" w:line="240" w:lineRule="auto"/>
              <w:jc w:val="center"/>
              <w:rPr>
                <w:rFonts w:eastAsia="Times New Roman" w:cs="Times New Roman"/>
                <w:kern w:val="0"/>
                <w:sz w:val="18"/>
                <w:szCs w:val="18"/>
                <w:lang w:eastAsia="zh-CN"/>
                <w14:ligatures w14:val="none"/>
              </w:rPr>
            </w:pPr>
            <w:r w:rsidRPr="004D6812">
              <w:rPr>
                <w:rFonts w:cs="Times New Roman"/>
                <w:color w:val="000000"/>
                <w:sz w:val="18"/>
                <w:szCs w:val="18"/>
              </w:rPr>
              <w:t>0.81889</w:t>
            </w:r>
          </w:p>
        </w:tc>
      </w:tr>
    </w:tbl>
    <w:p w14:paraId="20A499E9" w14:textId="77777777" w:rsidR="0058100D" w:rsidRDefault="0058100D" w:rsidP="0058100D">
      <w:pPr>
        <w:spacing w:after="0" w:line="360" w:lineRule="auto"/>
        <w:rPr>
          <w:rFonts w:cs="Times New Roman"/>
        </w:rPr>
      </w:pPr>
      <w:r>
        <w:rPr>
          <w:rFonts w:cs="Times New Roman"/>
        </w:rPr>
        <w:t>HCS, Healing Communities Study</w:t>
      </w:r>
    </w:p>
    <w:p w14:paraId="3CCEE9DE" w14:textId="3E18777E" w:rsidR="0081621C" w:rsidRPr="00D2239A" w:rsidRDefault="0081621C" w:rsidP="0081621C">
      <w:pPr>
        <w:pStyle w:val="Heading1"/>
      </w:pPr>
      <w:bookmarkStart w:id="43" w:name="_Toc226020690"/>
      <w:r w:rsidRPr="00D2239A">
        <w:t>S1.</w:t>
      </w:r>
      <w:r>
        <w:t>7</w:t>
      </w:r>
      <w:r w:rsidRPr="00D2239A">
        <w:t xml:space="preserve">. </w:t>
      </w:r>
      <w:r w:rsidRPr="0081621C">
        <w:t>Probabilistic sensitivity analysis</w:t>
      </w:r>
      <w:bookmarkEnd w:id="43"/>
    </w:p>
    <w:p w14:paraId="46E7C691" w14:textId="520B37C4" w:rsidR="0037266D" w:rsidRPr="0037266D" w:rsidRDefault="0037266D" w:rsidP="0037266D">
      <w:pPr>
        <w:spacing w:after="0" w:line="360" w:lineRule="auto"/>
        <w:rPr>
          <w:rFonts w:cs="Times New Roman"/>
        </w:rPr>
      </w:pPr>
      <w:r w:rsidRPr="0037266D">
        <w:rPr>
          <w:rFonts w:cs="Times New Roman"/>
        </w:rPr>
        <w:t>We conducted probabilistic sensitivity analyses (PSA) to characterize uncertainty in model inputs and its impact on outcomes. The PSA followed standard approaches in health economic evaluation, in which parameter uncertainty is represented using prespecified probability distributions and propagated through repeated Monte Carlo simulation.</w:t>
      </w:r>
    </w:p>
    <w:p w14:paraId="44B98EF4" w14:textId="70FFD87A" w:rsidR="0037266D" w:rsidRPr="0037266D" w:rsidRDefault="0037266D" w:rsidP="0037266D">
      <w:pPr>
        <w:spacing w:after="0" w:line="360" w:lineRule="auto"/>
        <w:rPr>
          <w:rFonts w:cs="Times New Roman"/>
        </w:rPr>
      </w:pPr>
      <w:r w:rsidRPr="0037266D">
        <w:rPr>
          <w:rFonts w:cs="Times New Roman"/>
        </w:rPr>
        <w:t>Probability distributions were assigned based on parameter type. Gamma distributions were used for cost parameters to reflect their non-negative and right-skewed nature, and beta distributions were used for probabilities and utility values to ensure values remained bounded between 0 and 1. These choices are consistent with established recommendations in the health economics literature</w:t>
      </w:r>
      <w:r>
        <w:rPr>
          <w:rFonts w:cs="Times New Roman"/>
        </w:rPr>
        <w:fldChar w:fldCharType="begin"/>
      </w:r>
      <w:r>
        <w:rPr>
          <w:rFonts w:cs="Times New Roman"/>
        </w:rPr>
        <w:instrText xml:space="preserve"> ADDIN EN.CITE &lt;EndNote&gt;&lt;Cite&gt;&lt;Author&gt;Briggs&lt;/Author&gt;&lt;Year&gt;2006&lt;/Year&gt;&lt;RecNum&gt;61&lt;/RecNum&gt;&lt;DisplayText&gt;&lt;style face="superscript"&gt;38&lt;/style&gt;&lt;/DisplayText&gt;&lt;record&gt;&lt;rec-number&gt;61&lt;/rec-number&gt;&lt;foreign-keys&gt;&lt;key app="EN" db-id="pwwedrtwnpw20vervr1p9p2y9exw2awedx5t" timestamp="1774583961"&gt;61&lt;/key&gt;&lt;/foreign-keys&gt;&lt;ref-type name="Book"&gt;6&lt;/ref-type&gt;&lt;contributors&gt;&lt;authors&gt;&lt;author&gt;Briggs, Andrew&lt;/author&gt;&lt;author&gt;Sculpher, Mark&lt;/author&gt;&lt;author&gt;Claxton, Karl&lt;/author&gt;&lt;/authors&gt;&lt;/contributors&gt;&lt;titles&gt;&lt;title&gt;Decision modelling for health economic evaluation&lt;/title&gt;&lt;/titles&gt;&lt;dates&gt;&lt;year&gt;2006&lt;/year&gt;&lt;/dates&gt;&lt;publisher&gt;Oup Oxford&lt;/publisher&gt;&lt;isbn&gt;0191592978&lt;/isbn&gt;&lt;urls&gt;&lt;/urls&gt;&lt;/record&gt;&lt;/Cite&gt;&lt;/EndNote&gt;</w:instrText>
      </w:r>
      <w:r>
        <w:rPr>
          <w:rFonts w:cs="Times New Roman"/>
        </w:rPr>
        <w:fldChar w:fldCharType="separate"/>
      </w:r>
      <w:r w:rsidRPr="0037266D">
        <w:rPr>
          <w:rFonts w:cs="Times New Roman"/>
          <w:noProof/>
          <w:vertAlign w:val="superscript"/>
        </w:rPr>
        <w:t>38</w:t>
      </w:r>
      <w:r>
        <w:rPr>
          <w:rFonts w:cs="Times New Roman"/>
        </w:rPr>
        <w:fldChar w:fldCharType="end"/>
      </w:r>
      <w:r w:rsidRPr="0037266D">
        <w:rPr>
          <w:rFonts w:cs="Times New Roman"/>
        </w:rPr>
        <w:t>.</w:t>
      </w:r>
    </w:p>
    <w:p w14:paraId="1DADFE29" w14:textId="77777777" w:rsidR="0037266D" w:rsidRPr="0037266D" w:rsidRDefault="0037266D" w:rsidP="0037266D">
      <w:pPr>
        <w:spacing w:after="0" w:line="360" w:lineRule="auto"/>
        <w:rPr>
          <w:rFonts w:cs="Times New Roman"/>
        </w:rPr>
      </w:pPr>
    </w:p>
    <w:p w14:paraId="1E9B52CD" w14:textId="77777777" w:rsidR="0037266D" w:rsidRDefault="0037266D" w:rsidP="0037266D">
      <w:pPr>
        <w:spacing w:after="0" w:line="360" w:lineRule="auto"/>
        <w:rPr>
          <w:rFonts w:cs="Times New Roman"/>
        </w:rPr>
      </w:pPr>
      <w:r w:rsidRPr="0037266D">
        <w:rPr>
          <w:rFonts w:cs="Times New Roman"/>
        </w:rPr>
        <w:lastRenderedPageBreak/>
        <w:t>Distribution parameters were derived from reported means and measures of variability (e.g., standard errors, confidence intervals, or ranges) when available.</w:t>
      </w:r>
    </w:p>
    <w:p w14:paraId="020BE9D7" w14:textId="14DD0E5A" w:rsidR="0037266D" w:rsidRPr="0037266D" w:rsidRDefault="00D03F0D" w:rsidP="0037266D">
      <w:pPr>
        <w:spacing w:after="0" w:line="360" w:lineRule="auto"/>
        <w:rPr>
          <w:rFonts w:cs="Times New Roman"/>
        </w:rPr>
      </w:pPr>
      <w:r w:rsidRPr="0037266D">
        <w:rPr>
          <w:rFonts w:cs="Times New Roman"/>
        </w:rPr>
        <w:t xml:space="preserve">For gamma distributions (e.g., costs), shape (k) and scale (θ) </w:t>
      </w:r>
      <w:r w:rsidR="0037266D" w:rsidRPr="0037266D">
        <w:rPr>
          <w:rFonts w:cs="Times New Roman"/>
        </w:rPr>
        <w:t>parameters were calculated from the mean and variance</w:t>
      </w:r>
      <w:r>
        <w:rPr>
          <w:rFonts w:cs="Times New Roman"/>
        </w:rPr>
        <w:t>.</w:t>
      </w:r>
      <w:r w:rsidRPr="00D03F0D">
        <w:rPr>
          <w:rFonts w:cs="Times New Roman"/>
        </w:rPr>
        <w:t xml:space="preserve"> </w:t>
      </w:r>
      <w:r w:rsidRPr="0037266D">
        <w:rPr>
          <w:rFonts w:cs="Times New Roman"/>
        </w:rPr>
        <w:t xml:space="preserve">For beta distributions (e.g., probabilities, utilities), shape parameters α and β </w:t>
      </w:r>
      <w:r w:rsidR="0037266D" w:rsidRPr="0037266D">
        <w:rPr>
          <w:rFonts w:cs="Times New Roman"/>
        </w:rPr>
        <w:t>were derived using method-of-moments approaches to match reported means and variances. When variability estimates were not directly available, standard assumptions informed by the literature were applied.</w:t>
      </w:r>
    </w:p>
    <w:p w14:paraId="64FA1BAD" w14:textId="063BEC75" w:rsidR="0037266D" w:rsidRPr="0037266D" w:rsidRDefault="0037266D" w:rsidP="0037266D">
      <w:pPr>
        <w:spacing w:after="0" w:line="360" w:lineRule="auto"/>
        <w:rPr>
          <w:rFonts w:cs="Times New Roman"/>
        </w:rPr>
      </w:pPr>
      <w:r w:rsidRPr="0037266D">
        <w:rPr>
          <w:rFonts w:cs="Times New Roman"/>
        </w:rPr>
        <w:t>For each community and intervention scenario, model outcomes were evaluated across repeated Monte Carlo simulations, with parameter values sampled independently from their assigned distributions. For each simulation draw, total costs and QALYs were estimated, and incremental outcomes were calculated relative to the status quo.</w:t>
      </w:r>
    </w:p>
    <w:p w14:paraId="5B2DF07B" w14:textId="612C193A" w:rsidR="0058100D" w:rsidRDefault="0037266D" w:rsidP="0037266D">
      <w:pPr>
        <w:spacing w:after="0" w:line="360" w:lineRule="auto"/>
        <w:rPr>
          <w:rFonts w:cs="Times New Roman"/>
        </w:rPr>
      </w:pPr>
      <w:r w:rsidRPr="0037266D">
        <w:rPr>
          <w:rFonts w:cs="Times New Roman"/>
        </w:rPr>
        <w:t>Uncertainty in outcomes was summarized using 95% uncertainty intervals, defined as the 2.5th and 97.5th percentiles of the simulated distributions. Cost-effectiveness acceptability curves and expected loss (</w:t>
      </w:r>
      <w:r w:rsidR="00F477CD">
        <w:rPr>
          <w:rFonts w:cs="Times New Roman"/>
        </w:rPr>
        <w:t xml:space="preserve">i.e., </w:t>
      </w:r>
      <w:r w:rsidRPr="0037266D">
        <w:rPr>
          <w:rFonts w:cs="Times New Roman"/>
        </w:rPr>
        <w:t>regret) were also estimated to quantify decision uncertainty across willingness-to-pay thresholds.</w:t>
      </w:r>
    </w:p>
    <w:p w14:paraId="7D42C56D" w14:textId="65B13AE9" w:rsidR="00BE43BE" w:rsidRPr="0058100D" w:rsidRDefault="0058100D" w:rsidP="0058100D">
      <w:pPr>
        <w:spacing w:after="0" w:line="360" w:lineRule="auto"/>
        <w:rPr>
          <w:rFonts w:cs="Times New Roman"/>
        </w:rPr>
      </w:pPr>
      <w:r>
        <w:rPr>
          <w:b/>
          <w:sz w:val="22"/>
          <w:szCs w:val="22"/>
        </w:rPr>
        <w:br w:type="page"/>
      </w:r>
    </w:p>
    <w:p w14:paraId="30A743E3" w14:textId="79BA5B05" w:rsidR="00CA6616" w:rsidRPr="00D2239A" w:rsidRDefault="00CA6616" w:rsidP="00363E8B">
      <w:pPr>
        <w:pStyle w:val="Heading1"/>
      </w:pPr>
      <w:bookmarkStart w:id="44" w:name="_Toc226020691"/>
      <w:r w:rsidRPr="00D2239A">
        <w:lastRenderedPageBreak/>
        <w:t>Supplement S</w:t>
      </w:r>
      <w:r w:rsidR="00505F66">
        <w:t>2</w:t>
      </w:r>
      <w:r w:rsidRPr="00D2239A">
        <w:t xml:space="preserve">. </w:t>
      </w:r>
      <w:r>
        <w:t xml:space="preserve">Simulation </w:t>
      </w:r>
      <w:r w:rsidR="00363E8B">
        <w:t>s</w:t>
      </w:r>
      <w:r>
        <w:t>cenarios</w:t>
      </w:r>
      <w:bookmarkEnd w:id="41"/>
      <w:bookmarkEnd w:id="44"/>
    </w:p>
    <w:p w14:paraId="1BE42C17" w14:textId="77777777" w:rsidR="00CA6616" w:rsidRPr="00EF4250" w:rsidRDefault="00CA6616" w:rsidP="00CA6616">
      <w:pPr>
        <w:spacing w:after="0" w:line="276" w:lineRule="auto"/>
        <w:rPr>
          <w:rFonts w:cs="Times New Roman"/>
          <w:szCs w:val="20"/>
        </w:rPr>
      </w:pPr>
      <w:r w:rsidRPr="00EF4250">
        <w:rPr>
          <w:rFonts w:cs="Times New Roman"/>
          <w:szCs w:val="20"/>
        </w:rPr>
        <w:t>We simulated six different scenarios for the level of EBP implementation – a status quo scenario and five aspirational scenarios that involve scaling up of treatment initiation, treatment retention, and/or naloxone distribution. The scenarios are described below.</w:t>
      </w:r>
    </w:p>
    <w:p w14:paraId="1B7C32EB" w14:textId="77777777" w:rsidR="00CA6616" w:rsidRPr="00EF4250" w:rsidRDefault="00CA6616" w:rsidP="00CA6616">
      <w:pPr>
        <w:spacing w:after="0" w:line="276" w:lineRule="auto"/>
        <w:rPr>
          <w:rFonts w:cs="Times New Roman"/>
          <w:szCs w:val="20"/>
        </w:rPr>
      </w:pPr>
    </w:p>
    <w:p w14:paraId="06BA1C91" w14:textId="0E603433" w:rsidR="00CA6616" w:rsidRPr="00EF4250" w:rsidRDefault="00CA6616" w:rsidP="00CA6616">
      <w:pPr>
        <w:pStyle w:val="ListParagraph"/>
        <w:numPr>
          <w:ilvl w:val="0"/>
          <w:numId w:val="26"/>
        </w:numPr>
        <w:spacing w:after="0" w:line="276" w:lineRule="auto"/>
        <w:rPr>
          <w:rFonts w:cs="Times New Roman"/>
          <w:szCs w:val="20"/>
        </w:rPr>
      </w:pPr>
      <w:r w:rsidRPr="00EF4250">
        <w:rPr>
          <w:rFonts w:cs="Times New Roman"/>
          <w:szCs w:val="20"/>
          <w:u w:val="single"/>
        </w:rPr>
        <w:t>Status quo</w:t>
      </w:r>
      <w:r w:rsidRPr="00EF4250">
        <w:rPr>
          <w:rFonts w:cs="Times New Roman"/>
          <w:szCs w:val="20"/>
        </w:rPr>
        <w:t xml:space="preserve">. The levels of MOUD initiation and retention and naloxone distributed observed in </w:t>
      </w:r>
      <w:r w:rsidR="00F92FB6">
        <w:rPr>
          <w:rFonts w:cs="Times New Roman"/>
          <w:szCs w:val="20"/>
        </w:rPr>
        <w:t>2024</w:t>
      </w:r>
      <w:r w:rsidR="00F92FB6" w:rsidRPr="00EF4250">
        <w:rPr>
          <w:rFonts w:cs="Times New Roman"/>
          <w:szCs w:val="20"/>
        </w:rPr>
        <w:t xml:space="preserve"> </w:t>
      </w:r>
      <w:r w:rsidRPr="00EF4250">
        <w:rPr>
          <w:rFonts w:cs="Times New Roman"/>
          <w:szCs w:val="20"/>
        </w:rPr>
        <w:t xml:space="preserve">in each community were maintained for the remaining period of the analysis (i.e., through </w:t>
      </w:r>
      <w:r w:rsidR="00F92FB6">
        <w:rPr>
          <w:rFonts w:cs="Times New Roman"/>
          <w:szCs w:val="20"/>
        </w:rPr>
        <w:t>2030</w:t>
      </w:r>
      <w:r w:rsidRPr="00EF4250">
        <w:rPr>
          <w:rFonts w:cs="Times New Roman"/>
          <w:szCs w:val="20"/>
        </w:rPr>
        <w:t>).</w:t>
      </w:r>
    </w:p>
    <w:p w14:paraId="425EA1BE" w14:textId="514114D4" w:rsidR="00051775" w:rsidRPr="00EF4250" w:rsidRDefault="00051775" w:rsidP="00051775">
      <w:pPr>
        <w:pStyle w:val="ListParagraph"/>
        <w:numPr>
          <w:ilvl w:val="0"/>
          <w:numId w:val="26"/>
        </w:numPr>
        <w:spacing w:after="0" w:line="276" w:lineRule="auto"/>
        <w:rPr>
          <w:rFonts w:cs="Times New Roman"/>
          <w:szCs w:val="20"/>
        </w:rPr>
      </w:pPr>
      <w:r w:rsidRPr="00EF4250">
        <w:rPr>
          <w:rFonts w:cs="Times New Roman"/>
          <w:szCs w:val="20"/>
          <w:u w:val="single"/>
        </w:rPr>
        <w:t>Increase naloxone distribution in communities</w:t>
      </w:r>
      <w:r w:rsidRPr="00EF4250">
        <w:rPr>
          <w:rFonts w:cs="Times New Roman"/>
          <w:szCs w:val="20"/>
        </w:rPr>
        <w:t xml:space="preserve">: We increased the number of naloxone kits distributed to a </w:t>
      </w:r>
      <w:r w:rsidR="0061429F" w:rsidRPr="00EF4250">
        <w:rPr>
          <w:rFonts w:cs="Times New Roman"/>
          <w:szCs w:val="20"/>
        </w:rPr>
        <w:t>community</w:t>
      </w:r>
      <w:r w:rsidRPr="00EF4250">
        <w:rPr>
          <w:rFonts w:cs="Times New Roman"/>
          <w:szCs w:val="20"/>
        </w:rPr>
        <w:t xml:space="preserve"> each month starting from the year </w:t>
      </w:r>
      <w:r w:rsidR="00F92FB6">
        <w:rPr>
          <w:rFonts w:cs="Times New Roman"/>
          <w:szCs w:val="20"/>
        </w:rPr>
        <w:t>2025</w:t>
      </w:r>
      <w:r w:rsidR="00F92FB6" w:rsidRPr="00EF4250">
        <w:rPr>
          <w:rFonts w:cs="Times New Roman"/>
          <w:szCs w:val="20"/>
        </w:rPr>
        <w:t xml:space="preserve"> </w:t>
      </w:r>
      <w:r w:rsidRPr="00EF4250">
        <w:rPr>
          <w:rFonts w:cs="Times New Roman"/>
          <w:szCs w:val="20"/>
        </w:rPr>
        <w:t xml:space="preserve">to achieve the goal that the total number of naloxone kits distributed during the year </w:t>
      </w:r>
      <w:r w:rsidR="00F92FB6">
        <w:rPr>
          <w:rFonts w:cs="Times New Roman"/>
          <w:szCs w:val="20"/>
        </w:rPr>
        <w:t>2030</w:t>
      </w:r>
      <w:r w:rsidR="00F92FB6" w:rsidRPr="00EF4250">
        <w:rPr>
          <w:rFonts w:cs="Times New Roman"/>
          <w:szCs w:val="20"/>
        </w:rPr>
        <w:t xml:space="preserve"> </w:t>
      </w:r>
      <w:r w:rsidRPr="00EF4250">
        <w:rPr>
          <w:rFonts w:cs="Times New Roman"/>
          <w:szCs w:val="20"/>
        </w:rPr>
        <w:t xml:space="preserve">would equal the average size of the population with OUD during that year. We found that there were two communities in which naloxone distribution was already at a high level and did not need to increase further to achieve the </w:t>
      </w:r>
      <w:r w:rsidR="00F92FB6">
        <w:rPr>
          <w:rFonts w:cs="Times New Roman"/>
          <w:szCs w:val="20"/>
        </w:rPr>
        <w:t>2030</w:t>
      </w:r>
      <w:r w:rsidR="00F92FB6" w:rsidRPr="00EF4250">
        <w:rPr>
          <w:rFonts w:cs="Times New Roman"/>
          <w:szCs w:val="20"/>
        </w:rPr>
        <w:t xml:space="preserve"> </w:t>
      </w:r>
      <w:r w:rsidRPr="00EF4250">
        <w:rPr>
          <w:rFonts w:cs="Times New Roman"/>
          <w:szCs w:val="20"/>
        </w:rPr>
        <w:t xml:space="preserve">goal. In these communities, we instead continued to simulate the monthly distribution of naloxone kits as distributed in </w:t>
      </w:r>
      <w:r w:rsidR="00F92FB6">
        <w:rPr>
          <w:rFonts w:cs="Times New Roman"/>
          <w:szCs w:val="20"/>
        </w:rPr>
        <w:t>2024</w:t>
      </w:r>
      <w:r w:rsidRPr="00EF4250">
        <w:rPr>
          <w:rFonts w:cs="Times New Roman"/>
          <w:szCs w:val="20"/>
        </w:rPr>
        <w:t xml:space="preserve">.  </w:t>
      </w:r>
    </w:p>
    <w:p w14:paraId="31A4D3B0" w14:textId="366EEA9E" w:rsidR="00051775" w:rsidRPr="00EF4250" w:rsidRDefault="00051775" w:rsidP="00051775">
      <w:pPr>
        <w:pStyle w:val="ListParagraph"/>
        <w:numPr>
          <w:ilvl w:val="0"/>
          <w:numId w:val="26"/>
        </w:numPr>
        <w:spacing w:after="0" w:line="276" w:lineRule="auto"/>
        <w:rPr>
          <w:rFonts w:cs="Times New Roman"/>
          <w:szCs w:val="20"/>
        </w:rPr>
      </w:pPr>
      <w:r w:rsidRPr="00EF4250">
        <w:rPr>
          <w:rFonts w:cs="Times New Roman"/>
          <w:szCs w:val="20"/>
          <w:u w:val="single"/>
        </w:rPr>
        <w:t>Improve treatment retention rate at the clinical trial level</w:t>
      </w:r>
      <w:r w:rsidRPr="00EF4250">
        <w:rPr>
          <w:rFonts w:cs="Times New Roman"/>
          <w:szCs w:val="20"/>
        </w:rPr>
        <w:t xml:space="preserve">: For each MOUD treatment, parameter </w:t>
      </w:r>
      <m:oMath>
        <m:sSub>
          <m:sSubPr>
            <m:ctrlPr>
              <w:rPr>
                <w:rFonts w:ascii="Cambria Math" w:hAnsi="Cambria Math" w:cs="Times New Roman"/>
                <w:i/>
                <w:szCs w:val="20"/>
              </w:rPr>
            </m:ctrlPr>
          </m:sSubPr>
          <m:e>
            <m:r>
              <w:rPr>
                <w:rFonts w:ascii="Cambria Math" w:hAnsi="Cambria Math" w:cs="Times New Roman"/>
                <w:szCs w:val="20"/>
              </w:rPr>
              <m:t>K</m:t>
            </m:r>
          </m:e>
          <m:sub>
            <m:r>
              <w:rPr>
                <w:rFonts w:ascii="Cambria Math" w:hAnsi="Cambria Math" w:cs="Times New Roman"/>
                <w:szCs w:val="20"/>
              </w:rPr>
              <m:t>med</m:t>
            </m:r>
          </m:sub>
        </m:sSub>
      </m:oMath>
      <w:r w:rsidRPr="00EF4250">
        <w:rPr>
          <w:rFonts w:cs="Times New Roman"/>
          <w:szCs w:val="20"/>
        </w:rPr>
        <w:t xml:space="preserve"> was adjusted such that the resulting 6-month retention rate equaled 74% for methadone (with </w:t>
      </w:r>
      <m:oMath>
        <m:sSub>
          <m:sSubPr>
            <m:ctrlPr>
              <w:rPr>
                <w:rFonts w:ascii="Cambria Math" w:hAnsi="Cambria Math" w:cs="Times New Roman"/>
                <w:i/>
                <w:szCs w:val="20"/>
              </w:rPr>
            </m:ctrlPr>
          </m:sSubPr>
          <m:e>
            <m:r>
              <w:rPr>
                <w:rFonts w:ascii="Cambria Math" w:hAnsi="Cambria Math" w:cs="Times New Roman"/>
                <w:szCs w:val="20"/>
              </w:rPr>
              <m:t>K</m:t>
            </m:r>
          </m:e>
          <m:sub>
            <m:r>
              <w:rPr>
                <w:rFonts w:ascii="Cambria Math" w:hAnsi="Cambria Math" w:cs="Times New Roman"/>
                <w:szCs w:val="20"/>
              </w:rPr>
              <m:t>met</m:t>
            </m:r>
          </m:sub>
        </m:sSub>
        <m:r>
          <w:rPr>
            <w:rFonts w:ascii="Cambria Math" w:hAnsi="Cambria Math" w:cs="Times New Roman"/>
            <w:szCs w:val="20"/>
          </w:rPr>
          <m:t>=0.6652</m:t>
        </m:r>
      </m:oMath>
      <w:r w:rsidRPr="00EF4250">
        <w:rPr>
          <w:rFonts w:cs="Times New Roman"/>
          <w:szCs w:val="20"/>
        </w:rPr>
        <w:t xml:space="preserve">) and 46% for buprenorphine (with </w:t>
      </w:r>
      <m:oMath>
        <m:sSub>
          <m:sSubPr>
            <m:ctrlPr>
              <w:rPr>
                <w:rFonts w:ascii="Cambria Math" w:hAnsi="Cambria Math" w:cs="Times New Roman"/>
                <w:i/>
                <w:szCs w:val="20"/>
              </w:rPr>
            </m:ctrlPr>
          </m:sSubPr>
          <m:e>
            <m:r>
              <w:rPr>
                <w:rFonts w:ascii="Cambria Math" w:hAnsi="Cambria Math" w:cs="Times New Roman"/>
                <w:szCs w:val="20"/>
              </w:rPr>
              <m:t>K</m:t>
            </m:r>
          </m:e>
          <m:sub>
            <m:r>
              <w:rPr>
                <w:rFonts w:ascii="Cambria Math" w:hAnsi="Cambria Math" w:cs="Times New Roman"/>
                <w:szCs w:val="20"/>
              </w:rPr>
              <m:t>bup</m:t>
            </m:r>
          </m:sub>
        </m:sSub>
        <m:r>
          <w:rPr>
            <w:rFonts w:ascii="Cambria Math" w:hAnsi="Cambria Math" w:cs="Times New Roman"/>
            <w:szCs w:val="20"/>
          </w:rPr>
          <m:t>=0.2693</m:t>
        </m:r>
      </m:oMath>
      <w:r w:rsidRPr="00EF4250">
        <w:rPr>
          <w:rFonts w:cs="Times New Roman"/>
          <w:szCs w:val="20"/>
        </w:rPr>
        <w:t>).</w:t>
      </w:r>
      <w:r w:rsidRPr="00EF4250">
        <w:rPr>
          <w:rFonts w:cs="Times New Roman"/>
          <w:szCs w:val="20"/>
        </w:rPr>
        <w:fldChar w:fldCharType="begin">
          <w:fldData xml:space="preserve">PEVuZE5vdGU+PENpdGU+PEF1dGhvcj5UaW1rbzwvQXV0aG9yPjxZZWFyPjIwMTY8L1llYXI+PFJl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</w:fldData>
        </w:fldChar>
      </w:r>
      <w:r w:rsidR="0037266D">
        <w:rPr>
          <w:rFonts w:cs="Times New Roman"/>
          <w:szCs w:val="20"/>
        </w:rPr>
        <w:instrText xml:space="preserve"> ADDIN EN.CITE </w:instrText>
      </w:r>
      <w:r w:rsidR="0037266D">
        <w:rPr>
          <w:rFonts w:cs="Times New Roman"/>
          <w:szCs w:val="20"/>
        </w:rPr>
        <w:fldChar w:fldCharType="begin">
          <w:fldData xml:space="preserve">PEVuZE5vdGU+PENpdGU+PEF1dGhvcj5UaW1rbzwvQXV0aG9yPjxZZWFyPjIwMTY8L1llYXI+PFJl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</w:fldData>
        </w:fldChar>
      </w:r>
      <w:r w:rsidR="0037266D">
        <w:rPr>
          <w:rFonts w:cs="Times New Roman"/>
          <w:szCs w:val="20"/>
        </w:rPr>
        <w:instrText xml:space="preserve"> ADDIN EN.CITE.DATA </w:instrText>
      </w:r>
      <w:r w:rsidR="0037266D">
        <w:rPr>
          <w:rFonts w:cs="Times New Roman"/>
          <w:szCs w:val="20"/>
        </w:rPr>
      </w:r>
      <w:r w:rsidR="0037266D">
        <w:rPr>
          <w:rFonts w:cs="Times New Roman"/>
          <w:szCs w:val="20"/>
        </w:rPr>
        <w:fldChar w:fldCharType="end"/>
      </w:r>
      <w:r w:rsidRPr="00EF4250">
        <w:rPr>
          <w:rFonts w:cs="Times New Roman"/>
          <w:szCs w:val="20"/>
        </w:rPr>
      </w:r>
      <w:r w:rsidRPr="00EF4250">
        <w:rPr>
          <w:rFonts w:cs="Times New Roman"/>
          <w:szCs w:val="20"/>
        </w:rPr>
        <w:fldChar w:fldCharType="separate"/>
      </w:r>
      <w:r w:rsidR="0037266D" w:rsidRPr="0037266D">
        <w:rPr>
          <w:rFonts w:cs="Times New Roman"/>
          <w:noProof/>
          <w:szCs w:val="20"/>
          <w:vertAlign w:val="superscript"/>
        </w:rPr>
        <w:t>39</w:t>
      </w:r>
      <w:r w:rsidRPr="00EF4250">
        <w:rPr>
          <w:rFonts w:cs="Times New Roman"/>
          <w:szCs w:val="20"/>
        </w:rPr>
        <w:fldChar w:fldCharType="end"/>
      </w:r>
      <w:r w:rsidRPr="00EF4250">
        <w:rPr>
          <w:rFonts w:cs="Times New Roman"/>
          <w:szCs w:val="20"/>
        </w:rPr>
        <w:t xml:space="preserve"> Due to lack of retention data for naltrexone from clinical trials, we assumed the same retention rate as observed for buprenorphine (i.e. </w:t>
      </w:r>
      <m:oMath>
        <m:sSub>
          <m:sSubPr>
            <m:ctrlPr>
              <w:rPr>
                <w:rFonts w:ascii="Cambria Math" w:hAnsi="Cambria Math" w:cs="Times New Roman"/>
                <w:i/>
                <w:szCs w:val="20"/>
              </w:rPr>
            </m:ctrlPr>
          </m:sSubPr>
          <m:e>
            <m:sSub>
              <m:sSubPr>
                <m:ctrlPr>
                  <w:rPr>
                    <w:rFonts w:ascii="Cambria Math" w:hAnsi="Cambria Math" w:cs="Times New Roman"/>
                    <w:i/>
                    <w:szCs w:val="20"/>
                  </w:rPr>
                </m:ctrlPr>
              </m:sSubPr>
              <m:e>
                <m:r>
                  <w:rPr>
                    <w:rFonts w:ascii="Cambria Math" w:hAnsi="Cambria Math" w:cs="Times New Roman"/>
                    <w:szCs w:val="20"/>
                  </w:rPr>
                  <m:t>K</m:t>
                </m:r>
              </m:e>
              <m:sub>
                <m:r>
                  <w:rPr>
                    <w:rFonts w:ascii="Cambria Math" w:hAnsi="Cambria Math" w:cs="Times New Roman"/>
                    <w:szCs w:val="20"/>
                  </w:rPr>
                  <m:t>nal</m:t>
                </m:r>
              </m:sub>
            </m:sSub>
            <m:r>
              <w:rPr>
                <w:rFonts w:ascii="Cambria Math" w:hAnsi="Cambria Math" w:cs="Times New Roman"/>
                <w:szCs w:val="20"/>
              </w:rPr>
              <m:t>=K</m:t>
            </m:r>
          </m:e>
          <m:sub>
            <m:r>
              <w:rPr>
                <w:rFonts w:ascii="Cambria Math" w:hAnsi="Cambria Math" w:cs="Times New Roman"/>
                <w:szCs w:val="20"/>
              </w:rPr>
              <m:t>bup</m:t>
            </m:r>
          </m:sub>
        </m:sSub>
        <m:r>
          <w:rPr>
            <w:rFonts w:ascii="Cambria Math" w:hAnsi="Cambria Math" w:cs="Times New Roman"/>
            <w:szCs w:val="20"/>
          </w:rPr>
          <m:t>=0.2693</m:t>
        </m:r>
      </m:oMath>
      <w:r w:rsidRPr="00EF4250">
        <w:rPr>
          <w:rFonts w:cs="Times New Roman"/>
          <w:szCs w:val="20"/>
        </w:rPr>
        <w:t>); given that naltrexone only constituted a relatively small portion of total MOUD use in all communities we simulated, we expected that this optimistic assumption would not significantly impact the main findings from the simulation projections.</w:t>
      </w:r>
    </w:p>
    <w:p w14:paraId="288EBAFE" w14:textId="1694CA6A" w:rsidR="00CA6616" w:rsidRPr="00051775" w:rsidRDefault="00CA6616" w:rsidP="00CA6616">
      <w:pPr>
        <w:pStyle w:val="ListParagraph"/>
        <w:numPr>
          <w:ilvl w:val="0"/>
          <w:numId w:val="26"/>
        </w:numPr>
        <w:spacing w:after="0" w:line="276" w:lineRule="auto"/>
        <w:rPr>
          <w:rFonts w:cs="Times New Roman"/>
          <w:szCs w:val="20"/>
        </w:rPr>
      </w:pPr>
      <w:r w:rsidRPr="00EF4250">
        <w:rPr>
          <w:rFonts w:cs="Times New Roman"/>
          <w:szCs w:val="20"/>
          <w:u w:val="single"/>
        </w:rPr>
        <w:t>Increase treatment initiation</w:t>
      </w:r>
      <w:r w:rsidRPr="00EF4250">
        <w:rPr>
          <w:rFonts w:cs="Times New Roman"/>
          <w:szCs w:val="20"/>
        </w:rPr>
        <w:t xml:space="preserve"> (by expanding treatment outreach and/or capacity): We calculated the MOUD treatment rate as the proportion the population with OUD (i.e., individuals in either </w:t>
      </w:r>
      <w:r w:rsidRPr="00EF4250">
        <w:rPr>
          <w:rFonts w:cs="Times New Roman"/>
          <w:i/>
          <w:iCs/>
          <w:szCs w:val="20"/>
        </w:rPr>
        <w:t>OUD</w:t>
      </w:r>
      <w:r w:rsidRPr="00EF4250">
        <w:rPr>
          <w:rFonts w:cs="Times New Roman"/>
          <w:szCs w:val="20"/>
        </w:rPr>
        <w:t xml:space="preserve"> or </w:t>
      </w:r>
      <w:r w:rsidRPr="00EF4250">
        <w:rPr>
          <w:rFonts w:cs="Times New Roman"/>
          <w:i/>
          <w:iCs/>
          <w:szCs w:val="20"/>
        </w:rPr>
        <w:t>MOUD</w:t>
      </w:r>
      <w:r w:rsidRPr="00EF4250">
        <w:rPr>
          <w:rFonts w:cs="Times New Roman"/>
          <w:szCs w:val="20"/>
        </w:rPr>
        <w:t xml:space="preserve"> state) receiving MOUD in each month of </w:t>
      </w:r>
      <w:r w:rsidR="00F92FB6">
        <w:rPr>
          <w:rFonts w:cs="Times New Roman"/>
          <w:szCs w:val="20"/>
        </w:rPr>
        <w:t>2030</w:t>
      </w:r>
      <w:r w:rsidRPr="00EF4250">
        <w:rPr>
          <w:rFonts w:cs="Times New Roman"/>
          <w:szCs w:val="20"/>
        </w:rPr>
        <w:t xml:space="preserve">, and then the average of treatment rate in </w:t>
      </w:r>
      <w:r w:rsidR="00F92FB6">
        <w:rPr>
          <w:rFonts w:cs="Times New Roman"/>
          <w:szCs w:val="20"/>
        </w:rPr>
        <w:t>2030</w:t>
      </w:r>
      <w:r w:rsidR="00F92FB6" w:rsidRPr="00EF4250">
        <w:rPr>
          <w:rFonts w:cs="Times New Roman"/>
          <w:szCs w:val="20"/>
        </w:rPr>
        <w:t xml:space="preserve"> </w:t>
      </w:r>
      <w:r w:rsidRPr="00EF4250">
        <w:rPr>
          <w:rFonts w:cs="Times New Roman"/>
          <w:szCs w:val="20"/>
        </w:rPr>
        <w:t xml:space="preserve">across 12 months. We increased the monthly treatment initiation probability for each type of MOUD (as of the calibrated value in </w:t>
      </w:r>
      <w:r w:rsidR="00F92FB6">
        <w:rPr>
          <w:rFonts w:cs="Times New Roman"/>
          <w:szCs w:val="20"/>
        </w:rPr>
        <w:t>2024</w:t>
      </w:r>
      <w:r w:rsidRPr="00EF4250">
        <w:rPr>
          <w:rFonts w:cs="Times New Roman"/>
          <w:szCs w:val="20"/>
        </w:rPr>
        <w:t xml:space="preserve">) by the same multiplier value such that the average treatment rate in </w:t>
      </w:r>
      <w:r w:rsidR="00F92FB6">
        <w:rPr>
          <w:rFonts w:cs="Times New Roman"/>
          <w:szCs w:val="20"/>
        </w:rPr>
        <w:t>2030</w:t>
      </w:r>
      <w:r w:rsidR="00F92FB6" w:rsidRPr="00EF4250">
        <w:rPr>
          <w:rFonts w:cs="Times New Roman"/>
          <w:szCs w:val="20"/>
        </w:rPr>
        <w:t xml:space="preserve"> </w:t>
      </w:r>
      <w:r w:rsidRPr="00EF4250">
        <w:rPr>
          <w:rFonts w:cs="Times New Roman"/>
          <w:szCs w:val="20"/>
        </w:rPr>
        <w:t xml:space="preserve">reached 50%. This way, the overall treatment initiation rate was increased during the projection period, while maintaining the same distribution between MOUD treatment types. </w:t>
      </w:r>
    </w:p>
    <w:p w14:paraId="24938944" w14:textId="77777777" w:rsidR="00CA6616" w:rsidRPr="00EF4250" w:rsidRDefault="00CA6616" w:rsidP="00CA6616">
      <w:pPr>
        <w:pStyle w:val="ListParagraph"/>
        <w:numPr>
          <w:ilvl w:val="0"/>
          <w:numId w:val="26"/>
        </w:numPr>
        <w:spacing w:after="0" w:line="276" w:lineRule="auto"/>
        <w:rPr>
          <w:rFonts w:cs="Times New Roman"/>
          <w:szCs w:val="20"/>
        </w:rPr>
      </w:pPr>
      <w:r w:rsidRPr="00EF4250">
        <w:rPr>
          <w:rFonts w:cs="Times New Roman"/>
          <w:szCs w:val="20"/>
        </w:rPr>
        <w:t>Combination of Scenarios 2 and 3 (i.e., increased treatment initiation and improved treatment retention).</w:t>
      </w:r>
    </w:p>
    <w:p w14:paraId="39DD9F9A" w14:textId="77777777" w:rsidR="00CA6616" w:rsidRDefault="00CA6616" w:rsidP="00CA6616">
      <w:pPr>
        <w:pStyle w:val="ListParagraph"/>
        <w:numPr>
          <w:ilvl w:val="0"/>
          <w:numId w:val="26"/>
        </w:numPr>
        <w:spacing w:after="0" w:line="276" w:lineRule="auto"/>
        <w:rPr>
          <w:rFonts w:cs="Times New Roman"/>
          <w:szCs w:val="20"/>
        </w:rPr>
      </w:pPr>
      <w:r w:rsidRPr="00EF4250">
        <w:rPr>
          <w:rFonts w:cs="Times New Roman"/>
          <w:szCs w:val="20"/>
        </w:rPr>
        <w:t>Combination of Scenarios 2, 3, and 5 (i.e., increased treatment initiation, improved treatment retention, and increased naloxone distribution).</w:t>
      </w:r>
    </w:p>
    <w:p w14:paraId="0640A28D" w14:textId="77777777" w:rsidR="00CA6616" w:rsidRPr="00994A5D" w:rsidRDefault="00CA6616" w:rsidP="00CA6616">
      <w:pPr>
        <w:pStyle w:val="ListParagraph"/>
        <w:rPr>
          <w:rFonts w:cs="Times New Roman"/>
          <w:szCs w:val="20"/>
        </w:rPr>
      </w:pPr>
    </w:p>
    <w:p w14:paraId="774FD9E3" w14:textId="77777777" w:rsidR="003E1CAF" w:rsidRDefault="00CA6616" w:rsidP="003E1CAF">
      <w:pPr>
        <w:spacing w:after="0" w:line="276" w:lineRule="auto"/>
        <w:rPr>
          <w:rFonts w:cs="Times New Roman"/>
          <w:szCs w:val="20"/>
        </w:rPr>
      </w:pPr>
      <w:r w:rsidRPr="00994A5D">
        <w:rPr>
          <w:rFonts w:cs="Times New Roman"/>
          <w:szCs w:val="20"/>
        </w:rPr>
        <w:t xml:space="preserve">Scenarios were defined based on number of individuals in need (i.e., the size of the OUD population in each community), and feasibility of reach. While ideally all individuals with OUD would be on MOUD, given that </w:t>
      </w:r>
      <w:r w:rsidR="00F92FB6">
        <w:rPr>
          <w:rFonts w:cs="Times New Roman"/>
          <w:szCs w:val="20"/>
        </w:rPr>
        <w:t>2024</w:t>
      </w:r>
      <w:r w:rsidR="00F92FB6" w:rsidRPr="00994A5D">
        <w:rPr>
          <w:rFonts w:cs="Times New Roman"/>
          <w:szCs w:val="20"/>
        </w:rPr>
        <w:t xml:space="preserve"> </w:t>
      </w:r>
      <w:r w:rsidRPr="00994A5D">
        <w:rPr>
          <w:rFonts w:cs="Times New Roman"/>
          <w:szCs w:val="20"/>
        </w:rPr>
        <w:t xml:space="preserve">levels in the </w:t>
      </w:r>
      <w:r w:rsidR="00F92FB6">
        <w:rPr>
          <w:rFonts w:cs="Times New Roman"/>
          <w:szCs w:val="20"/>
        </w:rPr>
        <w:t>26</w:t>
      </w:r>
      <w:r w:rsidR="00F92FB6" w:rsidRPr="00994A5D">
        <w:rPr>
          <w:rFonts w:cs="Times New Roman"/>
          <w:szCs w:val="20"/>
        </w:rPr>
        <w:t xml:space="preserve"> </w:t>
      </w:r>
      <w:r w:rsidRPr="00994A5D">
        <w:rPr>
          <w:rFonts w:cs="Times New Roman"/>
          <w:szCs w:val="20"/>
        </w:rPr>
        <w:t xml:space="preserve">communities were far from that goal, we simulated an aspirational, yet reachable, scenario of half of individuals with OUD initiating MOUD. Similarly, the scenario of increased retention was based on an aspirational level of retention as observed in clinical trials. Increasing naloxone distribution so the number of kits distributed annually was at least equal to the OUD population resulted in an increase in naloxone distribution of less than double the </w:t>
      </w:r>
      <w:r w:rsidR="00F92FB6">
        <w:rPr>
          <w:rFonts w:cs="Times New Roman"/>
          <w:szCs w:val="20"/>
        </w:rPr>
        <w:t>2024</w:t>
      </w:r>
      <w:r w:rsidR="00F92FB6" w:rsidRPr="00994A5D">
        <w:rPr>
          <w:rFonts w:cs="Times New Roman"/>
          <w:szCs w:val="20"/>
        </w:rPr>
        <w:t xml:space="preserve"> </w:t>
      </w:r>
      <w:r w:rsidRPr="00994A5D">
        <w:rPr>
          <w:rFonts w:cs="Times New Roman"/>
          <w:szCs w:val="20"/>
        </w:rPr>
        <w:t xml:space="preserve">levels of distribution. </w:t>
      </w:r>
    </w:p>
    <w:p w14:paraId="5EB40C57" w14:textId="2667CDD3" w:rsidR="00B13665" w:rsidRPr="003E1CAF" w:rsidRDefault="00B13665" w:rsidP="003E1CAF">
      <w:pPr>
        <w:spacing w:after="0" w:line="276" w:lineRule="auto"/>
        <w:rPr>
          <w:rFonts w:cs="Times New Roman"/>
          <w:szCs w:val="20"/>
        </w:rPr>
      </w:pPr>
      <w:r>
        <w:br w:type="page"/>
      </w:r>
    </w:p>
    <w:p w14:paraId="200B5BCC" w14:textId="3DA75063" w:rsidR="0061429F" w:rsidRPr="00D2239A" w:rsidRDefault="0061429F" w:rsidP="00363E8B">
      <w:pPr>
        <w:pStyle w:val="Heading1"/>
      </w:pPr>
      <w:bookmarkStart w:id="45" w:name="_Toc206681001"/>
      <w:bookmarkStart w:id="46" w:name="_Toc226020692"/>
      <w:r w:rsidRPr="00D2239A">
        <w:lastRenderedPageBreak/>
        <w:t>Supplement S</w:t>
      </w:r>
      <w:r w:rsidR="00505F66">
        <w:t>3</w:t>
      </w:r>
      <w:r w:rsidRPr="00D2239A">
        <w:t xml:space="preserve">. </w:t>
      </w:r>
      <w:r>
        <w:t xml:space="preserve">Economic </w:t>
      </w:r>
      <w:r w:rsidR="006A0506">
        <w:t>i</w:t>
      </w:r>
      <w:r>
        <w:t>nputs</w:t>
      </w:r>
      <w:bookmarkEnd w:id="45"/>
      <w:bookmarkEnd w:id="46"/>
    </w:p>
    <w:p w14:paraId="4414A037" w14:textId="6FF3D38D" w:rsidR="00787C26" w:rsidRDefault="00787C26" w:rsidP="00787C26">
      <w:r>
        <w:t xml:space="preserve">This section describes the costs and utility values used in the analysis. Our analysis from the healthcare perspective includes the costs of interventions (MOUD and naloxone) and the costs of utilization of healthcare (i.e., emergency medical services [EMS], outpatient, emergency department (ED), inpatient, and residential treatment services) that </w:t>
      </w:r>
      <w:r w:rsidR="0061429F">
        <w:t>exceed</w:t>
      </w:r>
      <w:r>
        <w:t xml:space="preserve"> utilization by the general population. The analysis from the societal perspective includes all costs included in the healthcare perspective, costs of lost productivity, and criminal justice costs.  The outcome measure in our CEA is quality-adjusted life-years (QALYs) computed based on state-specific health utility values obtained through direct elicitation using a standard gamble method </w:t>
      </w:r>
      <w:r>
        <w:fldChar w:fldCharType="begin"/>
      </w:r>
      <w:r w:rsidR="0037266D">
        <w:instrText xml:space="preserve"> ADDIN EN.CITE &lt;EndNote&gt;&lt;Cite&gt;&lt;Author&gt;Wittenberg&lt;/Author&gt;&lt;Year&gt;2016&lt;/Year&gt;&lt;RecNum&gt;38&lt;/RecNum&gt;&lt;DisplayText&gt;&lt;style face="superscript"&gt;40&lt;/style&gt;&lt;/DisplayText&gt;&lt;record&gt;&lt;rec-number&gt;38&lt;/rec-number&gt;&lt;foreign-keys&gt;&lt;key app="EN" db-id="pwwedrtwnpw20vervr1p9p2y9exw2awedx5t" timestamp="1774561198"&gt;38&lt;/key&gt;&lt;/foreign-keys&gt;&lt;ref-type name="Journal Article"&gt;17&lt;/ref-type&gt;&lt;contributors&gt;&lt;authors&gt;&lt;author&gt;Wittenberg, Eve&lt;/author&gt;&lt;author&gt;Bray, Jeremy W&lt;/author&gt;&lt;author&gt;Aden, Brandon&lt;/author&gt;&lt;author&gt;Gebremariam, Achamyeleh&lt;/autho</w:instrText>
      </w:r>
      <w:r w:rsidR="0037266D">
        <w:rPr>
          <w:rFonts w:hint="eastAsia"/>
        </w:rPr>
        <w:instrText>r&gt;&lt;author&gt;Nosyk, Bohdan&lt;/author&gt;&lt;author&gt;Schackman, Bruce R&lt;/author&gt;&lt;/authors&gt;&lt;/contributors&gt;&lt;titles&gt;&lt;title&gt;Measuring benefits of opioid misuse treatment for economic evaluation: health</w:instrText>
      </w:r>
      <w:r w:rsidR="0037266D">
        <w:rPr>
          <w:rFonts w:hint="eastAsia"/>
        </w:rPr>
        <w:instrText>‐</w:instrText>
      </w:r>
      <w:r w:rsidR="0037266D">
        <w:rPr>
          <w:rFonts w:hint="eastAsia"/>
        </w:rPr>
        <w:instrText>related quality of life of opioid</w:instrText>
      </w:r>
      <w:r w:rsidR="0037266D">
        <w:rPr>
          <w:rFonts w:hint="eastAsia"/>
        </w:rPr>
        <w:instrText>‐</w:instrText>
      </w:r>
      <w:r w:rsidR="0037266D">
        <w:rPr>
          <w:rFonts w:hint="eastAsia"/>
        </w:rPr>
        <w:instrText>dependent individuals and their spou</w:instrText>
      </w:r>
      <w:r w:rsidR="0037266D">
        <w:instrText>ses as assessed by a sample of the US population&lt;/title&gt;&lt;secondary-title&gt;Addiction&lt;/secondary-title&gt;&lt;/titles&gt;&lt;periodical&gt;&lt;full-title&gt;Addiction&lt;/full-title&gt;&lt;/periodical&gt;&lt;pages&gt;675-684&lt;/pages&gt;&lt;volume&gt;111&lt;/volume&gt;&lt;number&gt;4&lt;/number&gt;&lt;dates&gt;&lt;year&gt;2016&lt;/year&gt;&lt;/dates&gt;&lt;isbn&gt;0965-2140&lt;/isbn&gt;&lt;urls&gt;&lt;/urls&gt;&lt;/record&gt;&lt;/Cite&gt;&lt;/EndNote&gt;</w:instrText>
      </w:r>
      <w:r>
        <w:fldChar w:fldCharType="separate"/>
      </w:r>
      <w:r w:rsidR="0037266D" w:rsidRPr="0037266D">
        <w:rPr>
          <w:noProof/>
          <w:vertAlign w:val="superscript"/>
        </w:rPr>
        <w:t>40</w:t>
      </w:r>
      <w:r>
        <w:fldChar w:fldCharType="end"/>
      </w:r>
      <w:r>
        <w:t xml:space="preserve">. Costs were inflated to 2023 dollars using the medical-care specific consumer price index (CPI) for healthcare costs and the standard CPI for urban consumers for other costs. All costs and utilities were discounted at 3% annually. </w:t>
      </w:r>
    </w:p>
    <w:p w14:paraId="31E673E0" w14:textId="3376569F" w:rsidR="00363E8B" w:rsidRPr="00363E8B" w:rsidRDefault="00363E8B" w:rsidP="00787C26">
      <w:pPr>
        <w:rPr>
          <w:b/>
          <w:bCs/>
        </w:rPr>
      </w:pPr>
      <w:r w:rsidRPr="00363E8B">
        <w:rPr>
          <w:b/>
          <w:bCs/>
        </w:rPr>
        <w:t>Intervention costs</w:t>
      </w:r>
    </w:p>
    <w:p w14:paraId="23C1CBBF" w14:textId="7577B82E" w:rsidR="00787C26" w:rsidRDefault="00787C26" w:rsidP="00787C26">
      <w:r>
        <w:t xml:space="preserve">Costs of MOUD were computed for each of the three FDA-approved medications: methadone, buprenorphine, and naltrexone. The cost of methadone was obtained from the Medicare fee schedule. Opioid treatment programs (OTPs) were reimbursed to provide a bundle of services including both the cost of the methadone and non-drug costs such as counseling and drug testing </w:t>
      </w:r>
      <w:r>
        <w:fldChar w:fldCharType="begin"/>
      </w:r>
      <w:r w:rsidR="0037266D">
        <w:instrText xml:space="preserve"> ADDIN EN.CITE &lt;EndNote&gt;&lt;Cite&gt;&lt;Author&gt;Centers for Medicare &amp;amp; Medicaid Services&lt;/Author&gt;&lt;Year&gt;2021&lt;/Year&gt;&lt;RecNum&gt;6&lt;/RecNum&gt;&lt;DisplayText&gt;&lt;style face="superscript"&gt;41&lt;/style&gt;&lt;/DisplayText&gt;&lt;record&gt;&lt;rec-number&gt;6&lt;/rec-number&gt;&lt;foreign-keys&gt;&lt;key app="EN" db-id="vvr02fsw8wr2f5et2p8pzr0qs25d59ewpfta" timestamp="1717097228"&gt;6&lt;/key&gt;&lt;/foreign-keys&gt;&lt;ref-type name="Report"&gt;27&lt;/ref-type&gt;&lt;contributors&gt;&lt;authors&gt;&lt;author&gt;Centers for Medicare &amp;amp; Medicaid Services,&lt;/author&gt;&lt;/authors&gt;&lt;/contributors&gt;&lt;titles&gt;&lt;title&gt;Calendar Year 2022 National Final Unadjusted Payment Rates for Opioid Treatment Programs&lt;/title&gt;&lt;/titles&gt;&lt;dates&gt;&lt;year&gt;2021&lt;/year&gt;&lt;/dates&gt;&lt;urls&gt;&lt;related-urls&gt;&lt;url&gt;https://www.cms.gov/files/document/cy-2022-national-final-unadjusted-payment-rates-otps.pdf&lt;/url&gt;&lt;/related-urls&gt;&lt;/urls&gt;&lt;/record&gt;&lt;/Cite&gt;&lt;/EndNote&gt;</w:instrText>
      </w:r>
      <w:r>
        <w:fldChar w:fldCharType="separate"/>
      </w:r>
      <w:r w:rsidR="0037266D" w:rsidRPr="0037266D">
        <w:rPr>
          <w:noProof/>
          <w:vertAlign w:val="superscript"/>
        </w:rPr>
        <w:t>41</w:t>
      </w:r>
      <w:r>
        <w:fldChar w:fldCharType="end"/>
      </w:r>
      <w:r>
        <w:t xml:space="preserve">. We converted this value to a monthly cost to match the cycle length of the model ($966 in 2023 dollars). The costs of buprenorphine and naloxone were obtained from the Federal Supply Schedule obtained in 2021 </w:t>
      </w:r>
      <w:r>
        <w:fldChar w:fldCharType="begin"/>
      </w:r>
      <w:r w:rsidR="0037266D">
        <w:instrText xml:space="preserve"> ADDIN EN.CITE &lt;EndNote&gt;&lt;Cite&gt;&lt;Author&gt;Department of Veterans Affairs&lt;/Author&gt;&lt;Year&gt;2021&lt;/Year&gt;&lt;RecNum&gt;20&lt;/RecNum&gt;&lt;DisplayText&gt;&lt;style face="superscript"&gt;42&lt;/style&gt;&lt;/DisplayText&gt;&lt;record&gt;&lt;rec-number&gt;20&lt;/rec-number&gt;&lt;foreign-keys&gt;&lt;key app="EN" db-id="vvr02fsw8wr2f5et2p8pzr0qs25d59ewpfta" timestamp="1722341320"&gt;20&lt;/key&gt;&lt;/foreign-keys&gt;&lt;ref-type name="Web Page"&gt;12&lt;/ref-type&gt;&lt;contributors&gt;&lt;authors&gt;&lt;author&gt;Department of Veterans Affairs,&lt;/author&gt;&lt;/authors&gt;&lt;/contributors&gt;&lt;titles&gt;&lt;title&gt;VA Drug Pricing Database&lt;/title&gt;&lt;/titles&gt;&lt;dates&gt;&lt;year&gt;2021&lt;/year&gt;&lt;/dates&gt;&lt;urls&gt;&lt;related-urls&gt;&lt;url&gt;https://catalog.data.gov/dataset/va-drug-pricing-database&lt;/url&gt;&lt;/related-urls&gt;&lt;/urls&gt;&lt;/record&gt;&lt;/Cite&gt;&lt;/EndNote&gt;</w:instrText>
      </w:r>
      <w:r>
        <w:fldChar w:fldCharType="separate"/>
      </w:r>
      <w:r w:rsidR="0037266D" w:rsidRPr="0037266D">
        <w:rPr>
          <w:noProof/>
          <w:vertAlign w:val="superscript"/>
        </w:rPr>
        <w:t>42</w:t>
      </w:r>
      <w:r>
        <w:fldChar w:fldCharType="end"/>
      </w:r>
      <w:r>
        <w:t>. Both buprenorphine and naltrexone are available in oral and injectable formulations, so the costs used in the model are averages of the costs of each formulation weighted by the proportion of days supplied of each formulation as recorded in the Medicaid claims data obtained for the HCS.</w:t>
      </w:r>
      <w:r>
        <w:rPr>
          <w:rStyle w:val="FootnoteReference"/>
        </w:rPr>
        <w:footnoteReference w:id="2"/>
      </w:r>
      <w:r>
        <w:t xml:space="preserve"> During the 30-month study period (January 2020 – June 2022) across all 67 HCS communities, the proportion of days supplied represented by oral formulations was 97.7% for buprenorphine and 43.2% for naltrexone. Daily costs of oral medication were assumed to be </w:t>
      </w:r>
      <w:r w:rsidRPr="00986201">
        <w:t>$5.42 for buprenorphine (2021 dollars, assuming a daily dose of two 8mg/2mg buprenorphine/naloxone films) and $1.06 for naltrexone (2021 dollars, assuming a daily dose of 50mg). Monthly costs of injections in 2021 dollars were $1,115 and $958</w:t>
      </w:r>
      <w:r>
        <w:t xml:space="preserve"> for buprenorphine and naltrexone, respectively. Applying weights obtained from HCS data and inflating to 2023 dollars yielded monthly costs of $194 and $584 for buprenorphine and naltrexone, respectively. The appropriate monthly cost was applied to all individuals in the model who spent a month in the MOUD state receiving one of the three medications.</w:t>
      </w:r>
    </w:p>
    <w:p w14:paraId="5CB2136F" w14:textId="7F812AD1" w:rsidR="00787C26" w:rsidRDefault="00787C26" w:rsidP="00787C26">
      <w:r>
        <w:t xml:space="preserve">The cost of a naloxone kit was computed as the sum of the cost of naloxone itself ($45 in 2023 dollars) based on the over the counter price of Narcan nasal spray </w:t>
      </w:r>
      <w:r>
        <w:fldChar w:fldCharType="begin"/>
      </w:r>
      <w:r w:rsidR="0037266D">
        <w:instrText xml:space="preserve"> ADDIN EN.CITE &lt;EndNote&gt;&lt;Cite&gt;&lt;Author&gt;Emergent BioSolutions&lt;/Author&gt;&lt;Year&gt;2023&lt;/Year&gt;&lt;RecNum&gt;21&lt;/RecNum&gt;&lt;DisplayText&gt;&lt;style face="superscript"&gt;43&lt;/style&gt;&lt;/DisplayText&gt;&lt;record&gt;&lt;rec-number&gt;21&lt;/rec-number&gt;&lt;foreign-keys&gt;&lt;key app="EN" db-id="vvr02fsw8wr2f5et2p8pzr0qs25d59ewpfta" timestamp="1722438113"&gt;21&lt;/key&gt;&lt;/foreign-keys&gt;&lt;ref-type name="Web Page"&gt;12&lt;/ref-type&gt;&lt;contributors&gt;&lt;authors&gt;&lt;author&gt;Emergent BioSolutions,&lt;/author&gt;&lt;/authors&gt;&lt;/contributors&gt;&lt;titles&gt;&lt;title&gt;Emergent BioSolutions’ NARCAN® Nasal Spray Launches Over the Counter Making it Possible for Everyone to Help Save a Life from an Opioid Overdose Emergency&lt;/title&gt;&lt;/titles&gt;&lt;dates&gt;&lt;year&gt;2023&lt;/year&gt;&lt;/dates&gt;&lt;urls&gt;&lt;related-urls&gt;&lt;url&gt;https://investors.emergentbiosolutions.com/news-releases/news-release-details/emergent-biosolutions-narcanr-nasal-spray-launches-over-counter#:~:text=The%20Manufacturer&amp;apos;s%20Suggested%20Retail%20Price,to%20roughly%20%2422.50%20per%20dose.&lt;/url&gt;&lt;/related-urls&gt;&lt;/urls&gt;&lt;/record&gt;&lt;/Cite&gt;&lt;/EndNote&gt;</w:instrText>
      </w:r>
      <w:r>
        <w:fldChar w:fldCharType="separate"/>
      </w:r>
      <w:r w:rsidR="0037266D" w:rsidRPr="0037266D">
        <w:rPr>
          <w:noProof/>
          <w:vertAlign w:val="superscript"/>
        </w:rPr>
        <w:t>43</w:t>
      </w:r>
      <w:r>
        <w:fldChar w:fldCharType="end"/>
      </w:r>
      <w:r>
        <w:t xml:space="preserve"> and the cost to distribute naloxone estimated at $37 per kit (2017 dollars). The distribution cost was obtained by applying national wage rates to a weighted average of setting-specific naloxone distribution costs in New York City provided by Behrends and colleagues </w:t>
      </w:r>
      <w:r>
        <w:fldChar w:fldCharType="begin"/>
      </w:r>
      <w:r w:rsidR="0037266D">
        <w:instrText xml:space="preserve"> ADDIN EN.CITE &lt;EndNote&gt;&lt;Cite ExcludeAuth="1"&gt;&lt;Author&gt;Behrends&lt;/Author&gt;&lt;Year&gt;2022&lt;/Year&gt;&lt;RecNum&gt;3&lt;/RecNum&gt;&lt;DisplayText&gt;&lt;style face="superscript"&gt;44&lt;/style&gt;&lt;/DisplayText&gt;&lt;record&gt;&lt;rec-number&gt;3&lt;/rec-number&gt;&lt;foreign-keys&gt;&lt;key app="EN" db-id="vvr02fsw8wr2f5et2p8pzr0qs25d59ewpfta" timestamp="1715186250"&gt;3&lt;/key&gt;&lt;/foreign-keys&gt;&lt;ref-type name="Journal Article"&gt;17&lt;/ref-type&gt;&lt;contributors&gt;&lt;authors&gt;&lt;author&gt;Behrends, Czarina N&lt;/author&gt;&lt;author&gt;Gutkind, Sarah&lt;/author&gt;&lt;author&gt;Winkelstein, Emily&lt;/author&gt;&lt;author&gt;Wright, Monique&lt;/author&gt;&lt;author&gt;Dolatshahi, Jennifer&lt;/author&gt;&lt;author&gt;Welch, Alice&lt;/author&gt;&lt;author&gt;Paone, Denise&lt;/author&gt;&lt;author&gt;Kunins, Hillary V&lt;/author&gt;&lt;author&gt;Schackman, Bruce R&lt;/author&gt;&lt;/authors&gt;&lt;/contributors&gt;&lt;titles&gt;&lt;title&gt;Costs of opioid overdose education and naloxone distribution in New York City&lt;/title&gt;&lt;secondary-title&gt;Substance abuse&lt;/secondary-title&gt;&lt;/titles&gt;&lt;periodical&gt;&lt;full-title&gt;Substance abuse&lt;/full-title&gt;&lt;/periodical&gt;&lt;pages&gt;692-698&lt;/pages&gt;&lt;volume&gt;43&lt;/volume&gt;&lt;number&gt;1&lt;/number&gt;&lt;dates&gt;&lt;year&gt;2022&lt;/year&gt;&lt;/dates&gt;&lt;isbn&gt;0889-7077&lt;/isbn&gt;&lt;urls&gt;&lt;/urls&gt;&lt;/record&gt;&lt;/Cite&gt;&lt;/EndNote&gt;</w:instrText>
      </w:r>
      <w:r>
        <w:fldChar w:fldCharType="separate"/>
      </w:r>
      <w:r w:rsidR="0037266D" w:rsidRPr="0037266D">
        <w:rPr>
          <w:noProof/>
          <w:vertAlign w:val="superscript"/>
        </w:rPr>
        <w:t>44</w:t>
      </w:r>
      <w:r>
        <w:fldChar w:fldCharType="end"/>
      </w:r>
      <w:r>
        <w:t xml:space="preserve">. The total cost of a distributed naloxone kit in 2023 </w:t>
      </w:r>
      <w:r w:rsidR="00CE2DA9">
        <w:t xml:space="preserve">US </w:t>
      </w:r>
      <w:r>
        <w:t xml:space="preserve">dollars was $88. This cost was applied to all naloxone kits distributed in the model. </w:t>
      </w:r>
    </w:p>
    <w:p w14:paraId="6C6EDA1C" w14:textId="584747B8" w:rsidR="00363E8B" w:rsidRPr="00363E8B" w:rsidRDefault="00363E8B" w:rsidP="00787C26">
      <w:pPr>
        <w:rPr>
          <w:b/>
          <w:bCs/>
        </w:rPr>
      </w:pPr>
      <w:r w:rsidRPr="00363E8B">
        <w:rPr>
          <w:b/>
          <w:bCs/>
        </w:rPr>
        <w:t>Costs of healthcare utilization</w:t>
      </w:r>
    </w:p>
    <w:p w14:paraId="603679DF" w14:textId="4978134D" w:rsidR="00787C26" w:rsidRDefault="00787C26" w:rsidP="00787C26">
      <w:r>
        <w:t>We accounted for the costs of EMS (i.e., ambulance) responses to opioid overdoses and the costs of utilization of outpatient, ED, inpatient, and residential behavioral health (BH) services.  The cost of an EMS response to an overdose was based on the average reimbursement for procedure code A0427 (</w:t>
      </w:r>
      <w:r w:rsidRPr="00F0661A">
        <w:t>Advanced Life Support, emergency, Level I</w:t>
      </w:r>
      <w:r>
        <w:t xml:space="preserve">) in rural areas across the areas representing the HCS communities in the 2021 Medicare Ambulance Fee Schedule </w:t>
      </w:r>
      <w:r>
        <w:fldChar w:fldCharType="begin"/>
      </w:r>
      <w:r w:rsidR="0037266D">
        <w:instrText xml:space="preserve"> ADDIN EN.CITE &lt;EndNote&gt;&lt;Cite&gt;&lt;Author&gt;Centers for Medicare &amp;amp; Medicaid Services&lt;/Author&gt;&lt;Year&gt;2023&lt;/Year&gt;&lt;RecNum&gt;5&lt;/RecNum&gt;&lt;DisplayText&gt;&lt;style face="superscript"&gt;45&lt;/style&gt;&lt;/DisplayText&gt;&lt;record&gt;&lt;rec-number&gt;5&lt;/rec-number&gt;&lt;foreign-keys&gt;&lt;key app="EN" db-id="vvr02fsw8wr2f5et2p8pzr0qs25d59ewpfta" timestamp="1715201446"&gt;5&lt;/key&gt;&lt;/foreign-keys&gt;&lt;ref-type name="Report"&gt;27&lt;/ref-type&gt;&lt;contributors&gt;&lt;authors&gt;&lt;author&gt;Centers for Medicare &amp;amp; Medicaid Services,&lt;/author&gt;&lt;/authors&gt;&lt;/contributors&gt;&lt;titles&gt;&lt;title&gt;Ambulance Fee Schedule Public Use Files&lt;/title&gt;&lt;/titles&gt;&lt;dates&gt;&lt;year&gt;2023&lt;/year&gt;&lt;/dates&gt;&lt;urls&gt;&lt;related-urls&gt;&lt;url&gt;https://www.cms.gov/medicare/payment/fee-schedules/ambulance/ambulance-fee-schedule-public-use-files&lt;/url&gt;&lt;/related-urls&gt;&lt;/urls&gt;&lt;/record&gt;&lt;/Cite&gt;&lt;/EndNote&gt;</w:instrText>
      </w:r>
      <w:r>
        <w:fldChar w:fldCharType="separate"/>
      </w:r>
      <w:r w:rsidR="0037266D" w:rsidRPr="0037266D">
        <w:rPr>
          <w:noProof/>
          <w:vertAlign w:val="superscript"/>
        </w:rPr>
        <w:t>45</w:t>
      </w:r>
      <w:r>
        <w:fldChar w:fldCharType="end"/>
      </w:r>
      <w:r>
        <w:t xml:space="preserve">. The rural rate was used because it was considered most representative of HCS communities. The cost of an EMS response was $470 in 2023 dollars and was applied to all reported non-fatal overdoses in the model. </w:t>
      </w:r>
    </w:p>
    <w:p w14:paraId="24EE47A4" w14:textId="0376B0A6" w:rsidR="00787C26" w:rsidRDefault="00787C26" w:rsidP="00787C26">
      <w:r>
        <w:lastRenderedPageBreak/>
        <w:t xml:space="preserve">The costs of utilization of outpatient, ED, inpatient, and residential BH services were computed based on unit costs from various sources and Medicaid claims data gathered from HCS communities. The HCS study team obtained ten community-level measures of the count of healthcare interactions across outpatient (intensive BH, non-intensive BH and non-BH visits), ED (BH and non-BH visits), inpatient (detoxification, non-detoxification BH, and non-BH nights), and residential (detoxification and non-detoxification nights). Unit costs for outpatient visits were obtained from the Medicare Physician Fee Schedule ($81 and $97 for BH and non-BH, respectively in 2023 dollars); from McCollister and colleagues </w:t>
      </w:r>
      <w:r>
        <w:fldChar w:fldCharType="begin"/>
      </w:r>
      <w:r w:rsidR="0037266D">
        <w:instrText xml:space="preserve"> ADDIN EN.CITE &lt;EndNote&gt;&lt;Cite ExcludeAuth="1"&gt;&lt;Author&gt;McCollister&lt;/Author&gt;&lt;Year&gt;2017&lt;/Year&gt;&lt;RecNum&gt;17&lt;/RecNum&gt;&lt;DisplayText&gt;&lt;style face="superscript"&gt;46&lt;/style&gt;&lt;/DisplayText&gt;&lt;record&gt;&lt;rec-number&gt;17&lt;/rec-number&gt;&lt;foreign-keys&gt;&lt;key app="EN" db-id="vvr02fsw8wr2f5et2p8pzr0qs25d59ewpfta" timestamp="1717177716"&gt;17&lt;/key&gt;&lt;/foreign-keys&gt;&lt;ref-type name="Journal Article"&gt;17&lt;/ref-type&gt;&lt;contributors&gt;&lt;authors&gt;&lt;author&gt;McCollister, Kathryn&lt;/author&gt;&lt;author&gt;Yang, Xuan&lt;/author&gt;&lt;author&gt;Sayed, Bisma&lt;/author&gt;&lt;author&gt;French, Michael T&lt;/author&gt;&lt;author&gt;Leff, Jared A&lt;/author&gt;&lt;author&gt;Schackman, Bruce R&lt;/author&gt;&lt;/authors&gt;&lt;/contributors&gt;&lt;titles&gt;&lt;title&gt;Monetary conversion factors for economic evaluations of substance use disorders&lt;/title&gt;&lt;secondary-title&gt;Journal of substance abuse treatment&lt;/secondary-title&gt;&lt;/titles&gt;&lt;periodical&gt;&lt;full-title&gt;Journal of Substance Abuse Treatment&lt;/full-title&gt;&lt;/periodical&gt;&lt;pages&gt;25-34&lt;/pages&gt;&lt;volume&gt;81&lt;/volume&gt;&lt;dates&gt;&lt;year&gt;2017&lt;/year&gt;&lt;/dates&gt;&lt;isbn&gt;0740-5472&lt;/isbn&gt;&lt;urls&gt;&lt;/urls&gt;&lt;/record&gt;&lt;/Cite&gt;&lt;/EndNote&gt;</w:instrText>
      </w:r>
      <w:r>
        <w:fldChar w:fldCharType="separate"/>
      </w:r>
      <w:r w:rsidR="0037266D" w:rsidRPr="0037266D">
        <w:rPr>
          <w:noProof/>
          <w:vertAlign w:val="superscript"/>
        </w:rPr>
        <w:t>46</w:t>
      </w:r>
      <w:r>
        <w:fldChar w:fldCharType="end"/>
      </w:r>
      <w:r>
        <w:t xml:space="preserve"> for intensive BH outpatient ($87 per visit), inpatient detoxification ($450 per night), and residential treatment ($185 per night); and from the Healthcare Utilization Project (HCUP) for ED visits ($578 for BH ; $485 for non-BH) and non-detoxification inpatient nights ($1,268 for BH; $3,137 for non-BH) </w:t>
      </w:r>
      <w:r>
        <w:fldChar w:fldCharType="begin"/>
      </w:r>
      <w:r w:rsidR="0037266D">
        <w:instrText xml:space="preserve"> ADDIN EN.CITE &lt;EndNote&gt;&lt;Cite&gt;&lt;Author&gt;Karaca&lt;/Author&gt;&lt;Year&gt;2020&lt;/Year&gt;&lt;RecNum&gt;19&lt;/RecNum&gt;&lt;DisplayText&gt;&lt;style face="superscript"&gt;47&lt;/style&gt;&lt;/DisplayText&gt;&lt;record&gt;&lt;rec-number&gt;19&lt;/rec-number&gt;&lt;foreign-keys&gt;&lt;key app="EN" db-id="vvr02fsw8wr2f5et2p8pzr0qs25d59ewpfta" timestamp="1717177846"&gt;19&lt;/key&gt;&lt;/foreign-keys&gt;&lt;ref-type name="Report"&gt;27&lt;/ref-type&gt;&lt;contributors&gt;&lt;authors&gt;&lt;author&gt;Karaca, Z&lt;/author&gt;&lt;author&gt;Moore, BJ&lt;/author&gt;&lt;/authors&gt;&lt;/contributors&gt;&lt;titles&gt;&lt;title&gt;Costs of Emergency Department Visits for Mental and Substance Use Disorders in the United States, 2017&lt;/title&gt;&lt;/titles&gt;&lt;dates&gt;&lt;year&gt;2020&lt;/year&gt;&lt;/dates&gt;&lt;urls&gt;&lt;related-urls&gt;&lt;url&gt;https://hcup-us.ahrq.gov/reports/statbriefs/sb257-ED-Costs-Mental-Substance-Use-Disorders-2017.pdf&lt;/url&gt;&lt;/related-urls&gt;&lt;/urls&gt;&lt;/record&gt;&lt;/Cite&gt;&lt;/EndNote&gt;</w:instrText>
      </w:r>
      <w:r>
        <w:fldChar w:fldCharType="separate"/>
      </w:r>
      <w:r w:rsidR="0037266D" w:rsidRPr="0037266D">
        <w:rPr>
          <w:noProof/>
          <w:vertAlign w:val="superscript"/>
        </w:rPr>
        <w:t>47</w:t>
      </w:r>
      <w:r>
        <w:fldChar w:fldCharType="end"/>
      </w:r>
      <w:r>
        <w:t>.</w:t>
      </w:r>
    </w:p>
    <w:p w14:paraId="643F1A12" w14:textId="3E28A5F0" w:rsidR="00787C26" w:rsidRDefault="00787C26" w:rsidP="00787C26">
      <w:r>
        <w:t xml:space="preserve">The community-level counts from the Medicaid claims data over the period from January 2020 – June 2022 were multiplied by the unit costs described above and categorized into outpatient, ED, inpatient, and residential services. To avoid double-counting bundled services provided to OTP patients, the total cost of methadone treatment in each community was subtracted from total outpatient costs. These community-specific sums represented the total cost of outpatient, ED, inpatient, and residential services provided to Medicaid beneficiaries in each of the </w:t>
      </w:r>
      <w:r w:rsidR="006C71A2">
        <w:t>26</w:t>
      </w:r>
      <w:r>
        <w:t xml:space="preserve"> communities included in the model. We applied two adjustments to these values so that they would represent the total cost of these types of care for all individuals in the model. First, we extrapolated these values from Medicaid to the full population using the following formula:</w:t>
      </w:r>
    </w:p>
    <w:p w14:paraId="63D806EB" w14:textId="77777777" w:rsidR="00787C26" w:rsidRDefault="00000000" w:rsidP="00787C26">
      <m:oMath>
        <m:sSub>
          <m:sSubPr>
            <m:ctrlPr>
              <w:rPr>
                <w:rFonts w:ascii="Cambria Math" w:hAnsi="Cambria Math"/>
                <w:i/>
              </w:rPr>
            </m:ctrlPr>
          </m:sSubPr>
          <m:e>
            <m:r>
              <w:rPr>
                <w:rFonts w:ascii="Cambria Math" w:hAnsi="Cambria Math"/>
              </w:rPr>
              <m:t>Cost_all</m:t>
            </m:r>
          </m:e>
          <m:sub>
            <m:r>
              <w:rPr>
                <w:rFonts w:ascii="Cambria Math" w:hAnsi="Cambria Math"/>
              </w:rPr>
              <m:t>h,c</m:t>
            </m:r>
          </m:sub>
        </m:sSub>
        <m:r>
          <w:rPr>
            <w:rFonts w:ascii="Cambria Math" w:hAnsi="Cambria Math"/>
          </w:rPr>
          <m:t>=</m:t>
        </m:r>
        <m:sSub>
          <m:sSubPr>
            <m:ctrlPr>
              <w:rPr>
                <w:rFonts w:ascii="Cambria Math" w:hAnsi="Cambria Math"/>
                <w:i/>
              </w:rPr>
            </m:ctrlPr>
          </m:sSubPr>
          <m:e>
            <m:r>
              <w:rPr>
                <w:rFonts w:ascii="Cambria Math" w:hAnsi="Cambria Math"/>
              </w:rPr>
              <m:t>Cost_mdcd</m:t>
            </m:r>
          </m:e>
          <m:sub>
            <m:r>
              <w:rPr>
                <w:rFonts w:ascii="Cambria Math" w:hAnsi="Cambria Math"/>
              </w:rPr>
              <m:t>h, c</m:t>
            </m:r>
          </m:sub>
        </m:sSub>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Po</m:t>
                </m:r>
                <m:sSub>
                  <m:sSubPr>
                    <m:ctrlPr>
                      <w:rPr>
                        <w:rFonts w:ascii="Cambria Math" w:hAnsi="Cambria Math"/>
                        <w:i/>
                      </w:rPr>
                    </m:ctrlPr>
                  </m:sSubPr>
                  <m:e>
                    <m:r>
                      <w:rPr>
                        <w:rFonts w:ascii="Cambria Math" w:hAnsi="Cambria Math"/>
                      </w:rPr>
                      <m:t>p</m:t>
                    </m:r>
                  </m:e>
                  <m:sub>
                    <m:r>
                      <w:rPr>
                        <w:rFonts w:ascii="Cambria Math" w:hAnsi="Cambria Math"/>
                      </w:rPr>
                      <m:t>all</m:t>
                    </m:r>
                  </m:sub>
                </m:sSub>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Po</m:t>
                </m:r>
                <m:sSub>
                  <m:sSubPr>
                    <m:ctrlPr>
                      <w:rPr>
                        <w:rFonts w:ascii="Cambria Math" w:hAnsi="Cambria Math"/>
                        <w:i/>
                      </w:rPr>
                    </m:ctrlPr>
                  </m:sSubPr>
                  <m:e>
                    <m:r>
                      <w:rPr>
                        <w:rFonts w:ascii="Cambria Math" w:hAnsi="Cambria Math"/>
                      </w:rPr>
                      <m:t>p</m:t>
                    </m:r>
                  </m:e>
                  <m:sub>
                    <m:r>
                      <w:rPr>
                        <w:rFonts w:ascii="Cambria Math" w:hAnsi="Cambria Math"/>
                      </w:rPr>
                      <m:t>mdcd</m:t>
                    </m:r>
                  </m:sub>
                </m:sSub>
              </m:e>
              <m:sub>
                <m:r>
                  <w:rPr>
                    <w:rFonts w:ascii="Cambria Math" w:hAnsi="Cambria Math"/>
                  </w:rPr>
                  <m:t>c</m:t>
                </m:r>
              </m:sub>
            </m:sSub>
          </m:num>
          <m:den>
            <m:sSub>
              <m:sSubPr>
                <m:ctrlPr>
                  <w:rPr>
                    <w:rFonts w:ascii="Cambria Math" w:hAnsi="Cambria Math"/>
                    <w:i/>
                  </w:rPr>
                </m:ctrlPr>
              </m:sSubPr>
              <m:e>
                <m:r>
                  <w:rPr>
                    <w:rFonts w:ascii="Cambria Math" w:hAnsi="Cambria Math"/>
                  </w:rPr>
                  <m:t>Po</m:t>
                </m:r>
                <m:sSub>
                  <m:sSubPr>
                    <m:ctrlPr>
                      <w:rPr>
                        <w:rFonts w:ascii="Cambria Math" w:hAnsi="Cambria Math"/>
                        <w:i/>
                      </w:rPr>
                    </m:ctrlPr>
                  </m:sSubPr>
                  <m:e>
                    <m:r>
                      <w:rPr>
                        <w:rFonts w:ascii="Cambria Math" w:hAnsi="Cambria Math"/>
                      </w:rPr>
                      <m:t>p</m:t>
                    </m:r>
                  </m:e>
                  <m:sub>
                    <m:r>
                      <w:rPr>
                        <w:rFonts w:ascii="Cambria Math" w:hAnsi="Cambria Math"/>
                      </w:rPr>
                      <m:t>mdcd</m:t>
                    </m:r>
                  </m:sub>
                </m:sSub>
              </m:e>
              <m:sub>
                <m:r>
                  <w:rPr>
                    <w:rFonts w:ascii="Cambria Math" w:hAnsi="Cambria Math"/>
                  </w:rPr>
                  <m:t>c</m:t>
                </m:r>
              </m:sub>
            </m:sSub>
          </m:den>
        </m:f>
        <m:r>
          <w:rPr>
            <w:rFonts w:ascii="Cambria Math" w:hAnsi="Cambria Math"/>
          </w:rPr>
          <m:t>*</m:t>
        </m:r>
        <m:sSub>
          <m:sSubPr>
            <m:ctrlPr>
              <w:rPr>
                <w:rFonts w:ascii="Cambria Math" w:hAnsi="Cambria Math"/>
                <w:i/>
              </w:rPr>
            </m:ctrlPr>
          </m:sSubPr>
          <m:e>
            <m:r>
              <w:rPr>
                <w:rFonts w:ascii="Cambria Math" w:hAnsi="Cambria Math"/>
              </w:rPr>
              <m:t>MedicaidRatio</m:t>
            </m:r>
          </m:e>
          <m:sub>
            <m:r>
              <w:rPr>
                <w:rFonts w:ascii="Cambria Math" w:hAnsi="Cambria Math"/>
              </w:rPr>
              <m:t>h</m:t>
            </m:r>
          </m:sub>
        </m:sSub>
        <m:r>
          <w:rPr>
            <w:rFonts w:ascii="Cambria Math" w:hAnsi="Cambria Math"/>
          </w:rPr>
          <m:t>)</m:t>
        </m:r>
      </m:oMath>
      <w:r w:rsidR="00787C26">
        <w:t xml:space="preserve">, </w:t>
      </w:r>
    </w:p>
    <w:p w14:paraId="718E522A" w14:textId="77777777" w:rsidR="00787C26" w:rsidRDefault="00787C26" w:rsidP="00787C26">
      <w:r>
        <w:t xml:space="preserve">where </w:t>
      </w:r>
      <m:oMath>
        <m:sSub>
          <m:sSubPr>
            <m:ctrlPr>
              <w:rPr>
                <w:rFonts w:ascii="Cambria Math" w:hAnsi="Cambria Math"/>
                <w:i/>
              </w:rPr>
            </m:ctrlPr>
          </m:sSubPr>
          <m:e>
            <m:r>
              <w:rPr>
                <w:rFonts w:ascii="Cambria Math" w:hAnsi="Cambria Math"/>
              </w:rPr>
              <m:t>Cost_mdcd</m:t>
            </m:r>
          </m:e>
          <m:sub>
            <m:r>
              <w:rPr>
                <w:rFonts w:ascii="Cambria Math" w:hAnsi="Cambria Math"/>
              </w:rPr>
              <m:t>h, c</m:t>
            </m:r>
          </m:sub>
        </m:sSub>
      </m:oMath>
      <w:r>
        <w:t xml:space="preserve"> is the cost obtained by the product of the unit costs and counts for healthcare setting h and community c, </w:t>
      </w:r>
      <m:oMath>
        <m:sSub>
          <m:sSubPr>
            <m:ctrlPr>
              <w:rPr>
                <w:rFonts w:ascii="Cambria Math" w:hAnsi="Cambria Math"/>
                <w:i/>
              </w:rPr>
            </m:ctrlPr>
          </m:sSubPr>
          <m:e>
            <m:r>
              <w:rPr>
                <w:rFonts w:ascii="Cambria Math" w:hAnsi="Cambria Math"/>
              </w:rPr>
              <m:t>Po</m:t>
            </m:r>
            <m:sSub>
              <m:sSubPr>
                <m:ctrlPr>
                  <w:rPr>
                    <w:rFonts w:ascii="Cambria Math" w:hAnsi="Cambria Math"/>
                    <w:i/>
                  </w:rPr>
                </m:ctrlPr>
              </m:sSubPr>
              <m:e>
                <m:r>
                  <w:rPr>
                    <w:rFonts w:ascii="Cambria Math" w:hAnsi="Cambria Math"/>
                  </w:rPr>
                  <m:t>p</m:t>
                </m:r>
              </m:e>
              <m:sub>
                <m:r>
                  <w:rPr>
                    <w:rFonts w:ascii="Cambria Math" w:hAnsi="Cambria Math"/>
                  </w:rPr>
                  <m:t>all</m:t>
                </m:r>
              </m:sub>
            </m:sSub>
          </m:e>
          <m:sub>
            <m:r>
              <w:rPr>
                <w:rFonts w:ascii="Cambria Math" w:hAnsi="Cambria Math"/>
              </w:rPr>
              <m:t>c</m:t>
            </m:r>
          </m:sub>
        </m:sSub>
      </m:oMath>
      <w:r>
        <w:t xml:space="preserve"> and </w:t>
      </w:r>
      <m:oMath>
        <m:sSub>
          <m:sSubPr>
            <m:ctrlPr>
              <w:rPr>
                <w:rFonts w:ascii="Cambria Math" w:hAnsi="Cambria Math"/>
                <w:i/>
              </w:rPr>
            </m:ctrlPr>
          </m:sSubPr>
          <m:e>
            <m:r>
              <w:rPr>
                <w:rFonts w:ascii="Cambria Math" w:hAnsi="Cambria Math"/>
              </w:rPr>
              <m:t>Po</m:t>
            </m:r>
            <m:sSub>
              <m:sSubPr>
                <m:ctrlPr>
                  <w:rPr>
                    <w:rFonts w:ascii="Cambria Math" w:hAnsi="Cambria Math"/>
                    <w:i/>
                  </w:rPr>
                </m:ctrlPr>
              </m:sSubPr>
              <m:e>
                <m:r>
                  <w:rPr>
                    <w:rFonts w:ascii="Cambria Math" w:hAnsi="Cambria Math"/>
                  </w:rPr>
                  <m:t>p</m:t>
                </m:r>
              </m:e>
              <m:sub>
                <m:r>
                  <w:rPr>
                    <w:rFonts w:ascii="Cambria Math" w:hAnsi="Cambria Math"/>
                  </w:rPr>
                  <m:t>mdcd</m:t>
                </m:r>
              </m:sub>
            </m:sSub>
          </m:e>
          <m:sub>
            <m:r>
              <w:rPr>
                <w:rFonts w:ascii="Cambria Math" w:hAnsi="Cambria Math"/>
              </w:rPr>
              <m:t>c</m:t>
            </m:r>
          </m:sub>
        </m:sSub>
      </m:oMath>
      <w:r>
        <w:t xml:space="preserve"> represent the total and Medicaid beneficiary populations for community c, and </w:t>
      </w:r>
      <m:oMath>
        <m:sSub>
          <m:sSubPr>
            <m:ctrlPr>
              <w:rPr>
                <w:rFonts w:ascii="Cambria Math" w:hAnsi="Cambria Math"/>
                <w:i/>
              </w:rPr>
            </m:ctrlPr>
          </m:sSubPr>
          <m:e>
            <m:r>
              <w:rPr>
                <w:rFonts w:ascii="Cambria Math" w:hAnsi="Cambria Math"/>
              </w:rPr>
              <m:t>MedicaidRatio</m:t>
            </m:r>
          </m:e>
          <m:sub>
            <m:r>
              <w:rPr>
                <w:rFonts w:ascii="Cambria Math" w:hAnsi="Cambria Math"/>
              </w:rPr>
              <m:t>h</m:t>
            </m:r>
          </m:sub>
        </m:sSub>
      </m:oMath>
      <w:r>
        <w:t xml:space="preserve"> is the ratio of the utilization of services from healthcare setting h for an average non-Medicaid beneficiary compared to an average Medicaid beneficiary. The values for </w:t>
      </w:r>
      <m:oMath>
        <m:sSub>
          <m:sSubPr>
            <m:ctrlPr>
              <w:rPr>
                <w:rFonts w:ascii="Cambria Math" w:hAnsi="Cambria Math"/>
                <w:i/>
              </w:rPr>
            </m:ctrlPr>
          </m:sSubPr>
          <m:e>
            <m:r>
              <w:rPr>
                <w:rFonts w:ascii="Cambria Math" w:hAnsi="Cambria Math"/>
              </w:rPr>
              <m:t>MedicaidRatio</m:t>
            </m:r>
          </m:e>
          <m:sub>
            <m:r>
              <w:rPr>
                <w:rFonts w:ascii="Cambria Math" w:hAnsi="Cambria Math"/>
              </w:rPr>
              <m:t>h</m:t>
            </m:r>
          </m:sub>
        </m:sSub>
      </m:oMath>
      <w:r>
        <w:t xml:space="preserve"> were obtained from the National Survey on Drug Use and Health (NSDUH) public use files from 2018 and 2019 and were 0.799 for outpatient, 0.449 for ED, 0.487 for inpatient, and 0.185 for residential services. Second, we limited the scope of the community-level costs to represent only individuals represented by the model using the following formula:</w:t>
      </w:r>
    </w:p>
    <w:p w14:paraId="7BF30B91" w14:textId="77777777" w:rsidR="00787C26" w:rsidRDefault="00000000" w:rsidP="00787C26">
      <m:oMath>
        <m:sSub>
          <m:sSubPr>
            <m:ctrlPr>
              <w:rPr>
                <w:rFonts w:ascii="Cambria Math" w:hAnsi="Cambria Math"/>
                <w:i/>
              </w:rPr>
            </m:ctrlPr>
          </m:sSubPr>
          <m:e>
            <m:r>
              <w:rPr>
                <w:rFonts w:ascii="Cambria Math" w:hAnsi="Cambria Math"/>
              </w:rPr>
              <m:t>Cost_model</m:t>
            </m:r>
          </m:e>
          <m:sub>
            <m:r>
              <w:rPr>
                <w:rFonts w:ascii="Cambria Math" w:hAnsi="Cambria Math"/>
              </w:rPr>
              <m:t>h,c</m:t>
            </m:r>
          </m:sub>
        </m:sSub>
        <m:r>
          <w:rPr>
            <w:rFonts w:ascii="Cambria Math" w:hAnsi="Cambria Math"/>
          </w:rPr>
          <m:t>=</m:t>
        </m:r>
        <m:sSub>
          <m:sSubPr>
            <m:ctrlPr>
              <w:rPr>
                <w:rFonts w:ascii="Cambria Math" w:hAnsi="Cambria Math"/>
                <w:i/>
              </w:rPr>
            </m:ctrlPr>
          </m:sSubPr>
          <m:e>
            <m:r>
              <w:rPr>
                <w:rFonts w:ascii="Cambria Math" w:hAnsi="Cambria Math"/>
              </w:rPr>
              <m:t>Cost_all</m:t>
            </m:r>
          </m:e>
          <m:sub>
            <m:r>
              <w:rPr>
                <w:rFonts w:ascii="Cambria Math" w:hAnsi="Cambria Math"/>
              </w:rPr>
              <m:t>h, c</m:t>
            </m:r>
          </m:sub>
        </m:sSub>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Po</m:t>
                </m:r>
                <m:sSub>
                  <m:sSubPr>
                    <m:ctrlPr>
                      <w:rPr>
                        <w:rFonts w:ascii="Cambria Math" w:hAnsi="Cambria Math"/>
                        <w:i/>
                      </w:rPr>
                    </m:ctrlPr>
                  </m:sSubPr>
                  <m:e>
                    <m:r>
                      <w:rPr>
                        <w:rFonts w:ascii="Cambria Math" w:hAnsi="Cambria Math"/>
                      </w:rPr>
                      <m:t>p</m:t>
                    </m:r>
                  </m:e>
                  <m:sub>
                    <m:r>
                      <w:rPr>
                        <w:rFonts w:ascii="Cambria Math" w:hAnsi="Cambria Math"/>
                      </w:rPr>
                      <m:t>all</m:t>
                    </m:r>
                  </m:sub>
                </m:sSub>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Po</m:t>
                </m:r>
                <m:sSub>
                  <m:sSubPr>
                    <m:ctrlPr>
                      <w:rPr>
                        <w:rFonts w:ascii="Cambria Math" w:hAnsi="Cambria Math"/>
                        <w:i/>
                      </w:rPr>
                    </m:ctrlPr>
                  </m:sSubPr>
                  <m:e>
                    <m:r>
                      <w:rPr>
                        <w:rFonts w:ascii="Cambria Math" w:hAnsi="Cambria Math"/>
                      </w:rPr>
                      <m:t>p</m:t>
                    </m:r>
                  </m:e>
                  <m:sub>
                    <m:r>
                      <w:rPr>
                        <w:rFonts w:ascii="Cambria Math" w:hAnsi="Cambria Math"/>
                      </w:rPr>
                      <m:t>model</m:t>
                    </m:r>
                  </m:sub>
                </m:sSub>
              </m:e>
              <m:sub>
                <m:r>
                  <w:rPr>
                    <w:rFonts w:ascii="Cambria Math" w:hAnsi="Cambria Math"/>
                  </w:rPr>
                  <m:t>c</m:t>
                </m:r>
              </m:sub>
            </m:sSub>
          </m:num>
          <m:den>
            <m:sSub>
              <m:sSubPr>
                <m:ctrlPr>
                  <w:rPr>
                    <w:rFonts w:ascii="Cambria Math" w:hAnsi="Cambria Math"/>
                    <w:i/>
                  </w:rPr>
                </m:ctrlPr>
              </m:sSubPr>
              <m:e>
                <m:r>
                  <w:rPr>
                    <w:rFonts w:ascii="Cambria Math" w:hAnsi="Cambria Math"/>
                  </w:rPr>
                  <m:t>Po</m:t>
                </m:r>
                <m:sSub>
                  <m:sSubPr>
                    <m:ctrlPr>
                      <w:rPr>
                        <w:rFonts w:ascii="Cambria Math" w:hAnsi="Cambria Math"/>
                        <w:i/>
                      </w:rPr>
                    </m:ctrlPr>
                  </m:sSubPr>
                  <m:e>
                    <m:r>
                      <w:rPr>
                        <w:rFonts w:ascii="Cambria Math" w:hAnsi="Cambria Math"/>
                      </w:rPr>
                      <m:t>p</m:t>
                    </m:r>
                  </m:e>
                  <m:sub>
                    <m:r>
                      <w:rPr>
                        <w:rFonts w:ascii="Cambria Math" w:hAnsi="Cambria Math"/>
                      </w:rPr>
                      <m:t>all</m:t>
                    </m:r>
                  </m:sub>
                </m:sSub>
              </m:e>
              <m:sub>
                <m:r>
                  <w:rPr>
                    <w:rFonts w:ascii="Cambria Math" w:hAnsi="Cambria Math"/>
                  </w:rPr>
                  <m:t>c</m:t>
                </m:r>
              </m:sub>
            </m:sSub>
          </m:den>
        </m:f>
        <m:r>
          <w:rPr>
            <w:rFonts w:ascii="Cambria Math" w:hAnsi="Cambria Math"/>
          </w:rPr>
          <m:t>*</m:t>
        </m:r>
        <m:sSub>
          <m:sSubPr>
            <m:ctrlPr>
              <w:rPr>
                <w:rFonts w:ascii="Cambria Math" w:hAnsi="Cambria Math"/>
                <w:i/>
              </w:rPr>
            </m:ctrlPr>
          </m:sSubPr>
          <m:e>
            <m:r>
              <w:rPr>
                <w:rFonts w:ascii="Cambria Math" w:hAnsi="Cambria Math"/>
              </w:rPr>
              <m:t>ModelRatio</m:t>
            </m:r>
          </m:e>
          <m:sub>
            <m:r>
              <w:rPr>
                <w:rFonts w:ascii="Cambria Math" w:hAnsi="Cambria Math"/>
              </w:rPr>
              <m:t>h</m:t>
            </m:r>
          </m:sub>
        </m:sSub>
        <m:r>
          <w:rPr>
            <w:rFonts w:ascii="Cambria Math" w:hAnsi="Cambria Math"/>
          </w:rPr>
          <m:t>)</m:t>
        </m:r>
      </m:oMath>
      <w:r w:rsidR="00787C26">
        <w:t xml:space="preserve">, </w:t>
      </w:r>
    </w:p>
    <w:p w14:paraId="360FB2B0" w14:textId="280737C9" w:rsidR="00787C26" w:rsidRDefault="00787C26" w:rsidP="00787C26">
      <w:r>
        <w:t xml:space="preserve">where </w:t>
      </w:r>
      <m:oMath>
        <m:sSub>
          <m:sSubPr>
            <m:ctrlPr>
              <w:rPr>
                <w:rFonts w:ascii="Cambria Math" w:hAnsi="Cambria Math"/>
                <w:i/>
              </w:rPr>
            </m:ctrlPr>
          </m:sSubPr>
          <m:e>
            <m:r>
              <w:rPr>
                <w:rFonts w:ascii="Cambria Math" w:hAnsi="Cambria Math"/>
              </w:rPr>
              <m:t>Po</m:t>
            </m:r>
            <m:sSub>
              <m:sSubPr>
                <m:ctrlPr>
                  <w:rPr>
                    <w:rFonts w:ascii="Cambria Math" w:hAnsi="Cambria Math"/>
                    <w:i/>
                  </w:rPr>
                </m:ctrlPr>
              </m:sSubPr>
              <m:e>
                <m:r>
                  <w:rPr>
                    <w:rFonts w:ascii="Cambria Math" w:hAnsi="Cambria Math"/>
                  </w:rPr>
                  <m:t>p</m:t>
                </m:r>
              </m:e>
              <m:sub>
                <m:r>
                  <w:rPr>
                    <w:rFonts w:ascii="Cambria Math" w:hAnsi="Cambria Math"/>
                  </w:rPr>
                  <m:t>model</m:t>
                </m:r>
              </m:sub>
            </m:sSub>
          </m:e>
          <m:sub>
            <m:r>
              <w:rPr>
                <w:rFonts w:ascii="Cambria Math" w:hAnsi="Cambria Math"/>
              </w:rPr>
              <m:t>c</m:t>
            </m:r>
          </m:sub>
        </m:sSub>
      </m:oMath>
      <w:r>
        <w:t xml:space="preserve"> is the number of people represented in the model obtained from output from the microsimulation and </w:t>
      </w:r>
      <m:oMath>
        <m:sSub>
          <m:sSubPr>
            <m:ctrlPr>
              <w:rPr>
                <w:rFonts w:ascii="Cambria Math" w:hAnsi="Cambria Math"/>
                <w:i/>
              </w:rPr>
            </m:ctrlPr>
          </m:sSubPr>
          <m:e>
            <m:r>
              <w:rPr>
                <w:rFonts w:ascii="Cambria Math" w:hAnsi="Cambria Math"/>
              </w:rPr>
              <m:t>ModelRatio</m:t>
            </m:r>
          </m:e>
          <m:sub>
            <m:r>
              <w:rPr>
                <w:rFonts w:ascii="Cambria Math" w:hAnsi="Cambria Math"/>
              </w:rPr>
              <m:t>s</m:t>
            </m:r>
          </m:sub>
        </m:sSub>
      </m:oMath>
      <w:r>
        <w:t xml:space="preserve"> is the ratio of the utilization of services from healthcare setting h for an average person represented by the model compared to an average person (regardless of whether they are represented by the model or not. The values from </w:t>
      </w:r>
      <m:oMath>
        <m:sSub>
          <m:sSubPr>
            <m:ctrlPr>
              <w:rPr>
                <w:rFonts w:ascii="Cambria Math" w:hAnsi="Cambria Math"/>
                <w:i/>
              </w:rPr>
            </m:ctrlPr>
          </m:sSubPr>
          <m:e>
            <m:r>
              <w:rPr>
                <w:rFonts w:ascii="Cambria Math" w:hAnsi="Cambria Math"/>
              </w:rPr>
              <m:t>ModelRatio</m:t>
            </m:r>
          </m:e>
          <m:sub>
            <m:r>
              <w:rPr>
                <w:rFonts w:ascii="Cambria Math" w:hAnsi="Cambria Math"/>
              </w:rPr>
              <m:t>h</m:t>
            </m:r>
          </m:sub>
        </m:sSub>
      </m:oMath>
      <w:r>
        <w:t xml:space="preserve"> were also obtained from the NSDUH public use files from 2018 and 2019. To obtain them, we defined a six-level variable in NSDUH to mirror as closely as possible the five </w:t>
      </w:r>
      <w:r w:rsidR="00CE2DA9">
        <w:t>mutually exclusive</w:t>
      </w:r>
      <w:r>
        <w:t xml:space="preserve"> states in the microsimulation (with the remainder excluded from the model). We assigned NSDUH respondents to these levels sequentially as follows:</w:t>
      </w:r>
    </w:p>
    <w:p w14:paraId="1346CAE7" w14:textId="77777777" w:rsidR="00787C26" w:rsidRPr="005439D4" w:rsidRDefault="00787C26" w:rsidP="00787C26">
      <w:pPr>
        <w:pStyle w:val="ListParagraph"/>
        <w:numPr>
          <w:ilvl w:val="0"/>
          <w:numId w:val="27"/>
        </w:numPr>
        <w:spacing w:line="259" w:lineRule="auto"/>
      </w:pPr>
      <w:r>
        <w:t xml:space="preserve">IF </w:t>
      </w:r>
      <w:r w:rsidRPr="00BA576E">
        <w:t xml:space="preserve">past-year use of methadone or buprenorphine </w:t>
      </w:r>
      <w:r>
        <w:t>AND</w:t>
      </w:r>
      <w:r w:rsidRPr="00BA576E">
        <w:t xml:space="preserve"> no past-month use of heroin or pain relievers, </w:t>
      </w:r>
      <w:r>
        <w:t xml:space="preserve">THEN </w:t>
      </w:r>
      <w:r>
        <w:rPr>
          <w:i/>
          <w:iCs/>
        </w:rPr>
        <w:t>RECOVERY WITH MOUD (MOUD)</w:t>
      </w:r>
      <w:r>
        <w:t>, ELSE</w:t>
      </w:r>
    </w:p>
    <w:p w14:paraId="1DE2C5E7" w14:textId="77777777" w:rsidR="00787C26" w:rsidRPr="005439D4" w:rsidRDefault="00787C26" w:rsidP="00787C26">
      <w:pPr>
        <w:pStyle w:val="ListParagraph"/>
        <w:numPr>
          <w:ilvl w:val="0"/>
          <w:numId w:val="27"/>
        </w:numPr>
        <w:spacing w:line="259" w:lineRule="auto"/>
      </w:pPr>
      <w:r>
        <w:t xml:space="preserve">IF past-year </w:t>
      </w:r>
      <w:r w:rsidRPr="00BA576E">
        <w:t xml:space="preserve">OUD </w:t>
      </w:r>
      <w:r>
        <w:t xml:space="preserve">THEN </w:t>
      </w:r>
      <w:r w:rsidRPr="001C58F6">
        <w:rPr>
          <w:i/>
          <w:iCs/>
        </w:rPr>
        <w:t>OUD</w:t>
      </w:r>
      <w:r>
        <w:t>, ELSE</w:t>
      </w:r>
    </w:p>
    <w:p w14:paraId="1FCEFB6C" w14:textId="77777777" w:rsidR="00787C26" w:rsidRPr="005439D4" w:rsidRDefault="00787C26" w:rsidP="00787C26">
      <w:pPr>
        <w:pStyle w:val="ListParagraph"/>
        <w:numPr>
          <w:ilvl w:val="0"/>
          <w:numId w:val="27"/>
        </w:numPr>
        <w:spacing w:line="259" w:lineRule="auto"/>
      </w:pPr>
      <w:r>
        <w:t xml:space="preserve">IF past-year heroin use, THEN </w:t>
      </w:r>
      <w:r w:rsidRPr="001C58F6">
        <w:rPr>
          <w:i/>
          <w:iCs/>
        </w:rPr>
        <w:t>ILLICIT OPIOID USE</w:t>
      </w:r>
      <w:r>
        <w:rPr>
          <w:i/>
          <w:iCs/>
        </w:rPr>
        <w:t xml:space="preserve"> (ILL)</w:t>
      </w:r>
      <w:r>
        <w:t>, ELSE,</w:t>
      </w:r>
    </w:p>
    <w:p w14:paraId="6290232B" w14:textId="221350CC" w:rsidR="00787C26" w:rsidRPr="000643E5" w:rsidRDefault="00787C26" w:rsidP="00787C26">
      <w:pPr>
        <w:pStyle w:val="ListParagraph"/>
        <w:numPr>
          <w:ilvl w:val="0"/>
          <w:numId w:val="27"/>
        </w:numPr>
        <w:spacing w:line="259" w:lineRule="auto"/>
      </w:pPr>
      <w:r>
        <w:t xml:space="preserve">IF </w:t>
      </w:r>
      <w:r w:rsidR="00CE2DA9">
        <w:t>past year</w:t>
      </w:r>
      <w:r>
        <w:t xml:space="preserve"> non-medical pain reliever use, THEN </w:t>
      </w:r>
      <w:r w:rsidRPr="001C58F6">
        <w:rPr>
          <w:i/>
          <w:iCs/>
        </w:rPr>
        <w:t xml:space="preserve">PRESCRIPTION OPIOID </w:t>
      </w:r>
      <w:r>
        <w:rPr>
          <w:i/>
          <w:iCs/>
        </w:rPr>
        <w:t>MIS</w:t>
      </w:r>
      <w:r w:rsidRPr="001C58F6">
        <w:rPr>
          <w:i/>
          <w:iCs/>
        </w:rPr>
        <w:t>USE</w:t>
      </w:r>
      <w:r>
        <w:rPr>
          <w:i/>
          <w:iCs/>
        </w:rPr>
        <w:t xml:space="preserve"> (RX)</w:t>
      </w:r>
      <w:r>
        <w:t>, ELSE</w:t>
      </w:r>
    </w:p>
    <w:p w14:paraId="4EA206A8" w14:textId="77777777" w:rsidR="00787C26" w:rsidRPr="00423F71" w:rsidRDefault="00787C26" w:rsidP="00787C26">
      <w:pPr>
        <w:pStyle w:val="ListParagraph"/>
        <w:numPr>
          <w:ilvl w:val="0"/>
          <w:numId w:val="27"/>
        </w:numPr>
        <w:spacing w:line="259" w:lineRule="auto"/>
      </w:pPr>
      <w:r>
        <w:t xml:space="preserve">IF lifetime heroin or non-medical pain reliever use, THEN </w:t>
      </w:r>
      <w:r w:rsidRPr="001C58F6">
        <w:rPr>
          <w:i/>
          <w:iCs/>
        </w:rPr>
        <w:t>RECOVERY</w:t>
      </w:r>
      <w:r>
        <w:rPr>
          <w:i/>
          <w:iCs/>
        </w:rPr>
        <w:t xml:space="preserve"> (REC)</w:t>
      </w:r>
      <w:r>
        <w:t>, ELSE</w:t>
      </w:r>
    </w:p>
    <w:p w14:paraId="38E6334C" w14:textId="77777777" w:rsidR="00787C26" w:rsidRPr="00423F71" w:rsidRDefault="00787C26" w:rsidP="00787C26">
      <w:pPr>
        <w:pStyle w:val="ListParagraph"/>
        <w:numPr>
          <w:ilvl w:val="0"/>
          <w:numId w:val="27"/>
        </w:numPr>
        <w:spacing w:line="259" w:lineRule="auto"/>
      </w:pPr>
      <w:r>
        <w:t>Out of model</w:t>
      </w:r>
    </w:p>
    <w:p w14:paraId="724AC366" w14:textId="77777777" w:rsidR="00787C26" w:rsidRDefault="00787C26" w:rsidP="00787C26">
      <w:r>
        <w:t xml:space="preserve">Our healthcare setting-specific values of </w:t>
      </w:r>
      <m:oMath>
        <m:sSub>
          <m:sSubPr>
            <m:ctrlPr>
              <w:rPr>
                <w:rFonts w:ascii="Cambria Math" w:hAnsi="Cambria Math"/>
                <w:i/>
              </w:rPr>
            </m:ctrlPr>
          </m:sSubPr>
          <m:e>
            <m:r>
              <w:rPr>
                <w:rFonts w:ascii="Cambria Math" w:hAnsi="Cambria Math"/>
              </w:rPr>
              <m:t>ModelRatio</m:t>
            </m:r>
          </m:e>
          <m:sub>
            <m:r>
              <w:rPr>
                <w:rFonts w:ascii="Cambria Math" w:hAnsi="Cambria Math"/>
              </w:rPr>
              <m:t>h</m:t>
            </m:r>
          </m:sub>
        </m:sSub>
      </m:oMath>
      <w:r>
        <w:t xml:space="preserve"> represented the difference in utilization of each type of service for people assigned to the “out of model” condition compared to utilization for the full set of NSDUH </w:t>
      </w:r>
      <w:r>
        <w:lastRenderedPageBreak/>
        <w:t xml:space="preserve">respondents. These values were 0.980 for outpatient, 0.946 for ED, 0.920 for inpatient, and 0.429 for residential services. </w:t>
      </w:r>
    </w:p>
    <w:p w14:paraId="39370343" w14:textId="77777777" w:rsidR="00787C26" w:rsidRDefault="00787C26" w:rsidP="00787C26">
      <w:r>
        <w:t xml:space="preserve">Finally, we used our values of </w:t>
      </w:r>
      <m:oMath>
        <m:sSub>
          <m:sSubPr>
            <m:ctrlPr>
              <w:rPr>
                <w:rFonts w:ascii="Cambria Math" w:hAnsi="Cambria Math"/>
                <w:i/>
              </w:rPr>
            </m:ctrlPr>
          </m:sSubPr>
          <m:e>
            <m:r>
              <w:rPr>
                <w:rFonts w:ascii="Cambria Math" w:hAnsi="Cambria Math"/>
              </w:rPr>
              <m:t>Cost_model</m:t>
            </m:r>
          </m:e>
          <m:sub>
            <m:r>
              <w:rPr>
                <w:rFonts w:ascii="Cambria Math" w:hAnsi="Cambria Math"/>
              </w:rPr>
              <m:t>h,c</m:t>
            </m:r>
          </m:sub>
        </m:sSub>
      </m:oMath>
      <w:r>
        <w:t xml:space="preserve"> to identify model state-specific costs for each healthcare setting in each community, according to:</w:t>
      </w:r>
    </w:p>
    <w:p w14:paraId="0E84E7B3" w14:textId="77777777" w:rsidR="00787C26" w:rsidRDefault="00000000" w:rsidP="00787C26">
      <m:oMath>
        <m:sSub>
          <m:sSubPr>
            <m:ctrlPr>
              <w:rPr>
                <w:rFonts w:ascii="Cambria Math" w:hAnsi="Cambria Math"/>
                <w:i/>
              </w:rPr>
            </m:ctrlPr>
          </m:sSubPr>
          <m:e>
            <m:r>
              <w:rPr>
                <w:rFonts w:ascii="Cambria Math" w:hAnsi="Cambria Math"/>
              </w:rPr>
              <m:t>Cost_model</m:t>
            </m:r>
          </m:e>
          <m:sub>
            <m:r>
              <w:rPr>
                <w:rFonts w:ascii="Cambria Math" w:hAnsi="Cambria Math"/>
              </w:rPr>
              <m:t>h,c</m:t>
            </m:r>
          </m:sub>
        </m:sSub>
        <m:r>
          <w:rPr>
            <w:rFonts w:ascii="Cambria Math" w:hAnsi="Cambria Math"/>
          </w:rPr>
          <m:t>=</m:t>
        </m:r>
        <m:nary>
          <m:naryPr>
            <m:chr m:val="∑"/>
            <m:limLoc m:val="undOvr"/>
            <m:ctrlPr>
              <w:rPr>
                <w:rFonts w:ascii="Cambria Math" w:hAnsi="Cambria Math"/>
                <w:i/>
              </w:rPr>
            </m:ctrlPr>
          </m:naryPr>
          <m:sub>
            <m:r>
              <w:rPr>
                <w:rFonts w:ascii="Cambria Math" w:hAnsi="Cambria Math"/>
              </w:rPr>
              <m:t>s=1</m:t>
            </m:r>
          </m:sub>
          <m:sup>
            <m:r>
              <w:rPr>
                <w:rFonts w:ascii="Cambria Math" w:hAnsi="Cambria Math"/>
              </w:rPr>
              <m:t>5</m:t>
            </m:r>
          </m:sup>
          <m:e>
            <m:sSub>
              <m:sSubPr>
                <m:ctrlPr>
                  <w:rPr>
                    <w:rFonts w:ascii="Cambria Math" w:hAnsi="Cambria Math"/>
                    <w:i/>
                  </w:rPr>
                </m:ctrlPr>
              </m:sSubPr>
              <m:e>
                <m:r>
                  <w:rPr>
                    <w:rFonts w:ascii="Cambria Math" w:hAnsi="Cambria Math"/>
                  </w:rPr>
                  <m:t>(C</m:t>
                </m:r>
              </m:e>
              <m:sub>
                <m:r>
                  <w:rPr>
                    <w:rFonts w:ascii="Cambria Math" w:hAnsi="Cambria Math"/>
                  </w:rPr>
                  <m:t>h,c,s</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e>
        </m:nary>
      </m:oMath>
      <w:r w:rsidR="00787C26">
        <w:t xml:space="preserve"> ,</w:t>
      </w:r>
    </w:p>
    <w:p w14:paraId="1BB98703" w14:textId="289A6A01" w:rsidR="00787C26" w:rsidRDefault="00787C26" w:rsidP="00787C26">
      <w:r>
        <w:t xml:space="preserve">where </w:t>
      </w:r>
      <m:oMath>
        <m:sSub>
          <m:sSubPr>
            <m:ctrlPr>
              <w:rPr>
                <w:rFonts w:ascii="Cambria Math" w:hAnsi="Cambria Math"/>
                <w:i/>
              </w:rPr>
            </m:ctrlPr>
          </m:sSubPr>
          <m:e>
            <m:r>
              <w:rPr>
                <w:rFonts w:ascii="Cambria Math" w:hAnsi="Cambria Math"/>
              </w:rPr>
              <m:t>C</m:t>
            </m:r>
          </m:e>
          <m:sub>
            <m:r>
              <w:rPr>
                <w:rFonts w:ascii="Cambria Math" w:hAnsi="Cambria Math"/>
              </w:rPr>
              <m:t>h,c,s</m:t>
            </m:r>
          </m:sub>
        </m:sSub>
      </m:oMath>
      <w:r>
        <w:t xml:space="preserve"> is the monthly cost for utilization of services in healthcare setting h, in community c, for someone in model state s, and </w:t>
      </w:r>
      <m:oMath>
        <m:sSub>
          <m:sSubPr>
            <m:ctrlPr>
              <w:rPr>
                <w:rFonts w:ascii="Cambria Math" w:hAnsi="Cambria Math"/>
                <w:i/>
              </w:rPr>
            </m:ctrlPr>
          </m:sSubPr>
          <m:e>
            <m:r>
              <w:rPr>
                <w:rFonts w:ascii="Cambria Math" w:hAnsi="Cambria Math"/>
              </w:rPr>
              <m:t>N</m:t>
            </m:r>
          </m:e>
          <m:sub>
            <m:r>
              <w:rPr>
                <w:rFonts w:ascii="Cambria Math" w:hAnsi="Cambria Math"/>
              </w:rPr>
              <m:t>s</m:t>
            </m:r>
          </m:sub>
        </m:sSub>
      </m:oMath>
      <w:r>
        <w:t xml:space="preserve"> is the number of person-months in model state s in the microsimulation over the period from January 2020 – June 2022. We used simulated annealing </w:t>
      </w:r>
      <w:r>
        <w:fldChar w:fldCharType="begin"/>
      </w:r>
      <w:r w:rsidR="0037266D">
        <w:instrText xml:space="preserve"> ADDIN EN.CITE &lt;EndNote&gt;&lt;Cite&gt;&lt;Author&gt;Henderson&lt;/Author&gt;&lt;Year&gt;2003&lt;/Year&gt;&lt;RecNum&gt;7&lt;/RecNum&gt;&lt;DisplayText&gt;&lt;style face="superscript"&gt;48,49&lt;/style&gt;&lt;/DisplayText&gt;&lt;record&gt;&lt;rec-number&gt;7&lt;/rec-number&gt;&lt;foreign-keys&gt;&lt;key app="EN" db-id="vvr02fsw8wr2f5et2p8pzr0qs25d59ewpfta" timestamp="1717169819"&gt;7&lt;/key&gt;&lt;/foreign-keys&gt;&lt;ref-type name="Journal Article"&gt;17&lt;/ref-type&gt;&lt;contributors&gt;&lt;authors&gt;&lt;author&gt;Henderson, Darrall&lt;/author&gt;&lt;author&gt;Jacobson, Sheldon H&lt;/author&gt;&lt;author&gt;Johnson, Alan W&lt;/author&gt;&lt;/authors&gt;&lt;/contributors&gt;&lt;titles&gt;&lt;title&gt;The theory and practice of simulated annealing&lt;/title&gt;&lt;secondary-title&gt;Handbook of metaheuristics&lt;/secondary-title&gt;&lt;/titles&gt;&lt;periodical&gt;&lt;full-title&gt;Handbook of metaheuristics&lt;/full-title&gt;&lt;/periodical&gt;&lt;pages&gt;287-319&lt;/pages&gt;&lt;dates&gt;&lt;year&gt;2003&lt;/year&gt;&lt;/dates&gt;&lt;isbn&gt;1402072635&lt;/isbn&gt;&lt;urls&gt;&lt;/urls&gt;&lt;/record&gt;&lt;/Cite&gt;&lt;Cite&gt;&lt;Author&gt;Kirkpatrick&lt;/Author&gt;&lt;Year&gt;1983&lt;/Year&gt;&lt;RecNum&gt;8&lt;/RecNum&gt;&lt;record&gt;&lt;rec-number&gt;8&lt;/rec-number&gt;&lt;foreign-keys&gt;&lt;key app="EN" db-id="vvr02fsw8wr2f5et2p8pzr0qs25d59ewpfta" timestamp="1717169819"&gt;8&lt;/key&gt;&lt;/foreign-keys&gt;&lt;ref-type name="Journal Article"&gt;17&lt;/ref-type&gt;&lt;contributors&gt;&lt;authors&gt;&lt;author&gt;Kirkpatrick, Scott&lt;/author&gt;&lt;author&gt;Gelatt Jr, C Daniel&lt;/author&gt;&lt;author&gt;Vecchi, Mario P&lt;/author&gt;&lt;/authors&gt;&lt;/contributors&gt;&lt;titles&gt;&lt;title&gt;Optimization by simulated annealing&lt;/title&gt;&lt;secondary-title&gt;science&lt;/secondary-title&gt;&lt;/titles&gt;&lt;periodical&gt;&lt;full-title&gt;science&lt;/full-title&gt;&lt;/periodical&gt;&lt;pages&gt;671-680&lt;/pages&gt;&lt;volume&gt;220&lt;/volume&gt;&lt;number&gt;4598&lt;/number&gt;&lt;dates&gt;&lt;year&gt;1983&lt;/year&gt;&lt;/dates&gt;&lt;isbn&gt;0036-8075&lt;/isbn&gt;&lt;urls&gt;&lt;/urls&gt;&lt;/record&gt;&lt;/Cite&gt;&lt;/EndNote&gt;</w:instrText>
      </w:r>
      <w:r>
        <w:fldChar w:fldCharType="separate"/>
      </w:r>
      <w:r w:rsidR="0037266D" w:rsidRPr="0037266D">
        <w:rPr>
          <w:noProof/>
          <w:vertAlign w:val="superscript"/>
        </w:rPr>
        <w:t>48,49</w:t>
      </w:r>
      <w:r>
        <w:fldChar w:fldCharType="end"/>
      </w:r>
      <w:r>
        <w:t xml:space="preserve"> to identify values of </w:t>
      </w:r>
      <m:oMath>
        <m:sSub>
          <m:sSubPr>
            <m:ctrlPr>
              <w:rPr>
                <w:rFonts w:ascii="Cambria Math" w:hAnsi="Cambria Math"/>
                <w:i/>
              </w:rPr>
            </m:ctrlPr>
          </m:sSubPr>
          <m:e>
            <m:r>
              <w:rPr>
                <w:rFonts w:ascii="Cambria Math" w:hAnsi="Cambria Math"/>
              </w:rPr>
              <m:t>C</m:t>
            </m:r>
          </m:e>
          <m:sub>
            <m:r>
              <w:rPr>
                <w:rFonts w:ascii="Cambria Math" w:hAnsi="Cambria Math"/>
              </w:rPr>
              <m:t>h,c,s</m:t>
            </m:r>
          </m:sub>
        </m:sSub>
      </m:oMath>
      <w:r>
        <w:t xml:space="preserve"> that, when combined with </w:t>
      </w:r>
      <m:oMath>
        <m:sSub>
          <m:sSubPr>
            <m:ctrlPr>
              <w:rPr>
                <w:rFonts w:ascii="Cambria Math" w:hAnsi="Cambria Math"/>
                <w:i/>
              </w:rPr>
            </m:ctrlPr>
          </m:sSubPr>
          <m:e>
            <m:r>
              <w:rPr>
                <w:rFonts w:ascii="Cambria Math" w:hAnsi="Cambria Math"/>
              </w:rPr>
              <m:t>N</m:t>
            </m:r>
          </m:e>
          <m:sub>
            <m:r>
              <w:rPr>
                <w:rFonts w:ascii="Cambria Math" w:hAnsi="Cambria Math"/>
              </w:rPr>
              <m:t>s</m:t>
            </m:r>
          </m:sub>
        </m:sSub>
      </m:oMath>
      <w:r>
        <w:t xml:space="preserve">, were as close as possible to </w:t>
      </w:r>
      <m:oMath>
        <m:sSub>
          <m:sSubPr>
            <m:ctrlPr>
              <w:rPr>
                <w:rFonts w:ascii="Cambria Math" w:hAnsi="Cambria Math"/>
                <w:i/>
              </w:rPr>
            </m:ctrlPr>
          </m:sSubPr>
          <m:e>
            <m:r>
              <w:rPr>
                <w:rFonts w:ascii="Cambria Math" w:hAnsi="Cambria Math"/>
              </w:rPr>
              <m:t>Cost_model</m:t>
            </m:r>
          </m:e>
          <m:sub>
            <m:r>
              <w:rPr>
                <w:rFonts w:ascii="Cambria Math" w:hAnsi="Cambria Math"/>
              </w:rPr>
              <m:t>h,c</m:t>
            </m:r>
          </m:sub>
        </m:sSub>
      </m:oMath>
      <w:r>
        <w:t>. We applied constraints to this optimization procedure using the 95% confidence intervals of rates of healthcare utilization specific to healthcare setting h for people assigned to each of the five model states in NSDUH.</w:t>
      </w:r>
      <w:r>
        <w:rPr>
          <w:rStyle w:val="FootnoteReference"/>
        </w:rPr>
        <w:footnoteReference w:id="3"/>
      </w:r>
      <w:r>
        <w:t xml:space="preserve"> We repeated the optimization process 200 times for each value of </w:t>
      </w:r>
      <m:oMath>
        <m:sSub>
          <m:sSubPr>
            <m:ctrlPr>
              <w:rPr>
                <w:rFonts w:ascii="Cambria Math" w:hAnsi="Cambria Math"/>
                <w:i/>
              </w:rPr>
            </m:ctrlPr>
          </m:sSubPr>
          <m:e>
            <m:r>
              <w:rPr>
                <w:rFonts w:ascii="Cambria Math" w:hAnsi="Cambria Math"/>
              </w:rPr>
              <m:t>Cost_model</m:t>
            </m:r>
          </m:e>
          <m:sub>
            <m:r>
              <w:rPr>
                <w:rFonts w:ascii="Cambria Math" w:hAnsi="Cambria Math"/>
              </w:rPr>
              <m:t>h,c</m:t>
            </m:r>
          </m:sub>
        </m:sSub>
      </m:oMath>
      <w:r>
        <w:t xml:space="preserve"> and took the average of the resulting values of </w:t>
      </w:r>
      <m:oMath>
        <m:sSub>
          <m:sSubPr>
            <m:ctrlPr>
              <w:rPr>
                <w:rFonts w:ascii="Cambria Math" w:hAnsi="Cambria Math"/>
                <w:i/>
              </w:rPr>
            </m:ctrlPr>
          </m:sSubPr>
          <m:e>
            <m:r>
              <w:rPr>
                <w:rFonts w:ascii="Cambria Math" w:hAnsi="Cambria Math"/>
              </w:rPr>
              <m:t>C</m:t>
            </m:r>
          </m:e>
          <m:sub>
            <m:r>
              <w:rPr>
                <w:rFonts w:ascii="Cambria Math" w:hAnsi="Cambria Math"/>
              </w:rPr>
              <m:t>h,c,s</m:t>
            </m:r>
          </m:sub>
        </m:sSub>
      </m:oMath>
      <w:r>
        <w:t>. These state-specific costs were made to represent the incremental costs associated with opioid misuse by subtracting costs representing utilization of services from healthcare setting h for individuals outside of the scope of the model (i.e., individuals with no history of OUD and no illicit opioid use or prescription opioid misuse). These were obtained by:</w:t>
      </w:r>
    </w:p>
    <w:p w14:paraId="377D2E6B" w14:textId="77777777" w:rsidR="00787C26" w:rsidRDefault="00787C26" w:rsidP="00787C26">
      <w:r>
        <w:t xml:space="preserve"> </w:t>
      </w:r>
      <m:oMath>
        <m:func>
          <m:funcPr>
            <m:ctrlPr>
              <w:rPr>
                <w:rFonts w:ascii="Cambria Math" w:hAnsi="Cambria Math"/>
                <w:i/>
              </w:rPr>
            </m:ctrlPr>
          </m:funcPr>
          <m:fName>
            <m:r>
              <m:rPr>
                <m:sty m:val="p"/>
              </m:rPr>
              <w:rPr>
                <w:rFonts w:ascii="Cambria Math" w:hAnsi="Cambria Math"/>
              </w:rPr>
              <m:t>max</m:t>
            </m:r>
          </m:fName>
          <m:e>
            <m:sSub>
              <m:sSubPr>
                <m:ctrlPr>
                  <w:rPr>
                    <w:rFonts w:ascii="Cambria Math" w:hAnsi="Cambria Math"/>
                    <w:i/>
                  </w:rPr>
                </m:ctrlPr>
              </m:sSubPr>
              <m:e>
                <m:r>
                  <w:rPr>
                    <w:rFonts w:ascii="Cambria Math" w:hAnsi="Cambria Math"/>
                  </w:rPr>
                  <m:t>(C</m:t>
                </m:r>
              </m:e>
              <m:sub>
                <m:r>
                  <w:rPr>
                    <w:rFonts w:ascii="Cambria Math" w:hAnsi="Cambria Math"/>
                  </w:rPr>
                  <m:t>h,c,s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Cos</m:t>
                    </m:r>
                    <m:sSub>
                      <m:sSubPr>
                        <m:ctrlPr>
                          <w:rPr>
                            <w:rFonts w:ascii="Cambria Math" w:hAnsi="Cambria Math"/>
                            <w:i/>
                          </w:rPr>
                        </m:ctrlPr>
                      </m:sSubPr>
                      <m:e>
                        <m:r>
                          <w:rPr>
                            <w:rFonts w:ascii="Cambria Math" w:hAnsi="Cambria Math"/>
                          </w:rPr>
                          <m:t>t</m:t>
                        </m:r>
                      </m:e>
                      <m:sub>
                        <m:r>
                          <w:rPr>
                            <w:rFonts w:ascii="Cambria Math" w:hAnsi="Cambria Math"/>
                          </w:rPr>
                          <m:t>all</m:t>
                        </m:r>
                      </m:sub>
                    </m:sSub>
                  </m:e>
                  <m:sub>
                    <m:r>
                      <w:rPr>
                        <w:rFonts w:ascii="Cambria Math" w:hAnsi="Cambria Math"/>
                      </w:rPr>
                      <m:t>h,c</m:t>
                    </m:r>
                  </m:sub>
                </m:sSub>
                <m:r>
                  <w:rPr>
                    <w:rFonts w:ascii="Cambria Math" w:hAnsi="Cambria Math"/>
                  </w:rPr>
                  <m:t xml:space="preserve">- </m:t>
                </m:r>
                <m:sSub>
                  <m:sSubPr>
                    <m:ctrlPr>
                      <w:rPr>
                        <w:rFonts w:ascii="Cambria Math" w:hAnsi="Cambria Math"/>
                        <w:i/>
                      </w:rPr>
                    </m:ctrlPr>
                  </m:sSubPr>
                  <m:e>
                    <m:r>
                      <w:rPr>
                        <w:rFonts w:ascii="Cambria Math" w:hAnsi="Cambria Math"/>
                      </w:rPr>
                      <m:t>Cos</m:t>
                    </m:r>
                    <m:sSub>
                      <m:sSubPr>
                        <m:ctrlPr>
                          <w:rPr>
                            <w:rFonts w:ascii="Cambria Math" w:hAnsi="Cambria Math"/>
                            <w:i/>
                          </w:rPr>
                        </m:ctrlPr>
                      </m:sSubPr>
                      <m:e>
                        <m:r>
                          <w:rPr>
                            <w:rFonts w:ascii="Cambria Math" w:hAnsi="Cambria Math"/>
                          </w:rPr>
                          <m:t>t</m:t>
                        </m:r>
                      </m:e>
                      <m:sub>
                        <m:r>
                          <w:rPr>
                            <w:rFonts w:ascii="Cambria Math" w:hAnsi="Cambria Math"/>
                          </w:rPr>
                          <m:t>model</m:t>
                        </m:r>
                      </m:sub>
                    </m:sSub>
                  </m:e>
                  <m:sub>
                    <m:r>
                      <w:rPr>
                        <w:rFonts w:ascii="Cambria Math" w:hAnsi="Cambria Math"/>
                      </w:rPr>
                      <m:t>h,c</m:t>
                    </m:r>
                  </m:sub>
                </m:sSub>
              </m:num>
              <m:den>
                <m:sSub>
                  <m:sSubPr>
                    <m:ctrlPr>
                      <w:rPr>
                        <w:rFonts w:ascii="Cambria Math" w:hAnsi="Cambria Math"/>
                        <w:i/>
                      </w:rPr>
                    </m:ctrlPr>
                  </m:sSubPr>
                  <m:e>
                    <m:r>
                      <w:rPr>
                        <w:rFonts w:ascii="Cambria Math" w:hAnsi="Cambria Math"/>
                      </w:rPr>
                      <m:t>Po</m:t>
                    </m:r>
                    <m:sSub>
                      <m:sSubPr>
                        <m:ctrlPr>
                          <w:rPr>
                            <w:rFonts w:ascii="Cambria Math" w:hAnsi="Cambria Math"/>
                            <w:i/>
                          </w:rPr>
                        </m:ctrlPr>
                      </m:sSubPr>
                      <m:e>
                        <m:r>
                          <w:rPr>
                            <w:rFonts w:ascii="Cambria Math" w:hAnsi="Cambria Math"/>
                          </w:rPr>
                          <m:t>p</m:t>
                        </m:r>
                      </m:e>
                      <m:sub>
                        <m:r>
                          <w:rPr>
                            <w:rFonts w:ascii="Cambria Math" w:hAnsi="Cambria Math"/>
                          </w:rPr>
                          <m:t>all</m:t>
                        </m:r>
                      </m:sub>
                    </m:sSub>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Po</m:t>
                    </m:r>
                    <m:sSub>
                      <m:sSubPr>
                        <m:ctrlPr>
                          <w:rPr>
                            <w:rFonts w:ascii="Cambria Math" w:hAnsi="Cambria Math"/>
                            <w:i/>
                          </w:rPr>
                        </m:ctrlPr>
                      </m:sSubPr>
                      <m:e>
                        <m:r>
                          <w:rPr>
                            <w:rFonts w:ascii="Cambria Math" w:hAnsi="Cambria Math"/>
                          </w:rPr>
                          <m:t>p</m:t>
                        </m:r>
                      </m:e>
                      <m:sub>
                        <m:r>
                          <w:rPr>
                            <w:rFonts w:ascii="Cambria Math" w:hAnsi="Cambria Math"/>
                          </w:rPr>
                          <m:t>model</m:t>
                        </m:r>
                      </m:sub>
                    </m:sSub>
                  </m:e>
                  <m:sub>
                    <m:r>
                      <w:rPr>
                        <w:rFonts w:ascii="Cambria Math" w:hAnsi="Cambria Math"/>
                      </w:rPr>
                      <m:t>c</m:t>
                    </m:r>
                  </m:sub>
                </m:sSub>
              </m:den>
            </m:f>
            <m:r>
              <w:rPr>
                <w:rFonts w:ascii="Cambria Math" w:hAnsi="Cambria Math"/>
              </w:rPr>
              <m:t>, 0</m:t>
            </m:r>
          </m:e>
        </m:func>
        <m:r>
          <w:rPr>
            <w:rFonts w:ascii="Cambria Math" w:hAnsi="Cambria Math"/>
          </w:rPr>
          <m:t>)</m:t>
        </m:r>
      </m:oMath>
      <w:r>
        <w:t>.</w:t>
      </w:r>
    </w:p>
    <w:p w14:paraId="285C750E" w14:textId="76E5CF02" w:rsidR="00452841" w:rsidRPr="00596E58" w:rsidRDefault="00A87FBF" w:rsidP="00596E58">
      <w:pPr>
        <w:pStyle w:val="table-title"/>
        <w:ind w:left="0" w:firstLine="0"/>
        <w:rPr>
          <w:rFonts w:ascii="Times New Roman" w:hAnsi="Times New Roman"/>
          <w:b/>
          <w:szCs w:val="20"/>
        </w:rPr>
      </w:pPr>
      <w:r w:rsidRPr="00626C29">
        <w:rPr>
          <w:rFonts w:ascii="Times New Roman" w:hAnsi="Times New Roman"/>
          <w:b/>
          <w:szCs w:val="20"/>
        </w:rPr>
        <w:t xml:space="preserve">Supplementary </w:t>
      </w:r>
      <w:r w:rsidR="00596E58" w:rsidRPr="008608B1">
        <w:rPr>
          <w:rFonts w:ascii="Times New Roman" w:hAnsi="Times New Roman"/>
          <w:b/>
          <w:szCs w:val="20"/>
        </w:rPr>
        <w:t>Table</w:t>
      </w:r>
      <w:r>
        <w:rPr>
          <w:rFonts w:ascii="Times New Roman" w:hAnsi="Times New Roman"/>
          <w:b/>
          <w:szCs w:val="20"/>
        </w:rPr>
        <w:t xml:space="preserve"> 18</w:t>
      </w:r>
      <w:r w:rsidR="00596E58" w:rsidRPr="008608B1">
        <w:rPr>
          <w:rFonts w:ascii="Times New Roman" w:hAnsi="Times New Roman"/>
          <w:b/>
          <w:szCs w:val="20"/>
        </w:rPr>
        <w:t xml:space="preserve">. </w:t>
      </w:r>
      <w:r w:rsidR="00596E58" w:rsidRPr="00596E58">
        <w:rPr>
          <w:rFonts w:ascii="Times New Roman" w:hAnsi="Times New Roman"/>
          <w:bCs w:val="0"/>
          <w:szCs w:val="20"/>
        </w:rPr>
        <w:t>Mean</w:t>
      </w:r>
      <w:r w:rsidR="00596E58">
        <w:rPr>
          <w:rFonts w:ascii="Times New Roman" w:hAnsi="Times New Roman"/>
          <w:bCs w:val="0"/>
          <w:szCs w:val="20"/>
        </w:rPr>
        <w:t xml:space="preserve"> and range of </w:t>
      </w:r>
      <w:r w:rsidR="00596E58" w:rsidRPr="00596E58">
        <w:rPr>
          <w:rFonts w:ascii="Times New Roman" w:hAnsi="Times New Roman"/>
          <w:bCs w:val="0"/>
          <w:szCs w:val="20"/>
        </w:rPr>
        <w:t>healthcare costs and proportions of emergency</w:t>
      </w:r>
      <w:r w:rsidR="00596E58">
        <w:rPr>
          <w:rFonts w:ascii="Times New Roman" w:hAnsi="Times New Roman"/>
          <w:bCs w:val="0"/>
          <w:szCs w:val="20"/>
        </w:rPr>
        <w:t xml:space="preserve"> (ED)</w:t>
      </w:r>
      <w:r w:rsidR="00596E58" w:rsidRPr="00596E58">
        <w:rPr>
          <w:rFonts w:ascii="Times New Roman" w:hAnsi="Times New Roman"/>
          <w:bCs w:val="0"/>
          <w:szCs w:val="20"/>
        </w:rPr>
        <w:t>, inpatient</w:t>
      </w:r>
      <w:r w:rsidR="00596E58">
        <w:rPr>
          <w:rFonts w:ascii="Times New Roman" w:hAnsi="Times New Roman"/>
          <w:bCs w:val="0"/>
          <w:szCs w:val="20"/>
        </w:rPr>
        <w:t xml:space="preserve"> (IP)</w:t>
      </w:r>
      <w:r w:rsidR="00596E58" w:rsidRPr="00596E58">
        <w:rPr>
          <w:rFonts w:ascii="Times New Roman" w:hAnsi="Times New Roman"/>
          <w:bCs w:val="0"/>
          <w:szCs w:val="20"/>
        </w:rPr>
        <w:t>, outpatient</w:t>
      </w:r>
      <w:r w:rsidR="00596E58">
        <w:rPr>
          <w:rFonts w:ascii="Times New Roman" w:hAnsi="Times New Roman"/>
          <w:bCs w:val="0"/>
          <w:szCs w:val="20"/>
        </w:rPr>
        <w:t xml:space="preserve"> (OP)</w:t>
      </w:r>
      <w:r w:rsidR="00596E58" w:rsidRPr="00596E58">
        <w:rPr>
          <w:rFonts w:ascii="Times New Roman" w:hAnsi="Times New Roman"/>
          <w:bCs w:val="0"/>
          <w:szCs w:val="20"/>
        </w:rPr>
        <w:t xml:space="preserve">, and residential </w:t>
      </w:r>
      <w:r w:rsidR="00596E58">
        <w:rPr>
          <w:rFonts w:ascii="Times New Roman" w:hAnsi="Times New Roman"/>
          <w:bCs w:val="0"/>
          <w:szCs w:val="20"/>
        </w:rPr>
        <w:t xml:space="preserve">(RES) </w:t>
      </w:r>
      <w:r w:rsidR="00596E58" w:rsidRPr="00596E58">
        <w:rPr>
          <w:rFonts w:ascii="Times New Roman" w:hAnsi="Times New Roman"/>
          <w:bCs w:val="0"/>
          <w:szCs w:val="20"/>
        </w:rPr>
        <w:t>service use by health state</w:t>
      </w:r>
      <w:r w:rsidR="00596E58" w:rsidRPr="008608B1">
        <w:rPr>
          <w:rFonts w:ascii="Times New Roman" w:hAnsi="Times New Roman"/>
          <w:szCs w:val="20"/>
        </w:rPr>
        <w:t>.</w:t>
      </w:r>
    </w:p>
    <w:tbl>
      <w:tblPr>
        <w:tblStyle w:val="TableGrid"/>
        <w:tblW w:w="9504" w:type="dxa"/>
        <w:tblLayout w:type="fixed"/>
        <w:tblCellMar>
          <w:left w:w="72" w:type="dxa"/>
        </w:tblCellMar>
        <w:tblLook w:val="04A0" w:firstRow="1" w:lastRow="0" w:firstColumn="1" w:lastColumn="0" w:noHBand="0" w:noVBand="1"/>
      </w:tblPr>
      <w:tblGrid>
        <w:gridCol w:w="1152"/>
        <w:gridCol w:w="2016"/>
        <w:gridCol w:w="1584"/>
        <w:gridCol w:w="1584"/>
        <w:gridCol w:w="1584"/>
        <w:gridCol w:w="1584"/>
      </w:tblGrid>
      <w:tr w:rsidR="00452841" w:rsidRPr="00D2239A" w14:paraId="39FB2FB0" w14:textId="717C1017" w:rsidTr="00A87FBF">
        <w:trPr>
          <w:trHeight w:val="504"/>
        </w:trPr>
        <w:tc>
          <w:tcPr>
            <w:tcW w:w="1152" w:type="dxa"/>
            <w:vAlign w:val="center"/>
          </w:tcPr>
          <w:p w14:paraId="5C75D3E4" w14:textId="12786B9F" w:rsidR="00452841" w:rsidRDefault="00452841" w:rsidP="00435936">
            <w:pPr>
              <w:spacing w:line="276" w:lineRule="auto"/>
              <w:rPr>
                <w:rStyle w:val="CommentReference"/>
                <w:rFonts w:cs="Times New Roman"/>
                <w:sz w:val="18"/>
                <w:szCs w:val="18"/>
              </w:rPr>
            </w:pPr>
            <w:r>
              <w:rPr>
                <w:rFonts w:cs="Times New Roman"/>
                <w:b/>
                <w:bCs/>
                <w:sz w:val="18"/>
                <w:szCs w:val="18"/>
              </w:rPr>
              <w:t xml:space="preserve">Health </w:t>
            </w:r>
            <w:r w:rsidR="00A87FBF">
              <w:rPr>
                <w:rFonts w:cs="Times New Roman"/>
                <w:b/>
                <w:bCs/>
                <w:sz w:val="18"/>
                <w:szCs w:val="18"/>
              </w:rPr>
              <w:t>s</w:t>
            </w:r>
            <w:r>
              <w:rPr>
                <w:rFonts w:cs="Times New Roman"/>
                <w:b/>
                <w:bCs/>
                <w:sz w:val="18"/>
                <w:szCs w:val="18"/>
              </w:rPr>
              <w:t>tate</w:t>
            </w:r>
          </w:p>
        </w:tc>
        <w:tc>
          <w:tcPr>
            <w:tcW w:w="2016" w:type="dxa"/>
            <w:vAlign w:val="center"/>
          </w:tcPr>
          <w:p w14:paraId="7BDF8577" w14:textId="64083CC1" w:rsidR="00452841" w:rsidRPr="00596E58" w:rsidRDefault="00452841" w:rsidP="00A87FBF">
            <w:pPr>
              <w:jc w:val="center"/>
              <w:rPr>
                <w:b/>
                <w:bCs/>
              </w:rPr>
            </w:pPr>
            <w:r>
              <w:rPr>
                <w:b/>
                <w:bCs/>
              </w:rPr>
              <w:t>Health</w:t>
            </w:r>
            <w:r w:rsidR="00596E58">
              <w:rPr>
                <w:b/>
                <w:bCs/>
              </w:rPr>
              <w:t xml:space="preserve">care </w:t>
            </w:r>
            <w:r w:rsidR="00A87FBF">
              <w:rPr>
                <w:b/>
                <w:bCs/>
              </w:rPr>
              <w:t>c</w:t>
            </w:r>
            <w:r w:rsidR="00596E58">
              <w:rPr>
                <w:b/>
                <w:bCs/>
              </w:rPr>
              <w:t>ost</w:t>
            </w:r>
          </w:p>
        </w:tc>
        <w:tc>
          <w:tcPr>
            <w:tcW w:w="1584" w:type="dxa"/>
            <w:vAlign w:val="center"/>
          </w:tcPr>
          <w:p w14:paraId="0BA221DF" w14:textId="281BF1FB" w:rsidR="00452841" w:rsidRPr="00D2239A" w:rsidRDefault="00596E58" w:rsidP="00A87FBF">
            <w:pPr>
              <w:jc w:val="center"/>
              <w:rPr>
                <w:rFonts w:cs="Times New Roman"/>
                <w:sz w:val="18"/>
                <w:szCs w:val="18"/>
              </w:rPr>
            </w:pPr>
            <w:r>
              <w:rPr>
                <w:b/>
                <w:bCs/>
              </w:rPr>
              <w:t>ED</w:t>
            </w:r>
          </w:p>
        </w:tc>
        <w:tc>
          <w:tcPr>
            <w:tcW w:w="1584" w:type="dxa"/>
            <w:vAlign w:val="center"/>
          </w:tcPr>
          <w:p w14:paraId="464E03F9" w14:textId="64E4D357" w:rsidR="00452841" w:rsidRPr="00D2239A" w:rsidRDefault="00596E58" w:rsidP="00A87FBF">
            <w:pPr>
              <w:spacing w:line="276" w:lineRule="auto"/>
              <w:jc w:val="center"/>
              <w:rPr>
                <w:rFonts w:cs="Times New Roman"/>
                <w:sz w:val="18"/>
                <w:szCs w:val="18"/>
              </w:rPr>
            </w:pPr>
            <w:r>
              <w:rPr>
                <w:b/>
                <w:bCs/>
              </w:rPr>
              <w:t>IP</w:t>
            </w:r>
          </w:p>
        </w:tc>
        <w:tc>
          <w:tcPr>
            <w:tcW w:w="1584" w:type="dxa"/>
            <w:vAlign w:val="center"/>
          </w:tcPr>
          <w:p w14:paraId="3F824388" w14:textId="129D142E" w:rsidR="00452841" w:rsidRDefault="00596E58" w:rsidP="00A87FBF">
            <w:pPr>
              <w:spacing w:line="276" w:lineRule="auto"/>
              <w:jc w:val="center"/>
              <w:rPr>
                <w:rFonts w:cs="Times New Roman"/>
                <w:b/>
                <w:bCs/>
                <w:sz w:val="18"/>
                <w:szCs w:val="18"/>
              </w:rPr>
            </w:pPr>
            <w:r>
              <w:rPr>
                <w:b/>
                <w:bCs/>
              </w:rPr>
              <w:t>OP</w:t>
            </w:r>
          </w:p>
        </w:tc>
        <w:tc>
          <w:tcPr>
            <w:tcW w:w="1584" w:type="dxa"/>
            <w:vAlign w:val="center"/>
          </w:tcPr>
          <w:p w14:paraId="036597F2" w14:textId="558CE8FF" w:rsidR="00452841" w:rsidRDefault="00596E58" w:rsidP="00A87FBF">
            <w:pPr>
              <w:spacing w:line="276" w:lineRule="auto"/>
              <w:jc w:val="center"/>
              <w:rPr>
                <w:rFonts w:cs="Times New Roman"/>
                <w:b/>
                <w:bCs/>
                <w:sz w:val="18"/>
                <w:szCs w:val="18"/>
              </w:rPr>
            </w:pPr>
            <w:r>
              <w:rPr>
                <w:b/>
                <w:bCs/>
              </w:rPr>
              <w:t>RES</w:t>
            </w:r>
          </w:p>
        </w:tc>
      </w:tr>
      <w:tr w:rsidR="00452841" w:rsidRPr="00D2239A" w14:paraId="2340A122" w14:textId="6B82C2BA" w:rsidTr="00A87FBF">
        <w:trPr>
          <w:trHeight w:val="504"/>
        </w:trPr>
        <w:tc>
          <w:tcPr>
            <w:tcW w:w="1152" w:type="dxa"/>
            <w:vAlign w:val="bottom"/>
          </w:tcPr>
          <w:p w14:paraId="746150AB" w14:textId="6082359E" w:rsidR="00452841" w:rsidRPr="00452841" w:rsidRDefault="00452841" w:rsidP="00452841">
            <w:pPr>
              <w:spacing w:line="276" w:lineRule="auto"/>
            </w:pPr>
            <w:r w:rsidRPr="00452841">
              <w:rPr>
                <w:rFonts w:cs="Times New Roman"/>
                <w:sz w:val="18"/>
                <w:szCs w:val="18"/>
              </w:rPr>
              <w:t>RX</w:t>
            </w:r>
          </w:p>
        </w:tc>
        <w:tc>
          <w:tcPr>
            <w:tcW w:w="2016" w:type="dxa"/>
            <w:vAlign w:val="center"/>
          </w:tcPr>
          <w:p w14:paraId="5460B93D" w14:textId="4518205D" w:rsidR="00452841" w:rsidRPr="00452841" w:rsidRDefault="00452841" w:rsidP="00A87FBF">
            <w:pPr>
              <w:spacing w:line="276" w:lineRule="auto"/>
              <w:jc w:val="center"/>
            </w:pPr>
            <w:r w:rsidRPr="00452841">
              <w:t>$ 14.5</w:t>
            </w:r>
            <w:r w:rsidR="00F61CA9">
              <w:t xml:space="preserve"> </w:t>
            </w:r>
            <w:r w:rsidRPr="00452841">
              <w:t>[0.5, 64.9]</w:t>
            </w:r>
          </w:p>
        </w:tc>
        <w:tc>
          <w:tcPr>
            <w:tcW w:w="1584" w:type="dxa"/>
            <w:vAlign w:val="center"/>
          </w:tcPr>
          <w:p w14:paraId="1DAF4296" w14:textId="6CFF5DB6" w:rsidR="00452841" w:rsidRPr="00452841" w:rsidRDefault="00452841" w:rsidP="00A87FBF">
            <w:pPr>
              <w:spacing w:line="276" w:lineRule="auto"/>
              <w:jc w:val="center"/>
            </w:pPr>
            <w:r w:rsidRPr="00452841">
              <w:t>0.36 [0, 0.73]</w:t>
            </w:r>
          </w:p>
        </w:tc>
        <w:tc>
          <w:tcPr>
            <w:tcW w:w="1584" w:type="dxa"/>
            <w:vAlign w:val="center"/>
          </w:tcPr>
          <w:p w14:paraId="679A3DC5" w14:textId="720291A3" w:rsidR="00452841" w:rsidRPr="00452841" w:rsidRDefault="00452841" w:rsidP="00A87FBF">
            <w:pPr>
              <w:spacing w:line="276" w:lineRule="auto"/>
              <w:jc w:val="center"/>
            </w:pPr>
            <w:r w:rsidRPr="00452841">
              <w:t>0.02 [0, 0.25]</w:t>
            </w:r>
          </w:p>
        </w:tc>
        <w:tc>
          <w:tcPr>
            <w:tcW w:w="1584" w:type="dxa"/>
            <w:vAlign w:val="center"/>
          </w:tcPr>
          <w:p w14:paraId="12755308" w14:textId="679A10C0" w:rsidR="00452841" w:rsidRPr="00452841" w:rsidRDefault="00452841" w:rsidP="00A87FBF">
            <w:pPr>
              <w:spacing w:line="276" w:lineRule="auto"/>
              <w:jc w:val="center"/>
            </w:pPr>
            <w:r w:rsidRPr="00452841">
              <w:t>0.33 [0, 0.66]</w:t>
            </w:r>
          </w:p>
        </w:tc>
        <w:tc>
          <w:tcPr>
            <w:tcW w:w="1584" w:type="dxa"/>
            <w:vAlign w:val="center"/>
          </w:tcPr>
          <w:p w14:paraId="39FF1E51" w14:textId="1C817D61" w:rsidR="00452841" w:rsidRPr="00452841" w:rsidRDefault="00452841" w:rsidP="00A87FBF">
            <w:pPr>
              <w:spacing w:line="276" w:lineRule="auto"/>
              <w:jc w:val="center"/>
            </w:pPr>
            <w:r w:rsidRPr="00452841">
              <w:t>0.29 [0.05, 1]</w:t>
            </w:r>
          </w:p>
        </w:tc>
      </w:tr>
      <w:tr w:rsidR="00452841" w:rsidRPr="00D2239A" w14:paraId="588218AC" w14:textId="0B3ADD0D" w:rsidTr="00A87FBF">
        <w:trPr>
          <w:trHeight w:val="504"/>
        </w:trPr>
        <w:tc>
          <w:tcPr>
            <w:tcW w:w="1152" w:type="dxa"/>
            <w:vAlign w:val="bottom"/>
          </w:tcPr>
          <w:p w14:paraId="017264C8" w14:textId="59B5704F" w:rsidR="00452841" w:rsidRPr="00452841" w:rsidRDefault="00452841" w:rsidP="00452841">
            <w:pPr>
              <w:spacing w:line="276" w:lineRule="auto"/>
            </w:pPr>
            <w:r w:rsidRPr="00452841">
              <w:rPr>
                <w:rFonts w:cs="Times New Roman"/>
                <w:sz w:val="18"/>
                <w:szCs w:val="18"/>
              </w:rPr>
              <w:t>ILL</w:t>
            </w:r>
          </w:p>
        </w:tc>
        <w:tc>
          <w:tcPr>
            <w:tcW w:w="2016" w:type="dxa"/>
            <w:vAlign w:val="center"/>
          </w:tcPr>
          <w:p w14:paraId="1C90EE74" w14:textId="3E1CC151" w:rsidR="00452841" w:rsidRPr="00452841" w:rsidRDefault="00452841" w:rsidP="00A87FBF">
            <w:pPr>
              <w:spacing w:line="276" w:lineRule="auto"/>
              <w:jc w:val="center"/>
            </w:pPr>
            <w:r w:rsidRPr="00452841">
              <w:t>$ 70.5 [27.1, 186.2]</w:t>
            </w:r>
          </w:p>
        </w:tc>
        <w:tc>
          <w:tcPr>
            <w:tcW w:w="1584" w:type="dxa"/>
            <w:vAlign w:val="center"/>
          </w:tcPr>
          <w:p w14:paraId="7F18888B" w14:textId="23E0F5DF" w:rsidR="00452841" w:rsidRPr="00452841" w:rsidRDefault="00452841" w:rsidP="00A87FBF">
            <w:pPr>
              <w:spacing w:line="276" w:lineRule="auto"/>
              <w:jc w:val="center"/>
            </w:pPr>
            <w:r w:rsidRPr="00452841">
              <w:t>0.67 [0.33, 0.91]</w:t>
            </w:r>
          </w:p>
        </w:tc>
        <w:tc>
          <w:tcPr>
            <w:tcW w:w="1584" w:type="dxa"/>
            <w:vAlign w:val="center"/>
          </w:tcPr>
          <w:p w14:paraId="6B3B2EDF" w14:textId="63819A48" w:rsidR="00452841" w:rsidRPr="00452841" w:rsidRDefault="00452841" w:rsidP="00A87FBF">
            <w:pPr>
              <w:spacing w:line="276" w:lineRule="auto"/>
              <w:jc w:val="center"/>
            </w:pPr>
            <w:r w:rsidRPr="00452841">
              <w:t>0.14 [0, 0.48]</w:t>
            </w:r>
          </w:p>
        </w:tc>
        <w:tc>
          <w:tcPr>
            <w:tcW w:w="1584" w:type="dxa"/>
            <w:vAlign w:val="center"/>
          </w:tcPr>
          <w:p w14:paraId="6C3EE41B" w14:textId="7E08A188" w:rsidR="00452841" w:rsidRPr="00452841" w:rsidRDefault="00452841" w:rsidP="00A87FBF">
            <w:pPr>
              <w:spacing w:line="276" w:lineRule="auto"/>
              <w:jc w:val="center"/>
            </w:pPr>
            <w:r w:rsidRPr="00452841">
              <w:t>0 [0, 0]</w:t>
            </w:r>
          </w:p>
        </w:tc>
        <w:tc>
          <w:tcPr>
            <w:tcW w:w="1584" w:type="dxa"/>
            <w:vAlign w:val="center"/>
          </w:tcPr>
          <w:p w14:paraId="43C1DC57" w14:textId="2C29D565" w:rsidR="00452841" w:rsidRPr="00452841" w:rsidRDefault="00452841" w:rsidP="00A87FBF">
            <w:pPr>
              <w:spacing w:line="276" w:lineRule="auto"/>
              <w:jc w:val="center"/>
            </w:pPr>
            <w:r w:rsidRPr="00452841">
              <w:t>0.19 [0.06, 0.4]</w:t>
            </w:r>
          </w:p>
        </w:tc>
      </w:tr>
      <w:tr w:rsidR="00452841" w:rsidRPr="00D2239A" w14:paraId="31B224F5" w14:textId="7F2ECB3F" w:rsidTr="00A87FBF">
        <w:trPr>
          <w:trHeight w:val="504"/>
        </w:trPr>
        <w:tc>
          <w:tcPr>
            <w:tcW w:w="1152" w:type="dxa"/>
            <w:vAlign w:val="bottom"/>
          </w:tcPr>
          <w:p w14:paraId="11F95B79" w14:textId="1166D3E9" w:rsidR="00452841" w:rsidRPr="00452841" w:rsidRDefault="00452841" w:rsidP="00452841">
            <w:pPr>
              <w:spacing w:line="276" w:lineRule="auto"/>
            </w:pPr>
            <w:r w:rsidRPr="00452841">
              <w:rPr>
                <w:rFonts w:cs="Times New Roman"/>
                <w:sz w:val="18"/>
                <w:szCs w:val="18"/>
              </w:rPr>
              <w:t>OUD</w:t>
            </w:r>
          </w:p>
        </w:tc>
        <w:tc>
          <w:tcPr>
            <w:tcW w:w="2016" w:type="dxa"/>
            <w:vAlign w:val="center"/>
          </w:tcPr>
          <w:p w14:paraId="2636F465" w14:textId="129CA0CF" w:rsidR="00452841" w:rsidRPr="00452841" w:rsidRDefault="00452841" w:rsidP="00A87FBF">
            <w:pPr>
              <w:spacing w:line="276" w:lineRule="auto"/>
              <w:jc w:val="center"/>
            </w:pPr>
            <w:r w:rsidRPr="00452841">
              <w:t>$ 342.1 [201.3, 597.8]</w:t>
            </w:r>
          </w:p>
        </w:tc>
        <w:tc>
          <w:tcPr>
            <w:tcW w:w="1584" w:type="dxa"/>
            <w:vAlign w:val="center"/>
          </w:tcPr>
          <w:p w14:paraId="254A8C74" w14:textId="194C55AC" w:rsidR="00452841" w:rsidRPr="00452841" w:rsidRDefault="00452841" w:rsidP="00A87FBF">
            <w:pPr>
              <w:spacing w:line="276" w:lineRule="auto"/>
              <w:jc w:val="center"/>
            </w:pPr>
            <w:r w:rsidRPr="00452841">
              <w:t>0.13 [0.05, 0.25]</w:t>
            </w:r>
          </w:p>
        </w:tc>
        <w:tc>
          <w:tcPr>
            <w:tcW w:w="1584" w:type="dxa"/>
            <w:vAlign w:val="center"/>
          </w:tcPr>
          <w:p w14:paraId="37FAF5BD" w14:textId="54DC327B" w:rsidR="00452841" w:rsidRPr="00452841" w:rsidRDefault="00452841" w:rsidP="00A87FBF">
            <w:pPr>
              <w:spacing w:line="276" w:lineRule="auto"/>
              <w:jc w:val="center"/>
            </w:pPr>
            <w:r w:rsidRPr="00452841">
              <w:t>0.63 [0.5, 0.79]</w:t>
            </w:r>
          </w:p>
        </w:tc>
        <w:tc>
          <w:tcPr>
            <w:tcW w:w="1584" w:type="dxa"/>
            <w:vAlign w:val="center"/>
          </w:tcPr>
          <w:p w14:paraId="41382154" w14:textId="1E897EAA" w:rsidR="00452841" w:rsidRPr="00452841" w:rsidRDefault="00452841" w:rsidP="00A87FBF">
            <w:pPr>
              <w:spacing w:line="276" w:lineRule="auto"/>
              <w:jc w:val="center"/>
            </w:pPr>
            <w:r w:rsidRPr="00452841">
              <w:t>0.14 [0.07, 0.25]</w:t>
            </w:r>
          </w:p>
        </w:tc>
        <w:tc>
          <w:tcPr>
            <w:tcW w:w="1584" w:type="dxa"/>
            <w:vAlign w:val="center"/>
          </w:tcPr>
          <w:p w14:paraId="21636DA8" w14:textId="1BCCFB67" w:rsidR="00452841" w:rsidRPr="00452841" w:rsidRDefault="00452841" w:rsidP="00A87FBF">
            <w:pPr>
              <w:spacing w:line="276" w:lineRule="auto"/>
              <w:jc w:val="center"/>
            </w:pPr>
            <w:r w:rsidRPr="00452841">
              <w:t>0.1 [0.03, 0.15]</w:t>
            </w:r>
          </w:p>
        </w:tc>
      </w:tr>
      <w:tr w:rsidR="00452841" w:rsidRPr="00D2239A" w14:paraId="6830492B" w14:textId="7E728D36" w:rsidTr="00A87FBF">
        <w:trPr>
          <w:trHeight w:val="504"/>
        </w:trPr>
        <w:tc>
          <w:tcPr>
            <w:tcW w:w="1152" w:type="dxa"/>
            <w:vAlign w:val="bottom"/>
          </w:tcPr>
          <w:p w14:paraId="2D2AA44B" w14:textId="77777777" w:rsidR="00A87FBF" w:rsidRDefault="00452841" w:rsidP="00452841">
            <w:pPr>
              <w:spacing w:line="276" w:lineRule="auto"/>
              <w:rPr>
                <w:rFonts w:cs="Times New Roman"/>
                <w:sz w:val="18"/>
                <w:szCs w:val="18"/>
              </w:rPr>
            </w:pPr>
            <w:r w:rsidRPr="00452841">
              <w:rPr>
                <w:rFonts w:cs="Times New Roman"/>
                <w:sz w:val="18"/>
                <w:szCs w:val="18"/>
              </w:rPr>
              <w:t>MOUD</w:t>
            </w:r>
          </w:p>
          <w:p w14:paraId="1A40A7EB" w14:textId="786DF3B0" w:rsidR="00452841" w:rsidRPr="00452841" w:rsidRDefault="00452841" w:rsidP="00452841">
            <w:pPr>
              <w:spacing w:line="276" w:lineRule="auto"/>
            </w:pPr>
            <w:r>
              <w:rPr>
                <w:rFonts w:cs="Times New Roman"/>
                <w:sz w:val="18"/>
                <w:szCs w:val="18"/>
              </w:rPr>
              <w:t>(month 1)</w:t>
            </w:r>
          </w:p>
        </w:tc>
        <w:tc>
          <w:tcPr>
            <w:tcW w:w="2016" w:type="dxa"/>
            <w:vAlign w:val="center"/>
          </w:tcPr>
          <w:p w14:paraId="3D769ED7" w14:textId="1311E912" w:rsidR="00452841" w:rsidRPr="00452841" w:rsidRDefault="00452841" w:rsidP="00A87FBF">
            <w:pPr>
              <w:spacing w:line="276" w:lineRule="auto"/>
              <w:jc w:val="center"/>
            </w:pPr>
            <w:r w:rsidRPr="00452841">
              <w:t>$ 611.9 [371.4, 941]</w:t>
            </w:r>
          </w:p>
        </w:tc>
        <w:tc>
          <w:tcPr>
            <w:tcW w:w="1584" w:type="dxa"/>
            <w:vAlign w:val="center"/>
          </w:tcPr>
          <w:p w14:paraId="0AB867FD" w14:textId="407FB9E7" w:rsidR="00452841" w:rsidRPr="00452841" w:rsidRDefault="00452841" w:rsidP="00A87FBF">
            <w:pPr>
              <w:spacing w:line="276" w:lineRule="auto"/>
              <w:jc w:val="center"/>
            </w:pPr>
            <w:r w:rsidRPr="00452841">
              <w:t>0.16 [0.06, 0.28]</w:t>
            </w:r>
          </w:p>
        </w:tc>
        <w:tc>
          <w:tcPr>
            <w:tcW w:w="1584" w:type="dxa"/>
            <w:vAlign w:val="center"/>
          </w:tcPr>
          <w:p w14:paraId="5F7A0C21" w14:textId="7E7959F0" w:rsidR="00452841" w:rsidRPr="00452841" w:rsidRDefault="00452841" w:rsidP="00A87FBF">
            <w:pPr>
              <w:spacing w:line="276" w:lineRule="auto"/>
              <w:jc w:val="center"/>
            </w:pPr>
            <w:r w:rsidRPr="00452841">
              <w:t>0.47 [0.29, 0.68]</w:t>
            </w:r>
          </w:p>
        </w:tc>
        <w:tc>
          <w:tcPr>
            <w:tcW w:w="1584" w:type="dxa"/>
            <w:vAlign w:val="center"/>
          </w:tcPr>
          <w:p w14:paraId="0BA03FE4" w14:textId="107C4619" w:rsidR="00452841" w:rsidRPr="00452841" w:rsidRDefault="00452841" w:rsidP="00A87FBF">
            <w:pPr>
              <w:spacing w:line="276" w:lineRule="auto"/>
              <w:jc w:val="center"/>
            </w:pPr>
            <w:r w:rsidRPr="00452841">
              <w:t>0.3 [0.18, 0.52]</w:t>
            </w:r>
          </w:p>
        </w:tc>
        <w:tc>
          <w:tcPr>
            <w:tcW w:w="1584" w:type="dxa"/>
            <w:vAlign w:val="center"/>
          </w:tcPr>
          <w:p w14:paraId="1DBFB744" w14:textId="0A99F4F1" w:rsidR="00452841" w:rsidRPr="00452841" w:rsidRDefault="00452841" w:rsidP="00A87FBF">
            <w:pPr>
              <w:spacing w:line="276" w:lineRule="auto"/>
              <w:jc w:val="center"/>
            </w:pPr>
            <w:r w:rsidRPr="00452841">
              <w:t>0.07 [0.02, 0.12]</w:t>
            </w:r>
          </w:p>
        </w:tc>
      </w:tr>
      <w:tr w:rsidR="00452841" w:rsidRPr="00D2239A" w14:paraId="6F0AD1A2" w14:textId="5EE67056" w:rsidTr="00A87FBF">
        <w:trPr>
          <w:trHeight w:val="504"/>
        </w:trPr>
        <w:tc>
          <w:tcPr>
            <w:tcW w:w="1152" w:type="dxa"/>
            <w:vAlign w:val="bottom"/>
          </w:tcPr>
          <w:p w14:paraId="4151E838" w14:textId="77777777" w:rsidR="00A87FBF" w:rsidRDefault="00452841" w:rsidP="00452841">
            <w:pPr>
              <w:spacing w:line="276" w:lineRule="auto"/>
              <w:rPr>
                <w:rFonts w:cs="Times New Roman"/>
                <w:sz w:val="18"/>
                <w:szCs w:val="18"/>
              </w:rPr>
            </w:pPr>
            <w:r w:rsidRPr="00452841">
              <w:rPr>
                <w:rFonts w:cs="Times New Roman"/>
                <w:sz w:val="18"/>
                <w:szCs w:val="18"/>
              </w:rPr>
              <w:t>MOUD</w:t>
            </w:r>
          </w:p>
          <w:p w14:paraId="1F73E824" w14:textId="7E467313" w:rsidR="00452841" w:rsidRPr="00452841" w:rsidRDefault="00A87FBF" w:rsidP="00A87FBF">
            <w:pPr>
              <w:spacing w:line="276" w:lineRule="auto"/>
            </w:pPr>
            <w:r>
              <w:rPr>
                <w:rFonts w:cs="Times New Roman"/>
                <w:sz w:val="18"/>
                <w:szCs w:val="18"/>
              </w:rPr>
              <w:t>(</w:t>
            </w:r>
            <w:r w:rsidR="00452841">
              <w:rPr>
                <w:rFonts w:cs="Times New Roman"/>
                <w:sz w:val="18"/>
                <w:szCs w:val="18"/>
              </w:rPr>
              <w:t>month 1+)</w:t>
            </w:r>
          </w:p>
        </w:tc>
        <w:tc>
          <w:tcPr>
            <w:tcW w:w="2016" w:type="dxa"/>
            <w:vAlign w:val="center"/>
          </w:tcPr>
          <w:p w14:paraId="3C9D67AC" w14:textId="43F0F269" w:rsidR="00452841" w:rsidRPr="00452841" w:rsidRDefault="00452841" w:rsidP="00A87FBF">
            <w:pPr>
              <w:spacing w:line="276" w:lineRule="auto"/>
              <w:jc w:val="center"/>
            </w:pPr>
            <w:r w:rsidRPr="00452841">
              <w:t>$ 175.2 [103.4, 321.8]</w:t>
            </w:r>
          </w:p>
        </w:tc>
        <w:tc>
          <w:tcPr>
            <w:tcW w:w="1584" w:type="dxa"/>
            <w:vAlign w:val="center"/>
          </w:tcPr>
          <w:p w14:paraId="7D9F0CF8" w14:textId="7D9300CF" w:rsidR="00452841" w:rsidRPr="00452841" w:rsidRDefault="00452841" w:rsidP="00A87FBF">
            <w:pPr>
              <w:spacing w:line="276" w:lineRule="auto"/>
              <w:jc w:val="center"/>
            </w:pPr>
            <w:r w:rsidRPr="00452841">
              <w:t>0.14 [0.05, 0.27]</w:t>
            </w:r>
          </w:p>
        </w:tc>
        <w:tc>
          <w:tcPr>
            <w:tcW w:w="1584" w:type="dxa"/>
            <w:vAlign w:val="center"/>
          </w:tcPr>
          <w:p w14:paraId="59C17DFA" w14:textId="1FA55060" w:rsidR="00452841" w:rsidRPr="00452841" w:rsidRDefault="00452841" w:rsidP="00A87FBF">
            <w:pPr>
              <w:spacing w:line="276" w:lineRule="auto"/>
              <w:jc w:val="center"/>
            </w:pPr>
            <w:r w:rsidRPr="00452841">
              <w:t>0.52 [0.33, 0.72]</w:t>
            </w:r>
          </w:p>
        </w:tc>
        <w:tc>
          <w:tcPr>
            <w:tcW w:w="1584" w:type="dxa"/>
            <w:vAlign w:val="center"/>
          </w:tcPr>
          <w:p w14:paraId="49707BC4" w14:textId="240934F7" w:rsidR="00452841" w:rsidRPr="00452841" w:rsidRDefault="00452841" w:rsidP="00A87FBF">
            <w:pPr>
              <w:spacing w:line="276" w:lineRule="auto"/>
              <w:jc w:val="center"/>
            </w:pPr>
            <w:r w:rsidRPr="00452841">
              <w:t>0.22 [0.12, 0.37]</w:t>
            </w:r>
          </w:p>
        </w:tc>
        <w:tc>
          <w:tcPr>
            <w:tcW w:w="1584" w:type="dxa"/>
            <w:vAlign w:val="center"/>
          </w:tcPr>
          <w:p w14:paraId="7B48F6F3" w14:textId="1041A327" w:rsidR="00452841" w:rsidRPr="00452841" w:rsidRDefault="00452841" w:rsidP="00A87FBF">
            <w:pPr>
              <w:spacing w:line="276" w:lineRule="auto"/>
              <w:jc w:val="center"/>
            </w:pPr>
            <w:r w:rsidRPr="00452841">
              <w:t>0.12 [0.03, 0.19]</w:t>
            </w:r>
          </w:p>
        </w:tc>
      </w:tr>
      <w:tr w:rsidR="00452841" w:rsidRPr="00D2239A" w14:paraId="2AEC3501" w14:textId="3936C5EF" w:rsidTr="00A87FBF">
        <w:trPr>
          <w:trHeight w:val="504"/>
        </w:trPr>
        <w:tc>
          <w:tcPr>
            <w:tcW w:w="1152" w:type="dxa"/>
            <w:vAlign w:val="bottom"/>
          </w:tcPr>
          <w:p w14:paraId="0D1930AF" w14:textId="7BAED3B9" w:rsidR="00452841" w:rsidRPr="00452841" w:rsidRDefault="00452841" w:rsidP="00452841">
            <w:pPr>
              <w:spacing w:line="276" w:lineRule="auto"/>
            </w:pPr>
            <w:r w:rsidRPr="00452841">
              <w:rPr>
                <w:rFonts w:cs="Times New Roman"/>
                <w:sz w:val="18"/>
                <w:szCs w:val="18"/>
              </w:rPr>
              <w:t>REC</w:t>
            </w:r>
          </w:p>
        </w:tc>
        <w:tc>
          <w:tcPr>
            <w:tcW w:w="2016" w:type="dxa"/>
            <w:vAlign w:val="center"/>
          </w:tcPr>
          <w:p w14:paraId="1A6D74BB" w14:textId="07A062E7" w:rsidR="00452841" w:rsidRPr="00452841" w:rsidRDefault="00452841" w:rsidP="00A87FBF">
            <w:pPr>
              <w:spacing w:line="276" w:lineRule="auto"/>
              <w:jc w:val="center"/>
            </w:pPr>
            <w:r w:rsidRPr="00452841">
              <w:t>$ 7.4 [0.9, 28]</w:t>
            </w:r>
          </w:p>
        </w:tc>
        <w:tc>
          <w:tcPr>
            <w:tcW w:w="1584" w:type="dxa"/>
            <w:vAlign w:val="center"/>
          </w:tcPr>
          <w:p w14:paraId="7423E486" w14:textId="030F8516" w:rsidR="00452841" w:rsidRPr="00452841" w:rsidRDefault="00452841" w:rsidP="00A87FBF">
            <w:pPr>
              <w:spacing w:line="276" w:lineRule="auto"/>
              <w:jc w:val="center"/>
            </w:pPr>
            <w:r w:rsidRPr="00452841">
              <w:t>0 [0, 0]</w:t>
            </w:r>
          </w:p>
        </w:tc>
        <w:tc>
          <w:tcPr>
            <w:tcW w:w="1584" w:type="dxa"/>
            <w:vAlign w:val="center"/>
          </w:tcPr>
          <w:p w14:paraId="2002EA88" w14:textId="6576D0CB" w:rsidR="00452841" w:rsidRPr="00452841" w:rsidRDefault="00452841" w:rsidP="00A87FBF">
            <w:pPr>
              <w:spacing w:line="276" w:lineRule="auto"/>
              <w:jc w:val="center"/>
            </w:pPr>
            <w:r w:rsidRPr="00452841">
              <w:t>0.02 [0, 0.41]</w:t>
            </w:r>
          </w:p>
        </w:tc>
        <w:tc>
          <w:tcPr>
            <w:tcW w:w="1584" w:type="dxa"/>
            <w:vAlign w:val="center"/>
          </w:tcPr>
          <w:p w14:paraId="05542CD5" w14:textId="1A34F499" w:rsidR="00452841" w:rsidRPr="00452841" w:rsidRDefault="00452841" w:rsidP="00A87FBF">
            <w:pPr>
              <w:spacing w:line="276" w:lineRule="auto"/>
              <w:jc w:val="center"/>
            </w:pPr>
            <w:r w:rsidRPr="00452841">
              <w:t>0.57 [0, 0.91]</w:t>
            </w:r>
          </w:p>
        </w:tc>
        <w:tc>
          <w:tcPr>
            <w:tcW w:w="1584" w:type="dxa"/>
            <w:vAlign w:val="center"/>
          </w:tcPr>
          <w:p w14:paraId="0948940A" w14:textId="7C985B9C" w:rsidR="00452841" w:rsidRPr="00452841" w:rsidRDefault="00452841" w:rsidP="00A87FBF">
            <w:pPr>
              <w:spacing w:line="276" w:lineRule="auto"/>
              <w:jc w:val="center"/>
            </w:pPr>
            <w:r w:rsidRPr="00452841">
              <w:t>0.41 [0.09, 1]</w:t>
            </w:r>
          </w:p>
        </w:tc>
      </w:tr>
    </w:tbl>
    <w:p w14:paraId="5C006C91" w14:textId="77777777" w:rsidR="00363E8B" w:rsidRDefault="00363E8B" w:rsidP="00787C26">
      <w:pPr>
        <w:rPr>
          <w:b/>
          <w:bCs/>
        </w:rPr>
      </w:pPr>
    </w:p>
    <w:p w14:paraId="3F138DA5" w14:textId="6481A0BD" w:rsidR="00363E8B" w:rsidRPr="00363E8B" w:rsidRDefault="00363E8B" w:rsidP="00787C26">
      <w:pPr>
        <w:rPr>
          <w:b/>
          <w:bCs/>
        </w:rPr>
      </w:pPr>
      <w:r w:rsidRPr="00363E8B">
        <w:rPr>
          <w:b/>
          <w:bCs/>
        </w:rPr>
        <w:t>Productivity</w:t>
      </w:r>
    </w:p>
    <w:p w14:paraId="0D5A2551" w14:textId="12D0B9EC" w:rsidR="00787C26" w:rsidRDefault="00787C26" w:rsidP="00787C26">
      <w:r>
        <w:t xml:space="preserve">Productivity was represented in the model using age- and sex-specific estimates from Grosse and colleagues </w:t>
      </w:r>
      <w:r>
        <w:fldChar w:fldCharType="begin"/>
      </w:r>
      <w:r w:rsidR="0037266D">
        <w:instrText xml:space="preserve"> ADDIN EN.CITE &lt;EndNote&gt;&lt;Cite ExcludeAuth="1"&gt;&lt;Author&gt;Grosse&lt;/Author&gt;&lt;Year&gt;2019&lt;/Year&gt;&lt;RecNum&gt;9&lt;/RecNum&gt;&lt;DisplayText&gt;&lt;style face="superscript"&gt;50&lt;/style&gt;&lt;/DisplayText&gt;&lt;record&gt;&lt;rec-number&gt;9&lt;/rec-number&gt;&lt;foreign-keys&gt;&lt;key app="EN" db-id="vvr02fsw8wr2f5et2p8pzr0qs25d59ewpfta" timestamp="1717173727"&gt;9&lt;/key&gt;&lt;/foreign-keys&gt;&lt;ref-type name="Journal Article"&gt;17&lt;/ref-type&gt;&lt;contributors&gt;&lt;authors&gt;&lt;author&gt;Grosse, Scott D&lt;/author&gt;&lt;author&gt;Krueger, Kurt V&lt;/author&gt;&lt;author&gt;Pike, Jamison&lt;/author&gt;&lt;/authors&gt;&lt;/contributors&gt;&lt;titles&gt;&lt;title&gt;Estimated annual and lifetime labor productivity in the United States, 2016: implications for economic evaluations&lt;/title&gt;&lt;secondary-title&gt;Journal of medical economics&lt;/secondary-title&gt;&lt;/titles&gt;&lt;periodical&gt;&lt;full-title&gt;Journal of medical economics&lt;/full-title&gt;&lt;/periodical&gt;&lt;pages&gt;501-508&lt;/pages&gt;&lt;volume&gt;22&lt;/volume&gt;&lt;number&gt;6&lt;/number&gt;&lt;dates&gt;&lt;year&gt;2019&lt;/year&gt;&lt;/dates&gt;&lt;isbn&gt;1369-6998&lt;/isbn&gt;&lt;urls&gt;&lt;/urls&gt;&lt;/record&gt;&lt;/Cite&gt;&lt;/EndNote&gt;</w:instrText>
      </w:r>
      <w:r>
        <w:fldChar w:fldCharType="separate"/>
      </w:r>
      <w:r w:rsidR="0037266D" w:rsidRPr="0037266D">
        <w:rPr>
          <w:noProof/>
          <w:vertAlign w:val="superscript"/>
        </w:rPr>
        <w:t>50</w:t>
      </w:r>
      <w:r>
        <w:fldChar w:fldCharType="end"/>
      </w:r>
      <w:r>
        <w:t>. The estimates represent the total value of both market and non-market activities. Market productivity comprises gross compensation from labor (i.e., wage/salary and benefits) and non-market productivity comprises activities such as caring for one’s household and dependents.</w:t>
      </w:r>
      <w:r>
        <w:rPr>
          <w:rStyle w:val="FootnoteReference"/>
        </w:rPr>
        <w:footnoteReference w:id="4"/>
      </w:r>
      <w:r>
        <w:t xml:space="preserve"> Total monthly productivity (the sum of market and non-market </w:t>
      </w:r>
      <w:r>
        <w:lastRenderedPageBreak/>
        <w:t xml:space="preserve">productivity) from Grosse and colleagues ranges from $1,513 (females aged 75 and older) to $10,287 (males aged 45 to 54). We assumed that productivity for people under the age of 15 was $0. </w:t>
      </w:r>
    </w:p>
    <w:p w14:paraId="565652EA" w14:textId="2A7781C0" w:rsidR="00787C26" w:rsidRDefault="00787C26" w:rsidP="00787C26">
      <w:r>
        <w:t xml:space="preserve">To account for differences in productivity by model state, we updated an earlier effort to estimate productivity decrements using NSDUH data </w:t>
      </w:r>
      <w:r>
        <w:fldChar w:fldCharType="begin"/>
      </w:r>
      <w:r w:rsidR="0037266D">
        <w:instrText xml:space="preserve"> ADDIN EN.CITE &lt;EndNote&gt;&lt;Cite&gt;&lt;Author&gt;U.S. Department of Justice National Drug Intelligence Center&lt;/Author&gt;&lt;Year&gt;2011&lt;/Year&gt;&lt;RecNum&gt;10&lt;/RecNum&gt;&lt;DisplayText&gt;&lt;style face="superscript"&gt;51&lt;/style&gt;&lt;/DisplayText&gt;&lt;record&gt;&lt;rec-number&gt;10&lt;/rec-number&gt;&lt;foreign-keys&gt;&lt;key app="EN" db-id="vvr02fsw8wr2f5et2p8pzr0qs25d59ewpfta" timestamp="1717174605"&gt;10&lt;/key&gt;&lt;/foreign-keys&gt;&lt;ref-type name="Journal Article"&gt;17&lt;/ref-type&gt;&lt;contributors&gt;&lt;authors&gt;&lt;author&gt;U.S. Department of Justice National Drug Intelligence Center,&lt;/author&gt;&lt;/authors&gt;&lt;/contributors&gt;&lt;titles&gt;&lt;title&gt;The Economic Impact of Illicit Drug Use on American Society&lt;/title&gt;&lt;/titles&gt;&lt;dates&gt;&lt;year&gt;2011&lt;/year&gt;&lt;/dates&gt;&lt;urls&gt;&lt;related-urls&gt;&lt;url&gt;https://www.justice.gov/archive/ndic/pubs44/44731/44731p.pdf&lt;/url&gt;&lt;/related-urls&gt;&lt;/urls&gt;&lt;/record&gt;&lt;/Cite&gt;&lt;/EndNote&gt;</w:instrText>
      </w:r>
      <w:r>
        <w:fldChar w:fldCharType="separate"/>
      </w:r>
      <w:r w:rsidR="0037266D" w:rsidRPr="0037266D">
        <w:rPr>
          <w:noProof/>
          <w:vertAlign w:val="superscript"/>
        </w:rPr>
        <w:t>51</w:t>
      </w:r>
      <w:r>
        <w:fldChar w:fldCharType="end"/>
      </w:r>
      <w:r>
        <w:t xml:space="preserve"> to better reflect OUD (rather than SUD generally) and to use more recent data. We recoded the six-level NSDUH state variable defined in the </w:t>
      </w:r>
      <w:r w:rsidRPr="003F3673">
        <w:rPr>
          <w:i/>
          <w:iCs/>
        </w:rPr>
        <w:t>Costs of Healthcare Utilization</w:t>
      </w:r>
      <w:r>
        <w:t xml:space="preserve"> section into a four-level variable by combining the ILL and OUD states and the REC and “out of model” states. We regressed the count of hours worked in the past week on the four-level state variable, age group, sex, educational attainment, marital status, and an indicator for past-year alcohol use disorder. We computed the ratio of hours worked for the RX, ILL/OUD, and MOUD states to the remaining group as 0.937, 0.502, and 0.848, respectively.</w:t>
      </w:r>
      <w:r>
        <w:rPr>
          <w:rStyle w:val="FootnoteReference"/>
        </w:rPr>
        <w:footnoteReference w:id="5"/>
      </w:r>
      <w:r>
        <w:t xml:space="preserve"> We computed age-, sex-, and model state-specific productivity costs as one minus the ratios computed times the age- and sex-specific productivity estimates from Grosse and colleagues </w:t>
      </w:r>
      <w:r>
        <w:fldChar w:fldCharType="begin"/>
      </w:r>
      <w:r w:rsidR="0037266D">
        <w:instrText xml:space="preserve"> ADDIN EN.CITE &lt;EndNote&gt;&lt;Cite ExcludeAuth="1"&gt;&lt;Author&gt;Grosse&lt;/Author&gt;&lt;Year&gt;2019&lt;/Year&gt;&lt;RecNum&gt;9&lt;/RecNum&gt;&lt;DisplayText&gt;&lt;style face="superscript"&gt;50&lt;/style&gt;&lt;/DisplayText&gt;&lt;record&gt;&lt;rec-number&gt;9&lt;/rec-number&gt;&lt;foreign-keys&gt;&lt;key app="EN" db-id="vvr02fsw8wr2f5et2p8pzr0qs25d59ewpfta" timestamp="1717173727"&gt;9&lt;/key&gt;&lt;/foreign-keys&gt;&lt;ref-type name="Journal Article"&gt;17&lt;/ref-type&gt;&lt;contributors&gt;&lt;authors&gt;&lt;author&gt;Grosse, Scott D&lt;/author&gt;&lt;author&gt;Krueger, Kurt V&lt;/author&gt;&lt;author&gt;Pike, Jamison&lt;/author&gt;&lt;/authors&gt;&lt;/contributors&gt;&lt;titles&gt;&lt;title&gt;Estimated annual and lifetime labor productivity in the United States, 2016: implications for economic evaluations&lt;/title&gt;&lt;secondary-title&gt;Journal of medical economics&lt;/secondary-title&gt;&lt;/titles&gt;&lt;periodical&gt;&lt;full-title&gt;Journal of medical economics&lt;/full-title&gt;&lt;/periodical&gt;&lt;pages&gt;501-508&lt;/pages&gt;&lt;volume&gt;22&lt;/volume&gt;&lt;number&gt;6&lt;/number&gt;&lt;dates&gt;&lt;year&gt;2019&lt;/year&gt;&lt;/dates&gt;&lt;isbn&gt;1369-6998&lt;/isbn&gt;&lt;urls&gt;&lt;/urls&gt;&lt;/record&gt;&lt;/Cite&gt;&lt;/EndNote&gt;</w:instrText>
      </w:r>
      <w:r>
        <w:fldChar w:fldCharType="separate"/>
      </w:r>
      <w:r w:rsidR="0037266D" w:rsidRPr="0037266D">
        <w:rPr>
          <w:noProof/>
          <w:vertAlign w:val="superscript"/>
        </w:rPr>
        <w:t>50</w:t>
      </w:r>
      <w:r>
        <w:fldChar w:fldCharType="end"/>
      </w:r>
      <w:r>
        <w:t xml:space="preserve">. </w:t>
      </w:r>
    </w:p>
    <w:p w14:paraId="0BDD3390" w14:textId="40684552" w:rsidR="00363E8B" w:rsidRPr="00363E8B" w:rsidRDefault="00363E8B" w:rsidP="00787C26">
      <w:pPr>
        <w:rPr>
          <w:b/>
          <w:bCs/>
        </w:rPr>
      </w:pPr>
      <w:r w:rsidRPr="00363E8B">
        <w:rPr>
          <w:b/>
          <w:bCs/>
        </w:rPr>
        <w:t>Criminal legal</w:t>
      </w:r>
    </w:p>
    <w:p w14:paraId="3C293048" w14:textId="1F328D44" w:rsidR="00596E58" w:rsidRDefault="00787C26" w:rsidP="00787C26">
      <w:r>
        <w:t xml:space="preserve">Age-specific criminal </w:t>
      </w:r>
      <w:r w:rsidR="00D41A91">
        <w:t>legal</w:t>
      </w:r>
      <w:r>
        <w:t xml:space="preserve"> costs were applied to individuals in the OUD state based on aggregate costs reported by Florence and colleagues </w:t>
      </w:r>
      <w:r>
        <w:fldChar w:fldCharType="begin"/>
      </w:r>
      <w:r w:rsidR="0037266D">
        <w:instrText xml:space="preserve"> ADDIN EN.CITE &lt;EndNote&gt;&lt;Cite ExcludeAuth="1"&gt;&lt;Author&gt;Florence&lt;/Author&gt;&lt;Year&gt;2016&lt;/Year&gt;&lt;RecNum&gt;36&lt;/RecNum&gt;&lt;DisplayText&gt;&lt;style face="superscript"&gt;52&lt;/style&gt;&lt;/DisplayText&gt;&lt;record&gt;&lt;rec-number&gt;36&lt;/rec-number&gt;&lt;foreign-keys&gt;&lt;key app="EN" db-id="pwwedrtwnpw20vervr1p9p2y9exw2awedx5t" timestamp="1774561198"&gt;36&lt;/key&gt;&lt;/foreign-keys&gt;&lt;ref-type name="Journal Article"&gt;17&lt;/ref-type&gt;&lt;contributors&gt;&lt;authors&gt;&lt;author&gt;Florence, Curtis S&lt;/author&gt;&lt;author&gt;Zhou, Chao&lt;/author&gt;&lt;author&gt;Luo, Feijun&lt;/author&gt;&lt;author&gt;Xu, Likang&lt;/author&gt;&lt;/authors&gt;&lt;/contributors&gt;&lt;titles&gt;&lt;title&gt;The economic burden of prescription opioid overdose, abuse, and dependence in the United States, 2013&lt;/title&gt;&lt;secondary-title&gt;Medical Care&lt;/secondary-title&gt;&lt;/titles&gt;&lt;periodical&gt;&lt;full-title&gt;Medical care&lt;/full-title&gt;&lt;/periodical&gt;&lt;pages&gt;901-906&lt;/pages&gt;&lt;volume&gt;54&lt;/volume&gt;&lt;number&gt;10&lt;/number&gt;&lt;dates&gt;&lt;year&gt;2016&lt;/year&gt;&lt;/dates&gt;&lt;isbn&gt;0025-7079&lt;/isbn&gt;&lt;urls&gt;&lt;/urls&gt;&lt;/record&gt;&lt;/Cite&gt;&lt;/EndNote&gt;</w:instrText>
      </w:r>
      <w:r>
        <w:fldChar w:fldCharType="separate"/>
      </w:r>
      <w:r w:rsidR="0037266D" w:rsidRPr="0037266D">
        <w:rPr>
          <w:noProof/>
          <w:vertAlign w:val="superscript"/>
        </w:rPr>
        <w:t>52</w:t>
      </w:r>
      <w:r>
        <w:fldChar w:fldCharType="end"/>
      </w:r>
      <w:r>
        <w:t xml:space="preserve"> converted to age-specific per-person costs based on OUD case counts estimated by Murphy </w:t>
      </w:r>
      <w:r>
        <w:fldChar w:fldCharType="begin"/>
      </w:r>
      <w:r w:rsidR="0037266D">
        <w:instrText xml:space="preserve"> ADDIN EN.CITE &lt;EndNote&gt;&lt;Cite ExcludeAuth="1"&gt;&lt;Author&gt;Murphy&lt;/Author&gt;&lt;Year&gt;2020&lt;/Year&gt;&lt;RecNum&gt;11&lt;/RecNum&gt;&lt;DisplayText&gt;&lt;style face="superscript"&gt;53&lt;/style&gt;&lt;/DisplayText&gt;&lt;record&gt;&lt;rec-number&gt;11&lt;/rec-number&gt;&lt;foreign-keys&gt;&lt;key app="EN" db-id="vvr02fsw8wr2f5et2p8pzr0qs25d59ewpfta" timestamp="1717175391"&gt;11&lt;/key&gt;&lt;/foreign-keys&gt;&lt;ref-type name="Journal Article"&gt;17&lt;/ref-type&gt;&lt;contributors&gt;&lt;authors&gt;&lt;author&gt;Murphy, Sean M&lt;/author&gt;&lt;/authors&gt;&lt;/contributors&gt;&lt;titles&gt;&lt;title&gt;The cost of opioid use disorder and the value of aversion&lt;/title&gt;&lt;secondary-title&gt;Drug and alcohol dependence&lt;/secondary-title&gt;&lt;/titles&gt;&lt;periodical&gt;&lt;full-title&gt;Drug and alcohol dependence&lt;/full-title&gt;&lt;/periodical&gt;&lt;pages&gt;108382&lt;/pages&gt;&lt;volume&gt;217&lt;/volume&gt;&lt;dates&gt;&lt;year&gt;2020&lt;/year&gt;&lt;/dates&gt;&lt;isbn&gt;0376-8716&lt;/isbn&gt;&lt;urls&gt;&lt;/urls&gt;&lt;/record&gt;&lt;/Cite&gt;&lt;/EndNote&gt;</w:instrText>
      </w:r>
      <w:r>
        <w:fldChar w:fldCharType="separate"/>
      </w:r>
      <w:r w:rsidR="0037266D" w:rsidRPr="0037266D">
        <w:rPr>
          <w:noProof/>
          <w:vertAlign w:val="superscript"/>
        </w:rPr>
        <w:t>53</w:t>
      </w:r>
      <w:r>
        <w:fldChar w:fldCharType="end"/>
      </w:r>
      <w:r>
        <w:t>. The criminal</w:t>
      </w:r>
      <w:r w:rsidR="00D41A91">
        <w:t xml:space="preserve"> legal</w:t>
      </w:r>
      <w:r>
        <w:t xml:space="preserve"> costs accounted for </w:t>
      </w:r>
      <w:r w:rsidRPr="003A6C75">
        <w:t>police protection, adjudication</w:t>
      </w:r>
      <w:r>
        <w:t>,</w:t>
      </w:r>
      <w:r w:rsidRPr="003A6C75">
        <w:t xml:space="preserve"> </w:t>
      </w:r>
      <w:r>
        <w:t>incarceration</w:t>
      </w:r>
      <w:r w:rsidRPr="003A6C75">
        <w:t>, and property los</w:t>
      </w:r>
      <w:r>
        <w:t xml:space="preserve">s </w:t>
      </w:r>
      <w:r>
        <w:fldChar w:fldCharType="begin"/>
      </w:r>
      <w:r w:rsidR="0037266D">
        <w:instrText xml:space="preserve"> ADDIN EN.CITE &lt;EndNote&gt;&lt;Cite&gt;&lt;Author&gt;Florence&lt;/Author&gt;&lt;Year&gt;2016&lt;/Year&gt;&lt;RecNum&gt;36&lt;/RecNum&gt;&lt;DisplayText&gt;&lt;style face="superscript"&gt;52&lt;/style&gt;&lt;/DisplayText&gt;&lt;record&gt;&lt;rec-number&gt;36&lt;/rec-number&gt;&lt;foreign-keys&gt;&lt;key app="EN" db-id="pwwedrtwnpw20vervr1p9p2y9exw2awedx5t" timestamp="1774561198"&gt;36&lt;/key&gt;&lt;/foreign-keys&gt;&lt;ref-type name="Journal Article"&gt;17&lt;/ref-type&gt;&lt;contributors&gt;&lt;authors&gt;&lt;author&gt;Florence, Curtis S&lt;/author&gt;&lt;author&gt;Zhou, Chao&lt;/author&gt;&lt;author&gt;Luo, Feijun&lt;/author&gt;&lt;author&gt;Xu, Likang&lt;/author&gt;&lt;/authors&gt;&lt;/contributors&gt;&lt;titles&gt;&lt;title&gt;The economic burden of prescription opioid overdose, abuse, and dependence in the United States, 2013&lt;/title&gt;&lt;secondary-title&gt;Medical Care&lt;/secondary-title&gt;&lt;/titles&gt;&lt;periodical&gt;&lt;full-title&gt;Medical care&lt;/full-title&gt;&lt;/periodical&gt;&lt;pages&gt;901-906&lt;/pages&gt;&lt;volume&gt;54&lt;/volume&gt;&lt;number&gt;10&lt;/number&gt;&lt;dates&gt;&lt;year&gt;2016&lt;/year&gt;&lt;/dates&gt;&lt;isbn&gt;0025-7079&lt;/isbn&gt;&lt;urls&gt;&lt;/urls&gt;&lt;/record&gt;&lt;/Cite&gt;&lt;/EndNote&gt;</w:instrText>
      </w:r>
      <w:r>
        <w:fldChar w:fldCharType="separate"/>
      </w:r>
      <w:r w:rsidR="0037266D" w:rsidRPr="0037266D">
        <w:rPr>
          <w:noProof/>
          <w:vertAlign w:val="superscript"/>
        </w:rPr>
        <w:t>52</w:t>
      </w:r>
      <w:r>
        <w:fldChar w:fldCharType="end"/>
      </w:r>
      <w:r>
        <w:t>.</w:t>
      </w:r>
      <w:r w:rsidRPr="003A6C75">
        <w:t xml:space="preserve"> </w:t>
      </w:r>
      <w:r>
        <w:t xml:space="preserve">The criminal </w:t>
      </w:r>
      <w:r w:rsidR="00D41A91">
        <w:t xml:space="preserve">legal </w:t>
      </w:r>
      <w:r>
        <w:t xml:space="preserve">costs represent costs attributable to opioid abuse or </w:t>
      </w:r>
      <w:r w:rsidR="00CE2DA9">
        <w:t>dependence and</w:t>
      </w:r>
      <w:r>
        <w:t xml:space="preserve"> thus were applied only to the OUD state. Incremental criminal </w:t>
      </w:r>
      <w:r w:rsidR="00E40ABA">
        <w:t>legal</w:t>
      </w:r>
      <w:r>
        <w:t xml:space="preserve"> costs were assumed to be $0 for people in all other model states.</w:t>
      </w:r>
    </w:p>
    <w:p w14:paraId="6B0C806F" w14:textId="5571B783" w:rsidR="00596E58" w:rsidRDefault="00A87FBF" w:rsidP="00596E58">
      <w:pPr>
        <w:pStyle w:val="table-title"/>
      </w:pPr>
      <w:r w:rsidRPr="00626C29">
        <w:rPr>
          <w:rFonts w:ascii="Times New Roman" w:hAnsi="Times New Roman"/>
          <w:b/>
          <w:szCs w:val="20"/>
        </w:rPr>
        <w:t xml:space="preserve">Supplementary </w:t>
      </w:r>
      <w:r w:rsidR="00596E58" w:rsidRPr="008608B1">
        <w:rPr>
          <w:rFonts w:ascii="Times New Roman" w:hAnsi="Times New Roman"/>
          <w:b/>
          <w:szCs w:val="20"/>
        </w:rPr>
        <w:t xml:space="preserve">Table </w:t>
      </w:r>
      <w:r>
        <w:rPr>
          <w:rFonts w:ascii="Times New Roman" w:hAnsi="Times New Roman"/>
          <w:b/>
          <w:szCs w:val="20"/>
        </w:rPr>
        <w:t>19</w:t>
      </w:r>
      <w:r w:rsidR="00596E58" w:rsidRPr="008608B1">
        <w:rPr>
          <w:rFonts w:ascii="Times New Roman" w:hAnsi="Times New Roman"/>
          <w:b/>
          <w:szCs w:val="20"/>
        </w:rPr>
        <w:t xml:space="preserve">. </w:t>
      </w:r>
      <w:r w:rsidR="00596E58" w:rsidRPr="00596E58">
        <w:rPr>
          <w:rFonts w:ascii="Times New Roman" w:hAnsi="Times New Roman"/>
          <w:bCs w:val="0"/>
          <w:szCs w:val="20"/>
        </w:rPr>
        <w:t>Age- and sex-specific productivity losses and criminal legal system costs.</w:t>
      </w:r>
    </w:p>
    <w:tbl>
      <w:tblPr>
        <w:tblStyle w:val="TableGrid"/>
        <w:tblW w:w="5760" w:type="dxa"/>
        <w:tblLayout w:type="fixed"/>
        <w:tblCellMar>
          <w:left w:w="72" w:type="dxa"/>
        </w:tblCellMar>
        <w:tblLook w:val="04A0" w:firstRow="1" w:lastRow="0" w:firstColumn="1" w:lastColumn="0" w:noHBand="0" w:noVBand="1"/>
      </w:tblPr>
      <w:tblGrid>
        <w:gridCol w:w="1440"/>
        <w:gridCol w:w="1440"/>
        <w:gridCol w:w="1440"/>
        <w:gridCol w:w="1440"/>
      </w:tblGrid>
      <w:tr w:rsidR="00EA2E59" w:rsidRPr="00D2239A" w14:paraId="293C3040" w14:textId="77777777" w:rsidTr="00542554">
        <w:tc>
          <w:tcPr>
            <w:tcW w:w="1440" w:type="dxa"/>
            <w:vAlign w:val="center"/>
          </w:tcPr>
          <w:p w14:paraId="2311447E" w14:textId="4C98FC46" w:rsidR="00EA2E59" w:rsidRDefault="00EA2E59" w:rsidP="00EA2E59">
            <w:pPr>
              <w:spacing w:line="276" w:lineRule="auto"/>
              <w:rPr>
                <w:rStyle w:val="CommentReference"/>
                <w:rFonts w:cs="Times New Roman"/>
                <w:sz w:val="18"/>
                <w:szCs w:val="18"/>
              </w:rPr>
            </w:pPr>
            <w:r>
              <w:rPr>
                <w:rFonts w:cs="Times New Roman"/>
                <w:b/>
                <w:bCs/>
                <w:sz w:val="18"/>
                <w:szCs w:val="18"/>
              </w:rPr>
              <w:t>Age Group</w:t>
            </w:r>
          </w:p>
        </w:tc>
        <w:tc>
          <w:tcPr>
            <w:tcW w:w="1440" w:type="dxa"/>
          </w:tcPr>
          <w:p w14:paraId="6F992642" w14:textId="77777777" w:rsidR="00EA2E59" w:rsidRPr="00363E8B" w:rsidRDefault="00EA2E59" w:rsidP="00EA2E59">
            <w:pPr>
              <w:jc w:val="center"/>
              <w:rPr>
                <w:b/>
                <w:bCs/>
              </w:rPr>
            </w:pPr>
            <w:r w:rsidRPr="00363E8B">
              <w:rPr>
                <w:b/>
                <w:bCs/>
              </w:rPr>
              <w:t>Productivity</w:t>
            </w:r>
          </w:p>
          <w:p w14:paraId="046AB267" w14:textId="549306A3" w:rsidR="00EA2E59" w:rsidRPr="00D2239A" w:rsidRDefault="00EA2E59" w:rsidP="00EA2E59">
            <w:pPr>
              <w:spacing w:line="276" w:lineRule="auto"/>
              <w:jc w:val="center"/>
              <w:rPr>
                <w:rFonts w:cs="Times New Roman"/>
                <w:sz w:val="18"/>
                <w:szCs w:val="18"/>
              </w:rPr>
            </w:pPr>
            <w:r>
              <w:rPr>
                <w:rFonts w:cs="Times New Roman"/>
                <w:sz w:val="18"/>
                <w:szCs w:val="18"/>
              </w:rPr>
              <w:t>(male)</w:t>
            </w:r>
          </w:p>
        </w:tc>
        <w:tc>
          <w:tcPr>
            <w:tcW w:w="1440" w:type="dxa"/>
          </w:tcPr>
          <w:p w14:paraId="3749EC9A" w14:textId="77777777" w:rsidR="00EA2E59" w:rsidRPr="00363E8B" w:rsidRDefault="00EA2E59" w:rsidP="00EA2E59">
            <w:pPr>
              <w:jc w:val="center"/>
              <w:rPr>
                <w:b/>
                <w:bCs/>
              </w:rPr>
            </w:pPr>
            <w:r w:rsidRPr="00363E8B">
              <w:rPr>
                <w:b/>
                <w:bCs/>
              </w:rPr>
              <w:t>Productivity</w:t>
            </w:r>
          </w:p>
          <w:p w14:paraId="0220F88E" w14:textId="1560CC52" w:rsidR="00EA2E59" w:rsidRPr="00D2239A" w:rsidRDefault="00EA2E59" w:rsidP="00EA2E59">
            <w:pPr>
              <w:spacing w:line="276" w:lineRule="auto"/>
              <w:jc w:val="center"/>
              <w:rPr>
                <w:rFonts w:cs="Times New Roman"/>
                <w:sz w:val="18"/>
                <w:szCs w:val="18"/>
              </w:rPr>
            </w:pPr>
            <w:r>
              <w:rPr>
                <w:rFonts w:cs="Times New Roman"/>
                <w:sz w:val="18"/>
                <w:szCs w:val="18"/>
              </w:rPr>
              <w:t>(female)</w:t>
            </w:r>
          </w:p>
        </w:tc>
        <w:tc>
          <w:tcPr>
            <w:tcW w:w="1440" w:type="dxa"/>
          </w:tcPr>
          <w:p w14:paraId="758D3F00" w14:textId="77777777" w:rsidR="00EA2E59" w:rsidRDefault="00EA2E59" w:rsidP="00EA2E59">
            <w:pPr>
              <w:spacing w:line="276" w:lineRule="auto"/>
              <w:jc w:val="center"/>
              <w:rPr>
                <w:rFonts w:cs="Times New Roman"/>
                <w:b/>
                <w:bCs/>
                <w:sz w:val="18"/>
                <w:szCs w:val="18"/>
              </w:rPr>
            </w:pPr>
            <w:r>
              <w:rPr>
                <w:rFonts w:cs="Times New Roman"/>
                <w:b/>
                <w:bCs/>
                <w:sz w:val="18"/>
                <w:szCs w:val="18"/>
              </w:rPr>
              <w:t>Criminal legal</w:t>
            </w:r>
          </w:p>
          <w:p w14:paraId="687D47E6" w14:textId="2D642286" w:rsidR="00EA2E59" w:rsidRPr="00D2239A" w:rsidRDefault="00EA2E59" w:rsidP="00EA2E59">
            <w:pPr>
              <w:spacing w:line="276" w:lineRule="auto"/>
              <w:jc w:val="center"/>
              <w:rPr>
                <w:rFonts w:cs="Times New Roman"/>
                <w:sz w:val="18"/>
                <w:szCs w:val="18"/>
              </w:rPr>
            </w:pPr>
            <w:r>
              <w:rPr>
                <w:rFonts w:cs="Times New Roman"/>
                <w:b/>
                <w:bCs/>
                <w:sz w:val="18"/>
                <w:szCs w:val="18"/>
              </w:rPr>
              <w:t>(in OUD state)</w:t>
            </w:r>
          </w:p>
        </w:tc>
      </w:tr>
      <w:tr w:rsidR="00542554" w:rsidRPr="00D2239A" w14:paraId="27C6B74F" w14:textId="77777777" w:rsidTr="00542554">
        <w:tc>
          <w:tcPr>
            <w:tcW w:w="1440" w:type="dxa"/>
          </w:tcPr>
          <w:p w14:paraId="0513DE19" w14:textId="77777777" w:rsidR="00542554" w:rsidRDefault="00542554" w:rsidP="00542554">
            <w:pPr>
              <w:spacing w:line="276" w:lineRule="auto"/>
              <w:rPr>
                <w:rStyle w:val="CommentReference"/>
                <w:rFonts w:cs="Times New Roman"/>
                <w:sz w:val="18"/>
                <w:szCs w:val="18"/>
              </w:rPr>
            </w:pPr>
            <w:r>
              <w:rPr>
                <w:rStyle w:val="CommentReference"/>
                <w:rFonts w:cs="Times New Roman"/>
                <w:sz w:val="18"/>
                <w:szCs w:val="18"/>
              </w:rPr>
              <w:t>Age 12 – 14</w:t>
            </w:r>
          </w:p>
        </w:tc>
        <w:tc>
          <w:tcPr>
            <w:tcW w:w="1440" w:type="dxa"/>
            <w:vAlign w:val="bottom"/>
          </w:tcPr>
          <w:p w14:paraId="2E35ACC2" w14:textId="4E17A266" w:rsidR="00542554" w:rsidRDefault="00542554" w:rsidP="00542554">
            <w:pPr>
              <w:spacing w:line="276" w:lineRule="auto"/>
              <w:jc w:val="center"/>
              <w:rPr>
                <w:rFonts w:cs="Times New Roman"/>
                <w:sz w:val="18"/>
                <w:szCs w:val="18"/>
              </w:rPr>
            </w:pPr>
            <w:r w:rsidRPr="00542554">
              <w:rPr>
                <w:rFonts w:cs="Times New Roman"/>
                <w:sz w:val="18"/>
                <w:szCs w:val="18"/>
              </w:rPr>
              <w:t>0</w:t>
            </w:r>
          </w:p>
        </w:tc>
        <w:tc>
          <w:tcPr>
            <w:tcW w:w="1440" w:type="dxa"/>
            <w:vAlign w:val="bottom"/>
          </w:tcPr>
          <w:p w14:paraId="0F11028E" w14:textId="43B8420F" w:rsidR="00542554" w:rsidRDefault="00542554" w:rsidP="00542554">
            <w:pPr>
              <w:spacing w:line="276" w:lineRule="auto"/>
              <w:jc w:val="center"/>
              <w:rPr>
                <w:rFonts w:cs="Times New Roman"/>
                <w:sz w:val="18"/>
                <w:szCs w:val="18"/>
              </w:rPr>
            </w:pPr>
            <w:r w:rsidRPr="00542554">
              <w:rPr>
                <w:rFonts w:cs="Times New Roman"/>
                <w:sz w:val="18"/>
                <w:szCs w:val="18"/>
              </w:rPr>
              <w:t>0</w:t>
            </w:r>
          </w:p>
        </w:tc>
        <w:tc>
          <w:tcPr>
            <w:tcW w:w="1440" w:type="dxa"/>
            <w:vAlign w:val="bottom"/>
          </w:tcPr>
          <w:p w14:paraId="663C0633" w14:textId="0CCF212E" w:rsidR="00542554" w:rsidRPr="00D2239A" w:rsidRDefault="00542554" w:rsidP="00542554">
            <w:pPr>
              <w:spacing w:line="276" w:lineRule="auto"/>
              <w:jc w:val="center"/>
              <w:rPr>
                <w:rFonts w:cs="Times New Roman"/>
                <w:sz w:val="18"/>
                <w:szCs w:val="18"/>
              </w:rPr>
            </w:pPr>
            <w:r>
              <w:rPr>
                <w:rFonts w:cs="Times New Roman"/>
                <w:sz w:val="18"/>
                <w:szCs w:val="18"/>
              </w:rPr>
              <w:t xml:space="preserve">$ </w:t>
            </w:r>
            <w:r w:rsidRPr="00EA2E59">
              <w:rPr>
                <w:rFonts w:cs="Times New Roman"/>
                <w:sz w:val="18"/>
                <w:szCs w:val="18"/>
              </w:rPr>
              <w:t>41</w:t>
            </w:r>
            <w:r>
              <w:rPr>
                <w:rFonts w:cs="Times New Roman"/>
                <w:sz w:val="18"/>
                <w:szCs w:val="18"/>
              </w:rPr>
              <w:t>9</w:t>
            </w:r>
          </w:p>
        </w:tc>
      </w:tr>
      <w:tr w:rsidR="00542554" w:rsidRPr="00D2239A" w14:paraId="2EB7C70B" w14:textId="77777777" w:rsidTr="00542554">
        <w:tc>
          <w:tcPr>
            <w:tcW w:w="1440" w:type="dxa"/>
          </w:tcPr>
          <w:p w14:paraId="0D7310F1" w14:textId="77777777" w:rsidR="00542554" w:rsidRDefault="00542554" w:rsidP="00542554">
            <w:pPr>
              <w:spacing w:line="276" w:lineRule="auto"/>
              <w:rPr>
                <w:rStyle w:val="CommentReference"/>
                <w:rFonts w:cs="Times New Roman"/>
                <w:sz w:val="18"/>
                <w:szCs w:val="18"/>
              </w:rPr>
            </w:pPr>
            <w:r>
              <w:rPr>
                <w:rStyle w:val="CommentReference"/>
                <w:rFonts w:cs="Times New Roman"/>
                <w:sz w:val="18"/>
                <w:szCs w:val="18"/>
              </w:rPr>
              <w:t>Age 15 – 24</w:t>
            </w:r>
          </w:p>
        </w:tc>
        <w:tc>
          <w:tcPr>
            <w:tcW w:w="1440" w:type="dxa"/>
            <w:vAlign w:val="bottom"/>
          </w:tcPr>
          <w:p w14:paraId="6E310075" w14:textId="747891BE" w:rsidR="00542554" w:rsidRDefault="00542554" w:rsidP="00542554">
            <w:pPr>
              <w:spacing w:line="276" w:lineRule="auto"/>
              <w:jc w:val="center"/>
              <w:rPr>
                <w:rFonts w:cs="Times New Roman"/>
                <w:sz w:val="18"/>
                <w:szCs w:val="18"/>
              </w:rPr>
            </w:pPr>
            <w:r>
              <w:rPr>
                <w:rFonts w:cs="Times New Roman"/>
                <w:sz w:val="18"/>
                <w:szCs w:val="18"/>
              </w:rPr>
              <w:t xml:space="preserve">$ </w:t>
            </w:r>
            <w:r w:rsidRPr="00542554">
              <w:rPr>
                <w:rFonts w:cs="Times New Roman"/>
                <w:sz w:val="18"/>
                <w:szCs w:val="18"/>
              </w:rPr>
              <w:t>2</w:t>
            </w:r>
            <w:r>
              <w:rPr>
                <w:rFonts w:cs="Times New Roman"/>
                <w:sz w:val="18"/>
                <w:szCs w:val="18"/>
              </w:rPr>
              <w:t>,</w:t>
            </w:r>
            <w:r w:rsidRPr="00542554">
              <w:rPr>
                <w:rFonts w:cs="Times New Roman"/>
                <w:sz w:val="18"/>
                <w:szCs w:val="18"/>
              </w:rPr>
              <w:t>006</w:t>
            </w:r>
          </w:p>
        </w:tc>
        <w:tc>
          <w:tcPr>
            <w:tcW w:w="1440" w:type="dxa"/>
            <w:vAlign w:val="bottom"/>
          </w:tcPr>
          <w:p w14:paraId="64B43F01" w14:textId="32B7A9C3" w:rsidR="00542554" w:rsidRDefault="00542554" w:rsidP="00542554">
            <w:pPr>
              <w:spacing w:line="276" w:lineRule="auto"/>
              <w:jc w:val="center"/>
              <w:rPr>
                <w:rFonts w:cs="Times New Roman"/>
                <w:sz w:val="18"/>
                <w:szCs w:val="18"/>
              </w:rPr>
            </w:pPr>
            <w:r>
              <w:rPr>
                <w:rFonts w:cs="Times New Roman"/>
                <w:sz w:val="18"/>
                <w:szCs w:val="18"/>
              </w:rPr>
              <w:t xml:space="preserve">$ </w:t>
            </w:r>
            <w:r w:rsidRPr="00542554">
              <w:rPr>
                <w:rFonts w:cs="Times New Roman"/>
                <w:sz w:val="18"/>
                <w:szCs w:val="18"/>
              </w:rPr>
              <w:t>2</w:t>
            </w:r>
            <w:r>
              <w:rPr>
                <w:rFonts w:cs="Times New Roman"/>
                <w:sz w:val="18"/>
                <w:szCs w:val="18"/>
              </w:rPr>
              <w:t>,</w:t>
            </w:r>
            <w:r w:rsidRPr="00542554">
              <w:rPr>
                <w:rFonts w:cs="Times New Roman"/>
                <w:sz w:val="18"/>
                <w:szCs w:val="18"/>
              </w:rPr>
              <w:t>268</w:t>
            </w:r>
          </w:p>
        </w:tc>
        <w:tc>
          <w:tcPr>
            <w:tcW w:w="1440" w:type="dxa"/>
            <w:vAlign w:val="bottom"/>
          </w:tcPr>
          <w:p w14:paraId="125DACB8" w14:textId="1364747F" w:rsidR="00542554" w:rsidRPr="00D2239A" w:rsidRDefault="00542554" w:rsidP="00542554">
            <w:pPr>
              <w:spacing w:line="276" w:lineRule="auto"/>
              <w:jc w:val="center"/>
              <w:rPr>
                <w:rFonts w:cs="Times New Roman"/>
                <w:sz w:val="18"/>
                <w:szCs w:val="18"/>
              </w:rPr>
            </w:pPr>
            <w:r>
              <w:rPr>
                <w:rFonts w:cs="Times New Roman"/>
                <w:sz w:val="18"/>
                <w:szCs w:val="18"/>
              </w:rPr>
              <w:t xml:space="preserve">$ </w:t>
            </w:r>
            <w:r w:rsidRPr="00EA2E59">
              <w:rPr>
                <w:rFonts w:cs="Times New Roman"/>
                <w:sz w:val="18"/>
                <w:szCs w:val="18"/>
              </w:rPr>
              <w:t>3</w:t>
            </w:r>
            <w:r>
              <w:rPr>
                <w:rFonts w:cs="Times New Roman"/>
                <w:sz w:val="18"/>
                <w:szCs w:val="18"/>
              </w:rPr>
              <w:t>20</w:t>
            </w:r>
          </w:p>
        </w:tc>
      </w:tr>
      <w:tr w:rsidR="00542554" w:rsidRPr="00D2239A" w14:paraId="20F1D3FA" w14:textId="77777777" w:rsidTr="00542554">
        <w:tc>
          <w:tcPr>
            <w:tcW w:w="1440" w:type="dxa"/>
          </w:tcPr>
          <w:p w14:paraId="5B5BAD50" w14:textId="77777777" w:rsidR="00542554" w:rsidRDefault="00542554" w:rsidP="00542554">
            <w:pPr>
              <w:spacing w:line="276" w:lineRule="auto"/>
              <w:rPr>
                <w:rStyle w:val="CommentReference"/>
                <w:rFonts w:cs="Times New Roman"/>
                <w:sz w:val="18"/>
                <w:szCs w:val="18"/>
              </w:rPr>
            </w:pPr>
            <w:r>
              <w:rPr>
                <w:rStyle w:val="CommentReference"/>
                <w:rFonts w:cs="Times New Roman"/>
                <w:sz w:val="18"/>
                <w:szCs w:val="18"/>
              </w:rPr>
              <w:t>Age 25 – 34</w:t>
            </w:r>
          </w:p>
        </w:tc>
        <w:tc>
          <w:tcPr>
            <w:tcW w:w="1440" w:type="dxa"/>
            <w:vAlign w:val="bottom"/>
          </w:tcPr>
          <w:p w14:paraId="2DA667FD" w14:textId="01A36579" w:rsidR="00542554" w:rsidRDefault="00542554" w:rsidP="00542554">
            <w:pPr>
              <w:spacing w:line="276" w:lineRule="auto"/>
              <w:jc w:val="center"/>
              <w:rPr>
                <w:rFonts w:cs="Times New Roman"/>
                <w:sz w:val="18"/>
                <w:szCs w:val="18"/>
              </w:rPr>
            </w:pPr>
            <w:r>
              <w:rPr>
                <w:rFonts w:cs="Times New Roman"/>
                <w:sz w:val="18"/>
                <w:szCs w:val="18"/>
              </w:rPr>
              <w:t xml:space="preserve">$ </w:t>
            </w:r>
            <w:r w:rsidRPr="00542554">
              <w:rPr>
                <w:rFonts w:cs="Times New Roman"/>
                <w:sz w:val="18"/>
                <w:szCs w:val="18"/>
              </w:rPr>
              <w:t>6</w:t>
            </w:r>
            <w:r>
              <w:rPr>
                <w:rFonts w:cs="Times New Roman"/>
                <w:sz w:val="18"/>
                <w:szCs w:val="18"/>
              </w:rPr>
              <w:t>,</w:t>
            </w:r>
            <w:r w:rsidRPr="00542554">
              <w:rPr>
                <w:rFonts w:cs="Times New Roman"/>
                <w:sz w:val="18"/>
                <w:szCs w:val="18"/>
              </w:rPr>
              <w:t>820</w:t>
            </w:r>
          </w:p>
        </w:tc>
        <w:tc>
          <w:tcPr>
            <w:tcW w:w="1440" w:type="dxa"/>
            <w:vAlign w:val="bottom"/>
          </w:tcPr>
          <w:p w14:paraId="0695FCDD" w14:textId="01D3BAF3" w:rsidR="00542554" w:rsidRDefault="00542554" w:rsidP="00542554">
            <w:pPr>
              <w:spacing w:line="276" w:lineRule="auto"/>
              <w:jc w:val="center"/>
              <w:rPr>
                <w:rFonts w:cs="Times New Roman"/>
                <w:sz w:val="18"/>
                <w:szCs w:val="18"/>
              </w:rPr>
            </w:pPr>
            <w:r>
              <w:rPr>
                <w:rFonts w:cs="Times New Roman"/>
                <w:sz w:val="18"/>
                <w:szCs w:val="18"/>
              </w:rPr>
              <w:t xml:space="preserve">$ </w:t>
            </w:r>
            <w:r w:rsidRPr="00542554">
              <w:rPr>
                <w:rFonts w:cs="Times New Roman"/>
                <w:sz w:val="18"/>
                <w:szCs w:val="18"/>
              </w:rPr>
              <w:t>6</w:t>
            </w:r>
            <w:r>
              <w:rPr>
                <w:rFonts w:cs="Times New Roman"/>
                <w:sz w:val="18"/>
                <w:szCs w:val="18"/>
              </w:rPr>
              <w:t>,</w:t>
            </w:r>
            <w:r w:rsidRPr="00542554">
              <w:rPr>
                <w:rFonts w:cs="Times New Roman"/>
                <w:sz w:val="18"/>
                <w:szCs w:val="18"/>
              </w:rPr>
              <w:t>868</w:t>
            </w:r>
          </w:p>
        </w:tc>
        <w:tc>
          <w:tcPr>
            <w:tcW w:w="1440" w:type="dxa"/>
            <w:vAlign w:val="bottom"/>
          </w:tcPr>
          <w:p w14:paraId="6714B85E" w14:textId="19FC06B4" w:rsidR="00542554" w:rsidRPr="00D2239A" w:rsidRDefault="00542554" w:rsidP="00542554">
            <w:pPr>
              <w:spacing w:line="276" w:lineRule="auto"/>
              <w:jc w:val="center"/>
              <w:rPr>
                <w:rFonts w:cs="Times New Roman"/>
                <w:sz w:val="18"/>
                <w:szCs w:val="18"/>
              </w:rPr>
            </w:pPr>
            <w:r>
              <w:rPr>
                <w:rFonts w:cs="Times New Roman"/>
                <w:sz w:val="18"/>
                <w:szCs w:val="18"/>
              </w:rPr>
              <w:t xml:space="preserve">$ </w:t>
            </w:r>
            <w:r w:rsidRPr="00EA2E59">
              <w:rPr>
                <w:rFonts w:cs="Times New Roman"/>
                <w:sz w:val="18"/>
                <w:szCs w:val="18"/>
              </w:rPr>
              <w:t>462</w:t>
            </w:r>
          </w:p>
        </w:tc>
      </w:tr>
      <w:tr w:rsidR="00542554" w:rsidRPr="00D2239A" w14:paraId="205CEC10" w14:textId="77777777" w:rsidTr="00542554">
        <w:tc>
          <w:tcPr>
            <w:tcW w:w="1440" w:type="dxa"/>
          </w:tcPr>
          <w:p w14:paraId="785DF1E3" w14:textId="77777777" w:rsidR="00542554" w:rsidRDefault="00542554" w:rsidP="00542554">
            <w:pPr>
              <w:spacing w:line="276" w:lineRule="auto"/>
              <w:rPr>
                <w:rStyle w:val="CommentReference"/>
                <w:rFonts w:cs="Times New Roman"/>
                <w:sz w:val="18"/>
                <w:szCs w:val="18"/>
              </w:rPr>
            </w:pPr>
            <w:r>
              <w:rPr>
                <w:rStyle w:val="CommentReference"/>
                <w:rFonts w:cs="Times New Roman"/>
                <w:sz w:val="18"/>
                <w:szCs w:val="18"/>
              </w:rPr>
              <w:t>Age 35 – 44</w:t>
            </w:r>
          </w:p>
        </w:tc>
        <w:tc>
          <w:tcPr>
            <w:tcW w:w="1440" w:type="dxa"/>
            <w:vAlign w:val="bottom"/>
          </w:tcPr>
          <w:p w14:paraId="0BA6A252" w14:textId="46B750CB" w:rsidR="00542554" w:rsidRDefault="00542554" w:rsidP="00542554">
            <w:pPr>
              <w:spacing w:line="276" w:lineRule="auto"/>
              <w:jc w:val="center"/>
              <w:rPr>
                <w:rFonts w:cs="Times New Roman"/>
                <w:sz w:val="18"/>
                <w:szCs w:val="18"/>
              </w:rPr>
            </w:pPr>
            <w:r>
              <w:rPr>
                <w:rFonts w:cs="Times New Roman"/>
                <w:sz w:val="18"/>
                <w:szCs w:val="18"/>
              </w:rPr>
              <w:t xml:space="preserve">$ </w:t>
            </w:r>
            <w:r w:rsidRPr="00542554">
              <w:rPr>
                <w:rFonts w:cs="Times New Roman"/>
                <w:sz w:val="18"/>
                <w:szCs w:val="18"/>
              </w:rPr>
              <w:t>10</w:t>
            </w:r>
            <w:r>
              <w:rPr>
                <w:rFonts w:cs="Times New Roman"/>
                <w:sz w:val="18"/>
                <w:szCs w:val="18"/>
              </w:rPr>
              <w:t>,</w:t>
            </w:r>
            <w:r w:rsidRPr="00542554">
              <w:rPr>
                <w:rFonts w:cs="Times New Roman"/>
                <w:sz w:val="18"/>
                <w:szCs w:val="18"/>
              </w:rPr>
              <w:t>206</w:t>
            </w:r>
          </w:p>
        </w:tc>
        <w:tc>
          <w:tcPr>
            <w:tcW w:w="1440" w:type="dxa"/>
            <w:vAlign w:val="bottom"/>
          </w:tcPr>
          <w:p w14:paraId="300EB142" w14:textId="7EFB17FA" w:rsidR="00542554" w:rsidRDefault="00542554" w:rsidP="00542554">
            <w:pPr>
              <w:spacing w:line="276" w:lineRule="auto"/>
              <w:jc w:val="center"/>
              <w:rPr>
                <w:rFonts w:cs="Times New Roman"/>
                <w:sz w:val="18"/>
                <w:szCs w:val="18"/>
              </w:rPr>
            </w:pPr>
            <w:r>
              <w:rPr>
                <w:rFonts w:cs="Times New Roman"/>
                <w:sz w:val="18"/>
                <w:szCs w:val="18"/>
              </w:rPr>
              <w:t xml:space="preserve">$ </w:t>
            </w:r>
            <w:r w:rsidRPr="00542554">
              <w:rPr>
                <w:rFonts w:cs="Times New Roman"/>
                <w:sz w:val="18"/>
                <w:szCs w:val="18"/>
              </w:rPr>
              <w:t>8</w:t>
            </w:r>
            <w:r>
              <w:rPr>
                <w:rFonts w:cs="Times New Roman"/>
                <w:sz w:val="18"/>
                <w:szCs w:val="18"/>
              </w:rPr>
              <w:t>,</w:t>
            </w:r>
            <w:r w:rsidRPr="00542554">
              <w:rPr>
                <w:rFonts w:cs="Times New Roman"/>
                <w:sz w:val="18"/>
                <w:szCs w:val="18"/>
              </w:rPr>
              <w:t>218</w:t>
            </w:r>
          </w:p>
        </w:tc>
        <w:tc>
          <w:tcPr>
            <w:tcW w:w="1440" w:type="dxa"/>
            <w:vAlign w:val="bottom"/>
          </w:tcPr>
          <w:p w14:paraId="47158A06" w14:textId="4E1DA06E" w:rsidR="00542554" w:rsidRPr="00D2239A" w:rsidRDefault="00542554" w:rsidP="00542554">
            <w:pPr>
              <w:spacing w:line="276" w:lineRule="auto"/>
              <w:jc w:val="center"/>
              <w:rPr>
                <w:rFonts w:cs="Times New Roman"/>
                <w:sz w:val="18"/>
                <w:szCs w:val="18"/>
              </w:rPr>
            </w:pPr>
            <w:r>
              <w:rPr>
                <w:rFonts w:cs="Times New Roman"/>
                <w:sz w:val="18"/>
                <w:szCs w:val="18"/>
              </w:rPr>
              <w:t xml:space="preserve">$ </w:t>
            </w:r>
            <w:r w:rsidRPr="00EA2E59">
              <w:rPr>
                <w:rFonts w:cs="Times New Roman"/>
                <w:sz w:val="18"/>
                <w:szCs w:val="18"/>
              </w:rPr>
              <w:t>643</w:t>
            </w:r>
          </w:p>
        </w:tc>
      </w:tr>
      <w:tr w:rsidR="00542554" w:rsidRPr="00D2239A" w14:paraId="48A288DE" w14:textId="77777777" w:rsidTr="00542554">
        <w:tc>
          <w:tcPr>
            <w:tcW w:w="1440" w:type="dxa"/>
          </w:tcPr>
          <w:p w14:paraId="27D8DA29" w14:textId="77777777" w:rsidR="00542554" w:rsidRDefault="00542554" w:rsidP="00542554">
            <w:pPr>
              <w:spacing w:line="276" w:lineRule="auto"/>
              <w:rPr>
                <w:rStyle w:val="CommentReference"/>
                <w:rFonts w:cs="Times New Roman"/>
                <w:sz w:val="18"/>
                <w:szCs w:val="18"/>
              </w:rPr>
            </w:pPr>
            <w:r>
              <w:rPr>
                <w:rStyle w:val="CommentReference"/>
                <w:rFonts w:cs="Times New Roman"/>
                <w:sz w:val="18"/>
                <w:szCs w:val="18"/>
              </w:rPr>
              <w:t>Age 45 – 54</w:t>
            </w:r>
          </w:p>
        </w:tc>
        <w:tc>
          <w:tcPr>
            <w:tcW w:w="1440" w:type="dxa"/>
            <w:vAlign w:val="bottom"/>
          </w:tcPr>
          <w:p w14:paraId="31B8026B" w14:textId="6C8BB54E" w:rsidR="00542554" w:rsidRDefault="00542554" w:rsidP="00542554">
            <w:pPr>
              <w:spacing w:line="276" w:lineRule="auto"/>
              <w:jc w:val="center"/>
              <w:rPr>
                <w:rFonts w:cs="Times New Roman"/>
                <w:sz w:val="18"/>
                <w:szCs w:val="18"/>
              </w:rPr>
            </w:pPr>
            <w:r>
              <w:rPr>
                <w:rFonts w:cs="Times New Roman"/>
                <w:sz w:val="18"/>
                <w:szCs w:val="18"/>
              </w:rPr>
              <w:t xml:space="preserve">$ </w:t>
            </w:r>
            <w:r w:rsidRPr="00542554">
              <w:rPr>
                <w:rFonts w:cs="Times New Roman"/>
                <w:sz w:val="18"/>
                <w:szCs w:val="18"/>
              </w:rPr>
              <w:t>10</w:t>
            </w:r>
            <w:r>
              <w:rPr>
                <w:rFonts w:cs="Times New Roman"/>
                <w:sz w:val="18"/>
                <w:szCs w:val="18"/>
              </w:rPr>
              <w:t>,</w:t>
            </w:r>
            <w:r w:rsidRPr="00542554">
              <w:rPr>
                <w:rFonts w:cs="Times New Roman"/>
                <w:sz w:val="18"/>
                <w:szCs w:val="18"/>
              </w:rPr>
              <w:t>287</w:t>
            </w:r>
          </w:p>
        </w:tc>
        <w:tc>
          <w:tcPr>
            <w:tcW w:w="1440" w:type="dxa"/>
            <w:vAlign w:val="bottom"/>
          </w:tcPr>
          <w:p w14:paraId="73F259C5" w14:textId="42B042AF" w:rsidR="00542554" w:rsidRDefault="00542554" w:rsidP="00542554">
            <w:pPr>
              <w:spacing w:line="276" w:lineRule="auto"/>
              <w:jc w:val="center"/>
              <w:rPr>
                <w:rFonts w:cs="Times New Roman"/>
                <w:sz w:val="18"/>
                <w:szCs w:val="18"/>
              </w:rPr>
            </w:pPr>
            <w:r>
              <w:rPr>
                <w:rFonts w:cs="Times New Roman"/>
                <w:sz w:val="18"/>
                <w:szCs w:val="18"/>
              </w:rPr>
              <w:t xml:space="preserve">$ </w:t>
            </w:r>
            <w:r w:rsidRPr="00542554">
              <w:rPr>
                <w:rFonts w:cs="Times New Roman"/>
                <w:sz w:val="18"/>
                <w:szCs w:val="18"/>
              </w:rPr>
              <w:t>7</w:t>
            </w:r>
            <w:r>
              <w:rPr>
                <w:rFonts w:cs="Times New Roman"/>
                <w:sz w:val="18"/>
                <w:szCs w:val="18"/>
              </w:rPr>
              <w:t>,</w:t>
            </w:r>
            <w:r w:rsidRPr="00542554">
              <w:rPr>
                <w:rFonts w:cs="Times New Roman"/>
                <w:sz w:val="18"/>
                <w:szCs w:val="18"/>
              </w:rPr>
              <w:t>390</w:t>
            </w:r>
          </w:p>
        </w:tc>
        <w:tc>
          <w:tcPr>
            <w:tcW w:w="1440" w:type="dxa"/>
            <w:vAlign w:val="bottom"/>
          </w:tcPr>
          <w:p w14:paraId="45362126" w14:textId="6657EE2C" w:rsidR="00542554" w:rsidRPr="00D2239A" w:rsidRDefault="00542554" w:rsidP="00542554">
            <w:pPr>
              <w:spacing w:line="276" w:lineRule="auto"/>
              <w:jc w:val="center"/>
              <w:rPr>
                <w:rFonts w:cs="Times New Roman"/>
                <w:sz w:val="18"/>
                <w:szCs w:val="18"/>
              </w:rPr>
            </w:pPr>
            <w:r>
              <w:rPr>
                <w:rFonts w:cs="Times New Roman"/>
                <w:sz w:val="18"/>
                <w:szCs w:val="18"/>
              </w:rPr>
              <w:t xml:space="preserve">$ </w:t>
            </w:r>
            <w:r w:rsidRPr="00EA2E59">
              <w:rPr>
                <w:rFonts w:cs="Times New Roman"/>
                <w:sz w:val="18"/>
                <w:szCs w:val="18"/>
              </w:rPr>
              <w:t>587</w:t>
            </w:r>
          </w:p>
        </w:tc>
      </w:tr>
      <w:tr w:rsidR="00542554" w:rsidRPr="00D2239A" w14:paraId="21FEBF6F" w14:textId="77777777" w:rsidTr="00542554">
        <w:tc>
          <w:tcPr>
            <w:tcW w:w="1440" w:type="dxa"/>
          </w:tcPr>
          <w:p w14:paraId="1E69933A" w14:textId="77777777" w:rsidR="00542554" w:rsidRDefault="00542554" w:rsidP="00542554">
            <w:pPr>
              <w:spacing w:line="276" w:lineRule="auto"/>
              <w:rPr>
                <w:rStyle w:val="CommentReference"/>
                <w:rFonts w:cs="Times New Roman"/>
                <w:sz w:val="18"/>
                <w:szCs w:val="18"/>
              </w:rPr>
            </w:pPr>
            <w:r>
              <w:rPr>
                <w:rStyle w:val="CommentReference"/>
                <w:rFonts w:cs="Times New Roman"/>
                <w:sz w:val="18"/>
                <w:szCs w:val="18"/>
              </w:rPr>
              <w:t>Age 55 – 64</w:t>
            </w:r>
          </w:p>
        </w:tc>
        <w:tc>
          <w:tcPr>
            <w:tcW w:w="1440" w:type="dxa"/>
            <w:vAlign w:val="bottom"/>
          </w:tcPr>
          <w:p w14:paraId="202B5806" w14:textId="4099EFA7" w:rsidR="00542554" w:rsidRDefault="00542554" w:rsidP="00542554">
            <w:pPr>
              <w:spacing w:line="276" w:lineRule="auto"/>
              <w:jc w:val="center"/>
              <w:rPr>
                <w:rFonts w:cs="Times New Roman"/>
                <w:sz w:val="18"/>
                <w:szCs w:val="18"/>
              </w:rPr>
            </w:pPr>
            <w:r>
              <w:rPr>
                <w:rFonts w:cs="Times New Roman"/>
                <w:sz w:val="18"/>
                <w:szCs w:val="18"/>
              </w:rPr>
              <w:t xml:space="preserve">$ </w:t>
            </w:r>
            <w:r w:rsidRPr="00542554">
              <w:rPr>
                <w:rFonts w:cs="Times New Roman"/>
                <w:sz w:val="18"/>
                <w:szCs w:val="18"/>
              </w:rPr>
              <w:t>8</w:t>
            </w:r>
            <w:r>
              <w:rPr>
                <w:rFonts w:cs="Times New Roman"/>
                <w:sz w:val="18"/>
                <w:szCs w:val="18"/>
              </w:rPr>
              <w:t>,</w:t>
            </w:r>
            <w:r w:rsidRPr="00542554">
              <w:rPr>
                <w:rFonts w:cs="Times New Roman"/>
                <w:sz w:val="18"/>
                <w:szCs w:val="18"/>
              </w:rPr>
              <w:t>341</w:t>
            </w:r>
          </w:p>
        </w:tc>
        <w:tc>
          <w:tcPr>
            <w:tcW w:w="1440" w:type="dxa"/>
            <w:vAlign w:val="bottom"/>
          </w:tcPr>
          <w:p w14:paraId="23E1DA21" w14:textId="05B3181A" w:rsidR="00542554" w:rsidRDefault="00542554" w:rsidP="00542554">
            <w:pPr>
              <w:spacing w:line="276" w:lineRule="auto"/>
              <w:jc w:val="center"/>
              <w:rPr>
                <w:rFonts w:cs="Times New Roman"/>
                <w:sz w:val="18"/>
                <w:szCs w:val="18"/>
              </w:rPr>
            </w:pPr>
            <w:r>
              <w:rPr>
                <w:rFonts w:cs="Times New Roman"/>
                <w:sz w:val="18"/>
                <w:szCs w:val="18"/>
              </w:rPr>
              <w:t xml:space="preserve">$ </w:t>
            </w:r>
            <w:r w:rsidRPr="00542554">
              <w:rPr>
                <w:rFonts w:cs="Times New Roman"/>
                <w:sz w:val="18"/>
                <w:szCs w:val="18"/>
              </w:rPr>
              <w:t>6</w:t>
            </w:r>
            <w:r>
              <w:rPr>
                <w:rFonts w:cs="Times New Roman"/>
                <w:sz w:val="18"/>
                <w:szCs w:val="18"/>
              </w:rPr>
              <w:t>,</w:t>
            </w:r>
            <w:r w:rsidRPr="00542554">
              <w:rPr>
                <w:rFonts w:cs="Times New Roman"/>
                <w:sz w:val="18"/>
                <w:szCs w:val="18"/>
              </w:rPr>
              <w:t>126</w:t>
            </w:r>
          </w:p>
        </w:tc>
        <w:tc>
          <w:tcPr>
            <w:tcW w:w="1440" w:type="dxa"/>
            <w:vAlign w:val="bottom"/>
          </w:tcPr>
          <w:p w14:paraId="5341E519" w14:textId="3114DE06" w:rsidR="00542554" w:rsidRPr="00D2239A" w:rsidRDefault="00542554" w:rsidP="00542554">
            <w:pPr>
              <w:spacing w:line="276" w:lineRule="auto"/>
              <w:jc w:val="center"/>
              <w:rPr>
                <w:rFonts w:cs="Times New Roman"/>
                <w:sz w:val="18"/>
                <w:szCs w:val="18"/>
              </w:rPr>
            </w:pPr>
            <w:r>
              <w:rPr>
                <w:rFonts w:cs="Times New Roman"/>
                <w:sz w:val="18"/>
                <w:szCs w:val="18"/>
              </w:rPr>
              <w:t xml:space="preserve">$ </w:t>
            </w:r>
            <w:r w:rsidRPr="00EA2E59">
              <w:rPr>
                <w:rFonts w:cs="Times New Roman"/>
                <w:sz w:val="18"/>
                <w:szCs w:val="18"/>
              </w:rPr>
              <w:t>539</w:t>
            </w:r>
          </w:p>
        </w:tc>
      </w:tr>
      <w:tr w:rsidR="00542554" w:rsidRPr="00D2239A" w14:paraId="3DAFB0D3" w14:textId="77777777" w:rsidTr="00542554">
        <w:tc>
          <w:tcPr>
            <w:tcW w:w="1440" w:type="dxa"/>
          </w:tcPr>
          <w:p w14:paraId="4502C683" w14:textId="77777777" w:rsidR="00542554" w:rsidRDefault="00542554" w:rsidP="00542554">
            <w:pPr>
              <w:spacing w:line="276" w:lineRule="auto"/>
              <w:rPr>
                <w:rStyle w:val="CommentReference"/>
                <w:rFonts w:cs="Times New Roman"/>
                <w:sz w:val="18"/>
                <w:szCs w:val="18"/>
              </w:rPr>
            </w:pPr>
            <w:r>
              <w:rPr>
                <w:rStyle w:val="CommentReference"/>
                <w:rFonts w:cs="Times New Roman"/>
                <w:sz w:val="18"/>
                <w:szCs w:val="18"/>
              </w:rPr>
              <w:t>Age 65 – 74</w:t>
            </w:r>
          </w:p>
        </w:tc>
        <w:tc>
          <w:tcPr>
            <w:tcW w:w="1440" w:type="dxa"/>
            <w:vAlign w:val="bottom"/>
          </w:tcPr>
          <w:p w14:paraId="5F08DD7A" w14:textId="794AAB48" w:rsidR="00542554" w:rsidRDefault="00542554" w:rsidP="00542554">
            <w:pPr>
              <w:spacing w:line="276" w:lineRule="auto"/>
              <w:jc w:val="center"/>
              <w:rPr>
                <w:rFonts w:cs="Times New Roman"/>
                <w:sz w:val="18"/>
                <w:szCs w:val="18"/>
              </w:rPr>
            </w:pPr>
            <w:r>
              <w:rPr>
                <w:rFonts w:cs="Times New Roman"/>
                <w:sz w:val="18"/>
                <w:szCs w:val="18"/>
              </w:rPr>
              <w:t xml:space="preserve">$ </w:t>
            </w:r>
            <w:r w:rsidRPr="00542554">
              <w:rPr>
                <w:rFonts w:cs="Times New Roman"/>
                <w:sz w:val="18"/>
                <w:szCs w:val="18"/>
              </w:rPr>
              <w:t>4</w:t>
            </w:r>
            <w:r>
              <w:rPr>
                <w:rFonts w:cs="Times New Roman"/>
                <w:sz w:val="18"/>
                <w:szCs w:val="18"/>
              </w:rPr>
              <w:t>,</w:t>
            </w:r>
            <w:r w:rsidRPr="00542554">
              <w:rPr>
                <w:rFonts w:cs="Times New Roman"/>
                <w:sz w:val="18"/>
                <w:szCs w:val="18"/>
              </w:rPr>
              <w:t>578</w:t>
            </w:r>
          </w:p>
        </w:tc>
        <w:tc>
          <w:tcPr>
            <w:tcW w:w="1440" w:type="dxa"/>
            <w:vAlign w:val="bottom"/>
          </w:tcPr>
          <w:p w14:paraId="201218FB" w14:textId="6F6B629D" w:rsidR="00542554" w:rsidRDefault="00542554" w:rsidP="00542554">
            <w:pPr>
              <w:spacing w:line="276" w:lineRule="auto"/>
              <w:jc w:val="center"/>
              <w:rPr>
                <w:rFonts w:cs="Times New Roman"/>
                <w:sz w:val="18"/>
                <w:szCs w:val="18"/>
              </w:rPr>
            </w:pPr>
            <w:r>
              <w:rPr>
                <w:rFonts w:cs="Times New Roman"/>
                <w:sz w:val="18"/>
                <w:szCs w:val="18"/>
              </w:rPr>
              <w:t xml:space="preserve">$ </w:t>
            </w:r>
            <w:r w:rsidRPr="00542554">
              <w:rPr>
                <w:rFonts w:cs="Times New Roman"/>
                <w:sz w:val="18"/>
                <w:szCs w:val="18"/>
              </w:rPr>
              <w:t>3</w:t>
            </w:r>
            <w:r>
              <w:rPr>
                <w:rFonts w:cs="Times New Roman"/>
                <w:sz w:val="18"/>
                <w:szCs w:val="18"/>
              </w:rPr>
              <w:t>,</w:t>
            </w:r>
            <w:r w:rsidRPr="00542554">
              <w:rPr>
                <w:rFonts w:cs="Times New Roman"/>
                <w:sz w:val="18"/>
                <w:szCs w:val="18"/>
              </w:rPr>
              <w:t>631</w:t>
            </w:r>
          </w:p>
        </w:tc>
        <w:tc>
          <w:tcPr>
            <w:tcW w:w="1440" w:type="dxa"/>
            <w:vAlign w:val="bottom"/>
          </w:tcPr>
          <w:p w14:paraId="16866A7B" w14:textId="49AB68FF" w:rsidR="00542554" w:rsidRPr="00D2239A" w:rsidRDefault="00542554" w:rsidP="00542554">
            <w:pPr>
              <w:spacing w:line="276" w:lineRule="auto"/>
              <w:jc w:val="center"/>
              <w:rPr>
                <w:rFonts w:cs="Times New Roman"/>
                <w:sz w:val="18"/>
                <w:szCs w:val="18"/>
              </w:rPr>
            </w:pPr>
            <w:r>
              <w:rPr>
                <w:rFonts w:cs="Times New Roman"/>
                <w:sz w:val="18"/>
                <w:szCs w:val="18"/>
              </w:rPr>
              <w:t xml:space="preserve">$ </w:t>
            </w:r>
            <w:r w:rsidRPr="00EA2E59">
              <w:rPr>
                <w:rFonts w:cs="Times New Roman"/>
                <w:sz w:val="18"/>
                <w:szCs w:val="18"/>
              </w:rPr>
              <w:t>18</w:t>
            </w:r>
            <w:r>
              <w:rPr>
                <w:rFonts w:cs="Times New Roman"/>
                <w:sz w:val="18"/>
                <w:szCs w:val="18"/>
              </w:rPr>
              <w:t>3</w:t>
            </w:r>
          </w:p>
        </w:tc>
      </w:tr>
      <w:tr w:rsidR="00542554" w:rsidRPr="00D2239A" w14:paraId="2A076AAC" w14:textId="77777777" w:rsidTr="00542554">
        <w:tc>
          <w:tcPr>
            <w:tcW w:w="1440" w:type="dxa"/>
          </w:tcPr>
          <w:p w14:paraId="181F54B7" w14:textId="77777777" w:rsidR="00542554" w:rsidRDefault="00542554" w:rsidP="00542554">
            <w:pPr>
              <w:spacing w:line="276" w:lineRule="auto"/>
              <w:rPr>
                <w:rStyle w:val="CommentReference"/>
                <w:rFonts w:cs="Times New Roman"/>
                <w:sz w:val="18"/>
                <w:szCs w:val="18"/>
              </w:rPr>
            </w:pPr>
            <w:r>
              <w:rPr>
                <w:rStyle w:val="CommentReference"/>
                <w:rFonts w:cs="Times New Roman"/>
                <w:sz w:val="18"/>
                <w:szCs w:val="18"/>
              </w:rPr>
              <w:t>Age 75+</w:t>
            </w:r>
          </w:p>
        </w:tc>
        <w:tc>
          <w:tcPr>
            <w:tcW w:w="1440" w:type="dxa"/>
            <w:vAlign w:val="bottom"/>
          </w:tcPr>
          <w:p w14:paraId="2189CA30" w14:textId="799F8F55" w:rsidR="00542554" w:rsidRDefault="00542554" w:rsidP="00542554">
            <w:pPr>
              <w:spacing w:line="276" w:lineRule="auto"/>
              <w:jc w:val="center"/>
              <w:rPr>
                <w:rFonts w:cs="Times New Roman"/>
                <w:sz w:val="18"/>
                <w:szCs w:val="18"/>
              </w:rPr>
            </w:pPr>
            <w:r>
              <w:rPr>
                <w:rFonts w:cs="Times New Roman"/>
                <w:sz w:val="18"/>
                <w:szCs w:val="18"/>
              </w:rPr>
              <w:t xml:space="preserve">$ </w:t>
            </w:r>
            <w:r w:rsidRPr="00542554">
              <w:rPr>
                <w:rFonts w:cs="Times New Roman"/>
                <w:sz w:val="18"/>
                <w:szCs w:val="18"/>
              </w:rPr>
              <w:t>1</w:t>
            </w:r>
            <w:r>
              <w:rPr>
                <w:rFonts w:cs="Times New Roman"/>
                <w:sz w:val="18"/>
                <w:szCs w:val="18"/>
              </w:rPr>
              <w:t>,</w:t>
            </w:r>
            <w:r w:rsidRPr="00542554">
              <w:rPr>
                <w:rFonts w:cs="Times New Roman"/>
                <w:sz w:val="18"/>
                <w:szCs w:val="18"/>
              </w:rPr>
              <w:t>971</w:t>
            </w:r>
          </w:p>
        </w:tc>
        <w:tc>
          <w:tcPr>
            <w:tcW w:w="1440" w:type="dxa"/>
            <w:vAlign w:val="bottom"/>
          </w:tcPr>
          <w:p w14:paraId="698A06EA" w14:textId="4D527550" w:rsidR="00542554" w:rsidRDefault="00542554" w:rsidP="00542554">
            <w:pPr>
              <w:spacing w:line="276" w:lineRule="auto"/>
              <w:jc w:val="center"/>
              <w:rPr>
                <w:rFonts w:cs="Times New Roman"/>
                <w:sz w:val="18"/>
                <w:szCs w:val="18"/>
              </w:rPr>
            </w:pPr>
            <w:r>
              <w:rPr>
                <w:rFonts w:cs="Times New Roman"/>
                <w:sz w:val="18"/>
                <w:szCs w:val="18"/>
              </w:rPr>
              <w:t xml:space="preserve">$ </w:t>
            </w:r>
            <w:r w:rsidRPr="00542554">
              <w:rPr>
                <w:rFonts w:cs="Times New Roman"/>
                <w:sz w:val="18"/>
                <w:szCs w:val="18"/>
              </w:rPr>
              <w:t>1</w:t>
            </w:r>
            <w:r>
              <w:rPr>
                <w:rFonts w:cs="Times New Roman"/>
                <w:sz w:val="18"/>
                <w:szCs w:val="18"/>
              </w:rPr>
              <w:t>,</w:t>
            </w:r>
            <w:r w:rsidRPr="00542554">
              <w:rPr>
                <w:rFonts w:cs="Times New Roman"/>
                <w:sz w:val="18"/>
                <w:szCs w:val="18"/>
              </w:rPr>
              <w:t>513</w:t>
            </w:r>
          </w:p>
        </w:tc>
        <w:tc>
          <w:tcPr>
            <w:tcW w:w="1440" w:type="dxa"/>
            <w:vAlign w:val="bottom"/>
          </w:tcPr>
          <w:p w14:paraId="05019D97" w14:textId="5576680C" w:rsidR="00542554" w:rsidRPr="00D2239A" w:rsidRDefault="00542554" w:rsidP="00542554">
            <w:pPr>
              <w:spacing w:line="276" w:lineRule="auto"/>
              <w:jc w:val="center"/>
              <w:rPr>
                <w:rFonts w:cs="Times New Roman"/>
                <w:sz w:val="18"/>
                <w:szCs w:val="18"/>
              </w:rPr>
            </w:pPr>
            <w:r>
              <w:rPr>
                <w:rFonts w:cs="Times New Roman"/>
                <w:sz w:val="18"/>
                <w:szCs w:val="18"/>
              </w:rPr>
              <w:t xml:space="preserve">$ </w:t>
            </w:r>
            <w:r w:rsidRPr="00EA2E59">
              <w:rPr>
                <w:rFonts w:cs="Times New Roman"/>
                <w:sz w:val="18"/>
                <w:szCs w:val="18"/>
              </w:rPr>
              <w:t>18</w:t>
            </w:r>
            <w:r>
              <w:rPr>
                <w:rFonts w:cs="Times New Roman"/>
                <w:sz w:val="18"/>
                <w:szCs w:val="18"/>
              </w:rPr>
              <w:t>3</w:t>
            </w:r>
          </w:p>
        </w:tc>
      </w:tr>
    </w:tbl>
    <w:p w14:paraId="3BC42694" w14:textId="77777777" w:rsidR="00363E8B" w:rsidRDefault="00363E8B" w:rsidP="002E2D74">
      <w:pPr>
        <w:rPr>
          <w:b/>
          <w:bCs/>
        </w:rPr>
      </w:pPr>
    </w:p>
    <w:p w14:paraId="47EF5E19" w14:textId="1751E4D3" w:rsidR="00363E8B" w:rsidRPr="00363E8B" w:rsidRDefault="00363E8B" w:rsidP="002E2D74">
      <w:pPr>
        <w:rPr>
          <w:b/>
          <w:bCs/>
        </w:rPr>
      </w:pPr>
      <w:r w:rsidRPr="00363E8B">
        <w:rPr>
          <w:b/>
          <w:bCs/>
        </w:rPr>
        <w:t>Health utility</w:t>
      </w:r>
    </w:p>
    <w:p w14:paraId="13E8208E" w14:textId="2A5FE451" w:rsidR="000724B9" w:rsidRDefault="00787C26" w:rsidP="002E2D74">
      <w:r>
        <w:t>Model state-specific health utility values were taken from a cross-sectional study that estimated participants’ preferences among seven states related to opioid use—</w:t>
      </w:r>
      <w:r w:rsidRPr="00FD36E0">
        <w:t xml:space="preserve">active </w:t>
      </w:r>
      <w:r>
        <w:t>prescription</w:t>
      </w:r>
      <w:r w:rsidRPr="00FD36E0">
        <w:t xml:space="preserve"> misuse</w:t>
      </w:r>
      <w:r>
        <w:t xml:space="preserve">, </w:t>
      </w:r>
      <w:r w:rsidRPr="00FD36E0">
        <w:t xml:space="preserve">active </w:t>
      </w:r>
      <w:r>
        <w:t xml:space="preserve">injection </w:t>
      </w:r>
      <w:r w:rsidRPr="00FD36E0">
        <w:t>misuse</w:t>
      </w:r>
      <w:r>
        <w:t xml:space="preserve">, </w:t>
      </w:r>
      <w:r w:rsidRPr="00FD36E0">
        <w:t>initiation methadone</w:t>
      </w:r>
      <w:r>
        <w:t xml:space="preserve">, </w:t>
      </w:r>
      <w:r w:rsidRPr="00FD36E0">
        <w:t>stabilized methadone</w:t>
      </w:r>
      <w:r>
        <w:t xml:space="preserve">, </w:t>
      </w:r>
      <w:r w:rsidRPr="00FD36E0">
        <w:t>initiation buprenorphine</w:t>
      </w:r>
      <w:r>
        <w:t xml:space="preserve">, </w:t>
      </w:r>
      <w:r w:rsidRPr="00FD36E0">
        <w:t>stabilized buprenorphine</w:t>
      </w:r>
      <w:r>
        <w:t xml:space="preserve">, and remission— using a standard gamble method </w:t>
      </w:r>
      <w:r>
        <w:fldChar w:fldCharType="begin"/>
      </w:r>
      <w:r w:rsidR="0037266D">
        <w:instrText xml:space="preserve"> ADDIN EN.CITE &lt;EndNote&gt;&lt;Cite&gt;&lt;Author&gt;Wittenberg&lt;/Author&gt;&lt;Year&gt;2016&lt;/Year&gt;&lt;RecNum&gt;38&lt;/RecNum&gt;&lt;DisplayText&gt;&lt;style face="superscript"&gt;40&lt;/style&gt;&lt;/DisplayText&gt;&lt;record&gt;&lt;rec-number&gt;38&lt;/rec-number&gt;&lt;foreign-keys&gt;&lt;key app="EN" db-id="pwwedrtwnpw20vervr1p9p2y9exw2awedx5t" timestamp="1774561198"&gt;38&lt;/key&gt;&lt;/foreign-keys&gt;&lt;ref-type name="Journal Article"&gt;17&lt;/ref-type&gt;&lt;contributors&gt;&lt;authors&gt;&lt;author&gt;Wittenberg, Eve&lt;/author&gt;&lt;author&gt;Bray, Jeremy W&lt;/author&gt;&lt;author&gt;Aden, Brandon&lt;/author&gt;&lt;author&gt;Gebremariam, Achamyeleh&lt;/autho</w:instrText>
      </w:r>
      <w:r w:rsidR="0037266D">
        <w:rPr>
          <w:rFonts w:hint="eastAsia"/>
        </w:rPr>
        <w:instrText>r&gt;&lt;author&gt;Nosyk, Bohdan&lt;/author&gt;&lt;author&gt;Schackman, Bruce R&lt;/author&gt;&lt;/authors&gt;&lt;/contributors&gt;&lt;titles&gt;&lt;title&gt;Measuring benefits of opioid misuse treatment for economic evaluation: health</w:instrText>
      </w:r>
      <w:r w:rsidR="0037266D">
        <w:rPr>
          <w:rFonts w:hint="eastAsia"/>
        </w:rPr>
        <w:instrText>‐</w:instrText>
      </w:r>
      <w:r w:rsidR="0037266D">
        <w:rPr>
          <w:rFonts w:hint="eastAsia"/>
        </w:rPr>
        <w:instrText>related quality of life of opioid</w:instrText>
      </w:r>
      <w:r w:rsidR="0037266D">
        <w:rPr>
          <w:rFonts w:hint="eastAsia"/>
        </w:rPr>
        <w:instrText>‐</w:instrText>
      </w:r>
      <w:r w:rsidR="0037266D">
        <w:rPr>
          <w:rFonts w:hint="eastAsia"/>
        </w:rPr>
        <w:instrText>dependent individuals and their spou</w:instrText>
      </w:r>
      <w:r w:rsidR="0037266D">
        <w:instrText>ses as assessed by a sample of the US population&lt;/title&gt;&lt;secondary-title&gt;Addiction&lt;/secondary-title&gt;&lt;/titles&gt;&lt;periodical&gt;&lt;full-title&gt;Addiction&lt;/full-title&gt;&lt;/periodical&gt;&lt;pages&gt;675-684&lt;/pages&gt;&lt;volume&gt;111&lt;/volume&gt;&lt;number&gt;4&lt;/number&gt;&lt;dates&gt;&lt;year&gt;2016&lt;/year&gt;&lt;/dates&gt;&lt;isbn&gt;0965-2140&lt;/isbn&gt;&lt;urls&gt;&lt;/urls&gt;&lt;/record&gt;&lt;/Cite&gt;&lt;/EndNote&gt;</w:instrText>
      </w:r>
      <w:r>
        <w:fldChar w:fldCharType="separate"/>
      </w:r>
      <w:r w:rsidR="0037266D" w:rsidRPr="0037266D">
        <w:rPr>
          <w:noProof/>
          <w:vertAlign w:val="superscript"/>
        </w:rPr>
        <w:t>40</w:t>
      </w:r>
      <w:r>
        <w:fldChar w:fldCharType="end"/>
      </w:r>
      <w:r>
        <w:t xml:space="preserve">. We applied </w:t>
      </w:r>
      <w:r w:rsidR="00CE2DA9">
        <w:t>active</w:t>
      </w:r>
      <w:r>
        <w:t xml:space="preserve"> prescription misuse and active injection misuse to our RX and ILL states, respectively. To differentiate between misuse and OUD, we computed the ratio of SF-6D health utility</w:t>
      </w:r>
      <w:r>
        <w:rPr>
          <w:rStyle w:val="FootnoteReference"/>
        </w:rPr>
        <w:footnoteReference w:id="6"/>
      </w:r>
      <w:r>
        <w:t xml:space="preserve"> for respondents with OUD compared to respondents engaging in opioid misuse from NESARC-3. We applied that ratio to a weighted average of the active prescription misuse and active injection misuse utilities. For MOUD, we applied the utility values representing initiation to the first month of an episode of MOUD and the values representing stabilized medication to subsequent months for methadone and buprenorphine, respectively. Utility values for both </w:t>
      </w:r>
      <w:r>
        <w:lastRenderedPageBreak/>
        <w:t xml:space="preserve">medications were lower during the initiation period. Because utilities specific to naltrexone were not available, we applied the initiation utility from methadone </w:t>
      </w:r>
      <w:r>
        <w:fldChar w:fldCharType="begin"/>
      </w:r>
      <w:r w:rsidR="0037266D">
        <w:instrText xml:space="preserve"> ADDIN EN.CITE &lt;EndNote&gt;&lt;Cite&gt;&lt;Author&gt;Gauthier&lt;/Author&gt;&lt;Year&gt;2021&lt;/Year&gt;&lt;RecNum&gt;16&lt;/RecNum&gt;&lt;Prefix&gt;the lower of the two initiation utilities`, to reflect challenges with naltrexone initiation`; &lt;/Prefix&gt;&lt;DisplayText&gt;the lower of the two initiation utilities, to reflect challenges with naltrexone initiation; &lt;style face="superscript"&gt;54&lt;/style&gt;&lt;/DisplayText&gt;&lt;record&gt;&lt;rec-number&gt;16&lt;/rec-number&gt;&lt;foreign-keys&gt;&lt;key app="EN" db-id="vvr02fsw8wr2f5et2p8pzr0qs25d59ewpfta" timestamp="1717177456"&gt;16&lt;/key&gt;&lt;/foreign-keys&gt;&lt;ref-type name="Journal Article"&gt;17&lt;/ref-type&gt;&lt;contributors&gt;&lt;authors&gt;&lt;author&gt;Gauthier, Phoebe&lt;/author&gt;&lt;author&gt;Greco, Peter&lt;/author&gt;&lt;author&gt;Meyers-Ohki, Sarah&lt;/author&gt;&lt;author&gt;Desai, Alisha&lt;/author&gt;&lt;author&gt;Rotrosen, John&lt;/author&gt;&lt;/authors&gt;&lt;/contributors&gt;&lt;titles&gt;&lt;title&gt;Patients&amp;apos; perspectives on initiating treatment with extended-release naltrexone (XR-NTX)&lt;/title&gt;&lt;secondary-title&gt;Journal of Substance Abuse Treatment&lt;/secondary-title&gt;&lt;/titles&gt;&lt;periodical&gt;&lt;full-title&gt;Journal of Substance Abuse Treatment&lt;/full-title&gt;&lt;/periodical&gt;&lt;pages&gt;108183&lt;/pages&gt;&lt;volume&gt;122&lt;/volume&gt;&lt;dates&gt;&lt;year&gt;2021&lt;/year&gt;&lt;/dates&gt;&lt;isbn&gt;0740-5472&lt;/isbn&gt;&lt;urls&gt;&lt;/urls&gt;&lt;/record&gt;&lt;/Cite&gt;&lt;/EndNote&gt;</w:instrText>
      </w:r>
      <w:r>
        <w:fldChar w:fldCharType="separate"/>
      </w:r>
      <w:r w:rsidR="0037266D">
        <w:rPr>
          <w:noProof/>
        </w:rPr>
        <w:t xml:space="preserve">the lower of the two initiation utilities, to reflect challenges with naltrexone initiation; </w:t>
      </w:r>
      <w:r w:rsidR="0037266D" w:rsidRPr="0037266D">
        <w:rPr>
          <w:noProof/>
          <w:vertAlign w:val="superscript"/>
        </w:rPr>
        <w:t>54</w:t>
      </w:r>
      <w:r>
        <w:fldChar w:fldCharType="end"/>
      </w:r>
      <w:r>
        <w:t xml:space="preserve"> and the stabilized utility from buprenorphine (because naltrexone does not require regular visits to an OTP as methadone does). Finally, we applied the utility value for remission to the recovery state in the model. Utility values ranged from 0.482 (OUD) to 0.807 (REC).</w:t>
      </w:r>
    </w:p>
    <w:p w14:paraId="7EA4BC55" w14:textId="29EB25D0" w:rsidR="00D50F58" w:rsidRPr="00EA2E59" w:rsidRDefault="00A87FBF" w:rsidP="00EA2E59">
      <w:pPr>
        <w:pStyle w:val="table-title"/>
        <w:rPr>
          <w:rFonts w:ascii="Times New Roman" w:hAnsi="Times New Roman"/>
          <w:b/>
          <w:szCs w:val="20"/>
        </w:rPr>
      </w:pPr>
      <w:r w:rsidRPr="00626C29">
        <w:rPr>
          <w:rFonts w:ascii="Times New Roman" w:hAnsi="Times New Roman"/>
          <w:b/>
          <w:szCs w:val="20"/>
        </w:rPr>
        <w:t xml:space="preserve">Supplementary </w:t>
      </w:r>
      <w:r w:rsidR="00EA2E59" w:rsidRPr="008608B1">
        <w:rPr>
          <w:rFonts w:ascii="Times New Roman" w:hAnsi="Times New Roman"/>
          <w:b/>
          <w:szCs w:val="20"/>
        </w:rPr>
        <w:t xml:space="preserve">Table </w:t>
      </w:r>
      <w:r>
        <w:rPr>
          <w:rFonts w:ascii="Times New Roman" w:hAnsi="Times New Roman"/>
          <w:b/>
          <w:szCs w:val="20"/>
        </w:rPr>
        <w:t>20</w:t>
      </w:r>
      <w:r w:rsidR="00EA2E59" w:rsidRPr="008608B1">
        <w:rPr>
          <w:rFonts w:ascii="Times New Roman" w:hAnsi="Times New Roman"/>
          <w:b/>
          <w:szCs w:val="20"/>
        </w:rPr>
        <w:t xml:space="preserve">. </w:t>
      </w:r>
      <w:r w:rsidR="00EA2E59">
        <w:rPr>
          <w:rFonts w:ascii="Times New Roman" w:hAnsi="Times New Roman"/>
          <w:szCs w:val="20"/>
        </w:rPr>
        <w:t>M</w:t>
      </w:r>
      <w:r w:rsidR="00EA2E59" w:rsidRPr="008608B1">
        <w:rPr>
          <w:rFonts w:ascii="Times New Roman" w:hAnsi="Times New Roman"/>
          <w:szCs w:val="20"/>
        </w:rPr>
        <w:t>odel parameter values.</w:t>
      </w:r>
    </w:p>
    <w:tbl>
      <w:tblPr>
        <w:tblStyle w:val="TableGrid"/>
        <w:tblW w:w="0" w:type="auto"/>
        <w:tblLayout w:type="fixed"/>
        <w:tblCellMar>
          <w:left w:w="72" w:type="dxa"/>
        </w:tblCellMar>
        <w:tblLook w:val="04A0" w:firstRow="1" w:lastRow="0" w:firstColumn="1" w:lastColumn="0" w:noHBand="0" w:noVBand="1"/>
      </w:tblPr>
      <w:tblGrid>
        <w:gridCol w:w="3024"/>
        <w:gridCol w:w="1440"/>
      </w:tblGrid>
      <w:tr w:rsidR="00EA2E59" w:rsidRPr="00D2239A" w14:paraId="2482FEBD" w14:textId="77777777" w:rsidTr="00452841">
        <w:tc>
          <w:tcPr>
            <w:tcW w:w="3024" w:type="dxa"/>
          </w:tcPr>
          <w:p w14:paraId="2DC84212" w14:textId="21E42D55" w:rsidR="00EA2E59" w:rsidRPr="00D2239A" w:rsidRDefault="00596E58" w:rsidP="00435936">
            <w:pPr>
              <w:spacing w:line="276" w:lineRule="auto"/>
              <w:rPr>
                <w:rFonts w:cs="Times New Roman"/>
                <w:b/>
                <w:bCs/>
                <w:sz w:val="18"/>
                <w:szCs w:val="18"/>
              </w:rPr>
            </w:pPr>
            <w:r>
              <w:rPr>
                <w:rFonts w:cs="Times New Roman"/>
                <w:b/>
                <w:bCs/>
                <w:sz w:val="18"/>
                <w:szCs w:val="18"/>
              </w:rPr>
              <w:t xml:space="preserve">Health </w:t>
            </w:r>
            <w:r w:rsidR="00A87FBF">
              <w:rPr>
                <w:rFonts w:cs="Times New Roman"/>
                <w:b/>
                <w:bCs/>
                <w:sz w:val="18"/>
                <w:szCs w:val="18"/>
              </w:rPr>
              <w:t>st</w:t>
            </w:r>
            <w:r>
              <w:rPr>
                <w:rFonts w:cs="Times New Roman"/>
                <w:b/>
                <w:bCs/>
                <w:sz w:val="18"/>
                <w:szCs w:val="18"/>
              </w:rPr>
              <w:t>ate</w:t>
            </w:r>
          </w:p>
        </w:tc>
        <w:tc>
          <w:tcPr>
            <w:tcW w:w="1440" w:type="dxa"/>
          </w:tcPr>
          <w:p w14:paraId="769B78E3" w14:textId="475AE776" w:rsidR="00EA2E59" w:rsidRPr="00D2239A" w:rsidRDefault="00EA2E59" w:rsidP="00435936">
            <w:pPr>
              <w:spacing w:line="276" w:lineRule="auto"/>
              <w:jc w:val="center"/>
              <w:rPr>
                <w:rFonts w:cs="Times New Roman"/>
                <w:b/>
                <w:bCs/>
                <w:sz w:val="18"/>
                <w:szCs w:val="18"/>
              </w:rPr>
            </w:pPr>
            <w:r>
              <w:rPr>
                <w:rFonts w:cs="Times New Roman"/>
                <w:b/>
                <w:bCs/>
                <w:sz w:val="18"/>
                <w:szCs w:val="18"/>
              </w:rPr>
              <w:t>V</w:t>
            </w:r>
            <w:r w:rsidRPr="00D2239A">
              <w:rPr>
                <w:rFonts w:cs="Times New Roman"/>
                <w:b/>
                <w:bCs/>
                <w:sz w:val="18"/>
                <w:szCs w:val="18"/>
              </w:rPr>
              <w:t>alue</w:t>
            </w:r>
          </w:p>
        </w:tc>
      </w:tr>
      <w:tr w:rsidR="00EA2E59" w:rsidRPr="00D2239A" w14:paraId="4DE7BE21" w14:textId="77777777" w:rsidTr="00452841">
        <w:tc>
          <w:tcPr>
            <w:tcW w:w="3024" w:type="dxa"/>
          </w:tcPr>
          <w:p w14:paraId="677F0250" w14:textId="1DD82792" w:rsidR="00EA2E59" w:rsidRPr="00D2239A" w:rsidRDefault="00EA2E59" w:rsidP="00596E58">
            <w:pPr>
              <w:spacing w:line="276" w:lineRule="auto"/>
              <w:rPr>
                <w:rFonts w:cs="Times New Roman"/>
                <w:sz w:val="18"/>
                <w:szCs w:val="18"/>
              </w:rPr>
            </w:pPr>
            <w:r>
              <w:rPr>
                <w:rStyle w:val="CommentReference"/>
                <w:rFonts w:cs="Times New Roman"/>
                <w:sz w:val="18"/>
                <w:szCs w:val="18"/>
              </w:rPr>
              <w:t>RX</w:t>
            </w:r>
          </w:p>
        </w:tc>
        <w:tc>
          <w:tcPr>
            <w:tcW w:w="1440" w:type="dxa"/>
          </w:tcPr>
          <w:p w14:paraId="0E88A596" w14:textId="5E049DB3" w:rsidR="00EA2E59" w:rsidRPr="00D2239A" w:rsidRDefault="00EA2E59" w:rsidP="00435936">
            <w:pPr>
              <w:spacing w:line="276" w:lineRule="auto"/>
              <w:jc w:val="center"/>
              <w:rPr>
                <w:rFonts w:cs="Times New Roman"/>
                <w:sz w:val="18"/>
                <w:szCs w:val="18"/>
              </w:rPr>
            </w:pPr>
            <w:r>
              <w:rPr>
                <w:rFonts w:cs="Times New Roman"/>
                <w:sz w:val="18"/>
                <w:szCs w:val="18"/>
              </w:rPr>
              <w:t>0.626</w:t>
            </w:r>
          </w:p>
        </w:tc>
      </w:tr>
      <w:tr w:rsidR="00EA2E59" w:rsidRPr="00D2239A" w14:paraId="5BFBB0AE" w14:textId="77777777" w:rsidTr="00452841">
        <w:tc>
          <w:tcPr>
            <w:tcW w:w="3024" w:type="dxa"/>
          </w:tcPr>
          <w:p w14:paraId="4E75E10A" w14:textId="2691607B" w:rsidR="00EA2E59" w:rsidRPr="00D2239A" w:rsidRDefault="00EA2E59" w:rsidP="00596E58">
            <w:pPr>
              <w:spacing w:line="276" w:lineRule="auto"/>
              <w:rPr>
                <w:rStyle w:val="CommentReference"/>
                <w:rFonts w:cs="Times New Roman"/>
                <w:sz w:val="18"/>
                <w:szCs w:val="18"/>
              </w:rPr>
            </w:pPr>
            <w:r>
              <w:rPr>
                <w:rStyle w:val="CommentReference"/>
                <w:rFonts w:cs="Times New Roman"/>
                <w:sz w:val="18"/>
                <w:szCs w:val="18"/>
              </w:rPr>
              <w:t>ILL</w:t>
            </w:r>
          </w:p>
        </w:tc>
        <w:tc>
          <w:tcPr>
            <w:tcW w:w="1440" w:type="dxa"/>
          </w:tcPr>
          <w:p w14:paraId="1B470970" w14:textId="0DC52A94" w:rsidR="00EA2E59" w:rsidRPr="00D2239A" w:rsidRDefault="00EA2E59" w:rsidP="00435936">
            <w:pPr>
              <w:spacing w:line="276" w:lineRule="auto"/>
              <w:jc w:val="center"/>
              <w:rPr>
                <w:rFonts w:cs="Times New Roman"/>
                <w:sz w:val="18"/>
                <w:szCs w:val="18"/>
              </w:rPr>
            </w:pPr>
            <w:r>
              <w:rPr>
                <w:rFonts w:cs="Times New Roman"/>
                <w:sz w:val="18"/>
                <w:szCs w:val="18"/>
              </w:rPr>
              <w:t>0.512</w:t>
            </w:r>
          </w:p>
        </w:tc>
      </w:tr>
      <w:tr w:rsidR="00EA2E59" w:rsidRPr="00D2239A" w14:paraId="0DC0E72A" w14:textId="77777777" w:rsidTr="00452841">
        <w:tc>
          <w:tcPr>
            <w:tcW w:w="3024" w:type="dxa"/>
          </w:tcPr>
          <w:p w14:paraId="392201B3" w14:textId="4E1132DC" w:rsidR="00EA2E59" w:rsidRDefault="00EA2E59" w:rsidP="00596E58">
            <w:pPr>
              <w:spacing w:line="276" w:lineRule="auto"/>
              <w:rPr>
                <w:rStyle w:val="CommentReference"/>
                <w:rFonts w:cs="Times New Roman"/>
                <w:sz w:val="18"/>
                <w:szCs w:val="18"/>
              </w:rPr>
            </w:pPr>
            <w:r>
              <w:rPr>
                <w:rStyle w:val="CommentReference"/>
                <w:rFonts w:cs="Times New Roman"/>
                <w:sz w:val="18"/>
                <w:szCs w:val="18"/>
              </w:rPr>
              <w:t>OUD</w:t>
            </w:r>
          </w:p>
        </w:tc>
        <w:tc>
          <w:tcPr>
            <w:tcW w:w="1440" w:type="dxa"/>
          </w:tcPr>
          <w:p w14:paraId="68A7F077" w14:textId="36A06D2D" w:rsidR="00EA2E59" w:rsidRPr="00D2239A" w:rsidRDefault="00EA2E59" w:rsidP="00435936">
            <w:pPr>
              <w:spacing w:line="276" w:lineRule="auto"/>
              <w:jc w:val="center"/>
              <w:rPr>
                <w:rFonts w:cs="Times New Roman"/>
                <w:sz w:val="18"/>
                <w:szCs w:val="18"/>
              </w:rPr>
            </w:pPr>
            <w:r>
              <w:rPr>
                <w:rFonts w:cs="Times New Roman"/>
                <w:sz w:val="18"/>
                <w:szCs w:val="18"/>
              </w:rPr>
              <w:t>0.482</w:t>
            </w:r>
          </w:p>
        </w:tc>
      </w:tr>
      <w:tr w:rsidR="00EA2E59" w:rsidRPr="00D2239A" w14:paraId="613F7CD9" w14:textId="77777777" w:rsidTr="00452841">
        <w:tc>
          <w:tcPr>
            <w:tcW w:w="3024" w:type="dxa"/>
          </w:tcPr>
          <w:p w14:paraId="3C70F93F" w14:textId="084B1565" w:rsidR="00EA2E59" w:rsidRDefault="00EA2E59" w:rsidP="00596E58">
            <w:pPr>
              <w:spacing w:line="276" w:lineRule="auto"/>
              <w:rPr>
                <w:rStyle w:val="CommentReference"/>
                <w:rFonts w:cs="Times New Roman"/>
                <w:sz w:val="18"/>
                <w:szCs w:val="18"/>
              </w:rPr>
            </w:pPr>
            <w:r>
              <w:rPr>
                <w:rStyle w:val="CommentReference"/>
                <w:rFonts w:cs="Times New Roman"/>
                <w:sz w:val="18"/>
                <w:szCs w:val="18"/>
              </w:rPr>
              <w:t>MOUD - B</w:t>
            </w:r>
            <w:r w:rsidRPr="00D2239A">
              <w:rPr>
                <w:rFonts w:cs="Times New Roman"/>
                <w:sz w:val="18"/>
                <w:szCs w:val="18"/>
              </w:rPr>
              <w:t>uprenorphine</w:t>
            </w:r>
            <w:r>
              <w:rPr>
                <w:rStyle w:val="CommentReference"/>
                <w:rFonts w:cs="Times New Roman"/>
                <w:sz w:val="18"/>
                <w:szCs w:val="18"/>
              </w:rPr>
              <w:t xml:space="preserve"> (month</w:t>
            </w:r>
            <w:r w:rsidR="00452841">
              <w:rPr>
                <w:rStyle w:val="CommentReference"/>
                <w:rFonts w:cs="Times New Roman"/>
                <w:sz w:val="18"/>
                <w:szCs w:val="18"/>
              </w:rPr>
              <w:t xml:space="preserve"> 1</w:t>
            </w:r>
            <w:r>
              <w:rPr>
                <w:rStyle w:val="CommentReference"/>
                <w:rFonts w:cs="Times New Roman"/>
                <w:sz w:val="18"/>
                <w:szCs w:val="18"/>
              </w:rPr>
              <w:t>)</w:t>
            </w:r>
          </w:p>
        </w:tc>
        <w:tc>
          <w:tcPr>
            <w:tcW w:w="1440" w:type="dxa"/>
          </w:tcPr>
          <w:p w14:paraId="5516A833" w14:textId="4DC46D6E" w:rsidR="00EA2E59" w:rsidRPr="00D2239A" w:rsidRDefault="00EA2E59" w:rsidP="00435936">
            <w:pPr>
              <w:spacing w:line="276" w:lineRule="auto"/>
              <w:jc w:val="center"/>
              <w:rPr>
                <w:rFonts w:cs="Times New Roman"/>
                <w:sz w:val="18"/>
                <w:szCs w:val="18"/>
              </w:rPr>
            </w:pPr>
            <w:r>
              <w:rPr>
                <w:rFonts w:cs="Times New Roman"/>
                <w:sz w:val="18"/>
                <w:szCs w:val="18"/>
              </w:rPr>
              <w:t>0.710</w:t>
            </w:r>
          </w:p>
        </w:tc>
      </w:tr>
      <w:tr w:rsidR="00EA2E59" w:rsidRPr="00D2239A" w14:paraId="2AEE72E2" w14:textId="77777777" w:rsidTr="00452841">
        <w:tc>
          <w:tcPr>
            <w:tcW w:w="3024" w:type="dxa"/>
          </w:tcPr>
          <w:p w14:paraId="596D1B82" w14:textId="0CEACC4D" w:rsidR="00EA2E59" w:rsidRDefault="00EA2E59" w:rsidP="00596E58">
            <w:pPr>
              <w:spacing w:line="276" w:lineRule="auto"/>
              <w:rPr>
                <w:rStyle w:val="CommentReference"/>
                <w:rFonts w:cs="Times New Roman"/>
                <w:sz w:val="18"/>
                <w:szCs w:val="18"/>
              </w:rPr>
            </w:pPr>
            <w:r>
              <w:rPr>
                <w:rStyle w:val="CommentReference"/>
                <w:rFonts w:cs="Times New Roman"/>
                <w:sz w:val="18"/>
                <w:szCs w:val="18"/>
              </w:rPr>
              <w:t>MOUD - B</w:t>
            </w:r>
            <w:r w:rsidRPr="00D2239A">
              <w:rPr>
                <w:rFonts w:cs="Times New Roman"/>
                <w:sz w:val="18"/>
                <w:szCs w:val="18"/>
              </w:rPr>
              <w:t>uprenorphine</w:t>
            </w:r>
            <w:r>
              <w:rPr>
                <w:rStyle w:val="CommentReference"/>
                <w:rFonts w:cs="Times New Roman"/>
                <w:sz w:val="18"/>
                <w:szCs w:val="18"/>
              </w:rPr>
              <w:t xml:space="preserve"> (month</w:t>
            </w:r>
            <w:r w:rsidR="00452841">
              <w:rPr>
                <w:rStyle w:val="CommentReference"/>
                <w:rFonts w:cs="Times New Roman"/>
                <w:sz w:val="18"/>
                <w:szCs w:val="18"/>
              </w:rPr>
              <w:t xml:space="preserve"> 1+</w:t>
            </w:r>
            <w:r>
              <w:rPr>
                <w:rStyle w:val="CommentReference"/>
                <w:rFonts w:cs="Times New Roman"/>
                <w:sz w:val="18"/>
                <w:szCs w:val="18"/>
              </w:rPr>
              <w:t>)</w:t>
            </w:r>
          </w:p>
        </w:tc>
        <w:tc>
          <w:tcPr>
            <w:tcW w:w="1440" w:type="dxa"/>
          </w:tcPr>
          <w:p w14:paraId="49C52377" w14:textId="194B2406" w:rsidR="00EA2E59" w:rsidRPr="00D2239A" w:rsidRDefault="00EA2E59" w:rsidP="00EA2E59">
            <w:pPr>
              <w:spacing w:line="276" w:lineRule="auto"/>
              <w:jc w:val="center"/>
              <w:rPr>
                <w:rFonts w:cs="Times New Roman"/>
                <w:sz w:val="18"/>
                <w:szCs w:val="18"/>
              </w:rPr>
            </w:pPr>
            <w:r>
              <w:rPr>
                <w:rFonts w:cs="Times New Roman"/>
                <w:sz w:val="18"/>
                <w:szCs w:val="18"/>
              </w:rPr>
              <w:t>0.774</w:t>
            </w:r>
          </w:p>
        </w:tc>
      </w:tr>
      <w:tr w:rsidR="00EA2E59" w:rsidRPr="00D2239A" w14:paraId="1962DCA1" w14:textId="77777777" w:rsidTr="00452841">
        <w:tc>
          <w:tcPr>
            <w:tcW w:w="3024" w:type="dxa"/>
          </w:tcPr>
          <w:p w14:paraId="18BA1C19" w14:textId="3FE46070" w:rsidR="00EA2E59" w:rsidRDefault="00EA2E59" w:rsidP="00596E58">
            <w:pPr>
              <w:spacing w:line="276" w:lineRule="auto"/>
              <w:rPr>
                <w:rStyle w:val="CommentReference"/>
                <w:rFonts w:cs="Times New Roman"/>
                <w:sz w:val="18"/>
                <w:szCs w:val="18"/>
              </w:rPr>
            </w:pPr>
            <w:r>
              <w:rPr>
                <w:rFonts w:cs="Times New Roman"/>
                <w:sz w:val="18"/>
                <w:szCs w:val="18"/>
              </w:rPr>
              <w:t>MOUD - M</w:t>
            </w:r>
            <w:r w:rsidRPr="00D2239A">
              <w:rPr>
                <w:rFonts w:cs="Times New Roman"/>
                <w:sz w:val="18"/>
                <w:szCs w:val="18"/>
              </w:rPr>
              <w:t>ethadone</w:t>
            </w:r>
            <w:r>
              <w:rPr>
                <w:rStyle w:val="CommentReference"/>
                <w:rFonts w:cs="Times New Roman"/>
                <w:sz w:val="18"/>
                <w:szCs w:val="18"/>
              </w:rPr>
              <w:t xml:space="preserve"> (month</w:t>
            </w:r>
            <w:r w:rsidR="00452841">
              <w:rPr>
                <w:rStyle w:val="CommentReference"/>
                <w:rFonts w:cs="Times New Roman"/>
                <w:sz w:val="18"/>
                <w:szCs w:val="18"/>
              </w:rPr>
              <w:t xml:space="preserve"> 1</w:t>
            </w:r>
            <w:r>
              <w:rPr>
                <w:rStyle w:val="CommentReference"/>
                <w:rFonts w:cs="Times New Roman"/>
                <w:sz w:val="18"/>
                <w:szCs w:val="18"/>
              </w:rPr>
              <w:t>)</w:t>
            </w:r>
          </w:p>
        </w:tc>
        <w:tc>
          <w:tcPr>
            <w:tcW w:w="1440" w:type="dxa"/>
          </w:tcPr>
          <w:p w14:paraId="36D4B650" w14:textId="1AE0449A" w:rsidR="00EA2E59" w:rsidRPr="00D2239A" w:rsidRDefault="00EA2E59" w:rsidP="00EA2E59">
            <w:pPr>
              <w:spacing w:line="276" w:lineRule="auto"/>
              <w:jc w:val="center"/>
              <w:rPr>
                <w:rFonts w:cs="Times New Roman"/>
                <w:sz w:val="18"/>
                <w:szCs w:val="18"/>
              </w:rPr>
            </w:pPr>
            <w:r>
              <w:rPr>
                <w:rFonts w:cs="Times New Roman"/>
                <w:sz w:val="18"/>
                <w:szCs w:val="18"/>
              </w:rPr>
              <w:t>0.617</w:t>
            </w:r>
          </w:p>
        </w:tc>
      </w:tr>
      <w:tr w:rsidR="00EA2E59" w:rsidRPr="00D2239A" w14:paraId="263FFA6B" w14:textId="77777777" w:rsidTr="00452841">
        <w:tc>
          <w:tcPr>
            <w:tcW w:w="3024" w:type="dxa"/>
          </w:tcPr>
          <w:p w14:paraId="00B6BD7F" w14:textId="45625B03" w:rsidR="00EA2E59" w:rsidRDefault="00EA2E59" w:rsidP="00596E58">
            <w:pPr>
              <w:spacing w:line="276" w:lineRule="auto"/>
              <w:rPr>
                <w:rStyle w:val="CommentReference"/>
                <w:rFonts w:cs="Times New Roman"/>
                <w:sz w:val="18"/>
                <w:szCs w:val="18"/>
              </w:rPr>
            </w:pPr>
            <w:r>
              <w:rPr>
                <w:rFonts w:cs="Times New Roman"/>
                <w:sz w:val="18"/>
                <w:szCs w:val="18"/>
              </w:rPr>
              <w:t>MOUD - M</w:t>
            </w:r>
            <w:r w:rsidRPr="00D2239A">
              <w:rPr>
                <w:rFonts w:cs="Times New Roman"/>
                <w:sz w:val="18"/>
                <w:szCs w:val="18"/>
              </w:rPr>
              <w:t>ethadone</w:t>
            </w:r>
            <w:r>
              <w:rPr>
                <w:rStyle w:val="CommentReference"/>
                <w:rFonts w:cs="Times New Roman"/>
                <w:sz w:val="18"/>
                <w:szCs w:val="18"/>
              </w:rPr>
              <w:t xml:space="preserve"> (month</w:t>
            </w:r>
            <w:r w:rsidR="00452841">
              <w:rPr>
                <w:rStyle w:val="CommentReference"/>
                <w:rFonts w:cs="Times New Roman"/>
                <w:sz w:val="18"/>
                <w:szCs w:val="18"/>
              </w:rPr>
              <w:t xml:space="preserve"> 1+</w:t>
            </w:r>
            <w:r>
              <w:rPr>
                <w:rStyle w:val="CommentReference"/>
                <w:rFonts w:cs="Times New Roman"/>
                <w:sz w:val="18"/>
                <w:szCs w:val="18"/>
              </w:rPr>
              <w:t>)</w:t>
            </w:r>
          </w:p>
        </w:tc>
        <w:tc>
          <w:tcPr>
            <w:tcW w:w="1440" w:type="dxa"/>
          </w:tcPr>
          <w:p w14:paraId="7D905CAB" w14:textId="678C2CE0" w:rsidR="00EA2E59" w:rsidRPr="00D2239A" w:rsidRDefault="00EA2E59" w:rsidP="00EA2E59">
            <w:pPr>
              <w:spacing w:line="276" w:lineRule="auto"/>
              <w:jc w:val="center"/>
              <w:rPr>
                <w:rFonts w:cs="Times New Roman"/>
                <w:sz w:val="18"/>
                <w:szCs w:val="18"/>
              </w:rPr>
            </w:pPr>
            <w:r>
              <w:rPr>
                <w:rFonts w:cs="Times New Roman"/>
                <w:sz w:val="18"/>
                <w:szCs w:val="18"/>
              </w:rPr>
              <w:t>0.758</w:t>
            </w:r>
          </w:p>
        </w:tc>
      </w:tr>
      <w:tr w:rsidR="00EA2E59" w:rsidRPr="00D2239A" w14:paraId="28676A2F" w14:textId="77777777" w:rsidTr="00452841">
        <w:tc>
          <w:tcPr>
            <w:tcW w:w="3024" w:type="dxa"/>
          </w:tcPr>
          <w:p w14:paraId="6D9423EB" w14:textId="1CD3F4DE" w:rsidR="00EA2E59" w:rsidRDefault="00EA2E59" w:rsidP="00596E58">
            <w:pPr>
              <w:spacing w:line="276" w:lineRule="auto"/>
              <w:rPr>
                <w:rStyle w:val="CommentReference"/>
                <w:rFonts w:cs="Times New Roman"/>
                <w:sz w:val="18"/>
                <w:szCs w:val="18"/>
              </w:rPr>
            </w:pPr>
            <w:r>
              <w:rPr>
                <w:rFonts w:cs="Times New Roman"/>
                <w:sz w:val="18"/>
                <w:szCs w:val="18"/>
              </w:rPr>
              <w:t>MOUD - N</w:t>
            </w:r>
            <w:r w:rsidRPr="00D2239A">
              <w:rPr>
                <w:rFonts w:cs="Times New Roman"/>
                <w:sz w:val="18"/>
                <w:szCs w:val="18"/>
              </w:rPr>
              <w:t>altrexone</w:t>
            </w:r>
            <w:r>
              <w:rPr>
                <w:rStyle w:val="CommentReference"/>
                <w:rFonts w:cs="Times New Roman"/>
                <w:sz w:val="18"/>
                <w:szCs w:val="18"/>
              </w:rPr>
              <w:t xml:space="preserve"> (month</w:t>
            </w:r>
            <w:r w:rsidR="00452841">
              <w:rPr>
                <w:rStyle w:val="CommentReference"/>
                <w:rFonts w:cs="Times New Roman"/>
                <w:sz w:val="18"/>
                <w:szCs w:val="18"/>
              </w:rPr>
              <w:t xml:space="preserve"> 1</w:t>
            </w:r>
            <w:r>
              <w:rPr>
                <w:rStyle w:val="CommentReference"/>
                <w:rFonts w:cs="Times New Roman"/>
                <w:sz w:val="18"/>
                <w:szCs w:val="18"/>
              </w:rPr>
              <w:t>)</w:t>
            </w:r>
          </w:p>
        </w:tc>
        <w:tc>
          <w:tcPr>
            <w:tcW w:w="1440" w:type="dxa"/>
          </w:tcPr>
          <w:p w14:paraId="6732F17E" w14:textId="388CB5D8" w:rsidR="00EA2E59" w:rsidRPr="00D2239A" w:rsidRDefault="00EA2E59" w:rsidP="00EA2E59">
            <w:pPr>
              <w:spacing w:line="276" w:lineRule="auto"/>
              <w:jc w:val="center"/>
              <w:rPr>
                <w:rFonts w:cs="Times New Roman"/>
                <w:sz w:val="18"/>
                <w:szCs w:val="18"/>
              </w:rPr>
            </w:pPr>
            <w:r>
              <w:rPr>
                <w:rFonts w:cs="Times New Roman"/>
                <w:sz w:val="18"/>
                <w:szCs w:val="18"/>
              </w:rPr>
              <w:t>0.617</w:t>
            </w:r>
          </w:p>
        </w:tc>
      </w:tr>
      <w:tr w:rsidR="00EA2E59" w:rsidRPr="00D2239A" w14:paraId="4BDFA981" w14:textId="77777777" w:rsidTr="00452841">
        <w:tc>
          <w:tcPr>
            <w:tcW w:w="3024" w:type="dxa"/>
          </w:tcPr>
          <w:p w14:paraId="226146C5" w14:textId="39532294" w:rsidR="00EA2E59" w:rsidRDefault="00EA2E59" w:rsidP="00596E58">
            <w:pPr>
              <w:spacing w:line="276" w:lineRule="auto"/>
              <w:rPr>
                <w:rStyle w:val="CommentReference"/>
                <w:rFonts w:cs="Times New Roman"/>
                <w:sz w:val="18"/>
                <w:szCs w:val="18"/>
              </w:rPr>
            </w:pPr>
            <w:r>
              <w:rPr>
                <w:rFonts w:cs="Times New Roman"/>
                <w:sz w:val="18"/>
                <w:szCs w:val="18"/>
              </w:rPr>
              <w:t>MOUD - N</w:t>
            </w:r>
            <w:r w:rsidRPr="00D2239A">
              <w:rPr>
                <w:rFonts w:cs="Times New Roman"/>
                <w:sz w:val="18"/>
                <w:szCs w:val="18"/>
              </w:rPr>
              <w:t>altrexone</w:t>
            </w:r>
            <w:r>
              <w:rPr>
                <w:rStyle w:val="CommentReference"/>
                <w:rFonts w:cs="Times New Roman"/>
                <w:sz w:val="18"/>
                <w:szCs w:val="18"/>
              </w:rPr>
              <w:t xml:space="preserve"> (month</w:t>
            </w:r>
            <w:r w:rsidR="00452841">
              <w:rPr>
                <w:rStyle w:val="CommentReference"/>
                <w:rFonts w:cs="Times New Roman"/>
                <w:sz w:val="18"/>
                <w:szCs w:val="18"/>
              </w:rPr>
              <w:t xml:space="preserve"> 1+</w:t>
            </w:r>
            <w:r>
              <w:rPr>
                <w:rStyle w:val="CommentReference"/>
                <w:rFonts w:cs="Times New Roman"/>
                <w:sz w:val="18"/>
                <w:szCs w:val="18"/>
              </w:rPr>
              <w:t>)</w:t>
            </w:r>
          </w:p>
        </w:tc>
        <w:tc>
          <w:tcPr>
            <w:tcW w:w="1440" w:type="dxa"/>
          </w:tcPr>
          <w:p w14:paraId="08E4C82A" w14:textId="0BFA4A00" w:rsidR="00EA2E59" w:rsidRPr="00D2239A" w:rsidRDefault="00EA2E59" w:rsidP="00EA2E59">
            <w:pPr>
              <w:spacing w:line="276" w:lineRule="auto"/>
              <w:jc w:val="center"/>
              <w:rPr>
                <w:rFonts w:cs="Times New Roman"/>
                <w:sz w:val="18"/>
                <w:szCs w:val="18"/>
              </w:rPr>
            </w:pPr>
            <w:r>
              <w:rPr>
                <w:rFonts w:cs="Times New Roman"/>
                <w:sz w:val="18"/>
                <w:szCs w:val="18"/>
              </w:rPr>
              <w:t>0.774</w:t>
            </w:r>
          </w:p>
        </w:tc>
      </w:tr>
      <w:tr w:rsidR="00EA2E59" w:rsidRPr="00D2239A" w14:paraId="42C9F4C6" w14:textId="77777777" w:rsidTr="00452841">
        <w:tc>
          <w:tcPr>
            <w:tcW w:w="3024" w:type="dxa"/>
          </w:tcPr>
          <w:p w14:paraId="5E76A72F" w14:textId="2AD9E374" w:rsidR="00EA2E59" w:rsidRDefault="00EA2E59" w:rsidP="00596E58">
            <w:pPr>
              <w:spacing w:line="276" w:lineRule="auto"/>
              <w:rPr>
                <w:rStyle w:val="CommentReference"/>
                <w:rFonts w:cs="Times New Roman"/>
                <w:sz w:val="18"/>
                <w:szCs w:val="18"/>
              </w:rPr>
            </w:pPr>
            <w:r>
              <w:rPr>
                <w:rStyle w:val="CommentReference"/>
                <w:rFonts w:cs="Times New Roman"/>
                <w:sz w:val="18"/>
                <w:szCs w:val="18"/>
              </w:rPr>
              <w:t>REC</w:t>
            </w:r>
          </w:p>
        </w:tc>
        <w:tc>
          <w:tcPr>
            <w:tcW w:w="1440" w:type="dxa"/>
          </w:tcPr>
          <w:p w14:paraId="08F89071" w14:textId="685ADACD" w:rsidR="00EA2E59" w:rsidRPr="00D2239A" w:rsidRDefault="00EA2E59" w:rsidP="00EA2E59">
            <w:pPr>
              <w:spacing w:line="276" w:lineRule="auto"/>
              <w:jc w:val="center"/>
              <w:rPr>
                <w:rFonts w:cs="Times New Roman"/>
                <w:sz w:val="18"/>
                <w:szCs w:val="18"/>
              </w:rPr>
            </w:pPr>
            <w:r>
              <w:rPr>
                <w:rFonts w:cs="Times New Roman"/>
                <w:sz w:val="18"/>
                <w:szCs w:val="18"/>
              </w:rPr>
              <w:t>0.807</w:t>
            </w:r>
          </w:p>
        </w:tc>
      </w:tr>
    </w:tbl>
    <w:p w14:paraId="2BBA3545" w14:textId="70A0126A" w:rsidR="00D50F58" w:rsidRPr="00D2239A" w:rsidRDefault="00D50F58" w:rsidP="002E2D74">
      <w:pPr>
        <w:rPr>
          <w:rFonts w:cs="Times New Roman"/>
          <w:b/>
          <w:bCs/>
        </w:rPr>
        <w:sectPr w:rsidR="00D50F58" w:rsidRPr="00D2239A" w:rsidSect="00CA6616">
          <w:footerReference w:type="even" r:id="rId18"/>
          <w:footerReference w:type="default" r:id="rId19"/>
          <w:pgSz w:w="12240" w:h="15840"/>
          <w:pgMar w:top="1440" w:right="1440" w:bottom="1440" w:left="1440" w:header="720" w:footer="720" w:gutter="0"/>
          <w:cols w:space="720"/>
          <w:docGrid w:linePitch="360"/>
        </w:sectPr>
      </w:pPr>
    </w:p>
    <w:p w14:paraId="7C1C9005" w14:textId="138CE445" w:rsidR="00D24603" w:rsidRPr="00D2239A" w:rsidRDefault="00D24603" w:rsidP="00D24603">
      <w:pPr>
        <w:pStyle w:val="Heading1"/>
      </w:pPr>
      <w:bookmarkStart w:id="47" w:name="_Toc226020693"/>
      <w:r w:rsidRPr="00D2239A">
        <w:lastRenderedPageBreak/>
        <w:t xml:space="preserve">Supplement </w:t>
      </w:r>
      <w:r w:rsidR="000904C0">
        <w:t>S4</w:t>
      </w:r>
      <w:r w:rsidRPr="00D2239A">
        <w:t xml:space="preserve">. </w:t>
      </w:r>
      <w:r w:rsidR="00CE3D62">
        <w:t xml:space="preserve">Supplementary </w:t>
      </w:r>
      <w:r w:rsidR="00AE5C1F">
        <w:t>results</w:t>
      </w:r>
      <w:bookmarkEnd w:id="47"/>
    </w:p>
    <w:p w14:paraId="69BEA9DC" w14:textId="49ABD4BE" w:rsidR="00D24603" w:rsidRDefault="00CE3D62" w:rsidP="00CE3D62">
      <w:pPr>
        <w:spacing w:after="0"/>
      </w:pPr>
      <w:r>
        <w:rPr>
          <w:b/>
          <w:bCs/>
        </w:rPr>
        <w:t xml:space="preserve">Supplementary </w:t>
      </w:r>
      <w:r w:rsidR="00D24603" w:rsidRPr="00364C58">
        <w:rPr>
          <w:b/>
          <w:bCs/>
        </w:rPr>
        <w:t xml:space="preserve">Table </w:t>
      </w:r>
      <w:r w:rsidR="00A87FBF">
        <w:rPr>
          <w:b/>
          <w:bCs/>
        </w:rPr>
        <w:t>2</w:t>
      </w:r>
      <w:r w:rsidR="00D24603" w:rsidRPr="00364C58">
        <w:rPr>
          <w:b/>
          <w:bCs/>
        </w:rPr>
        <w:t>1.</w:t>
      </w:r>
      <w:r w:rsidR="00D24603" w:rsidRPr="00364C58">
        <w:t xml:space="preserve"> All</w:t>
      </w:r>
      <w:r w:rsidR="00D24603" w:rsidRPr="00926FBE">
        <w:t xml:space="preserve"> opioid-related deaths (Scenario 1) and changes (Scenarios 2-6) between </w:t>
      </w:r>
      <w:r w:rsidR="00D24603">
        <w:t>2025</w:t>
      </w:r>
      <w:r w:rsidR="00D24603" w:rsidRPr="00926FBE">
        <w:t xml:space="preserve"> and 20</w:t>
      </w:r>
      <w:r w:rsidR="00D24603">
        <w:t>30</w:t>
      </w:r>
      <w:r w:rsidR="00D24603" w:rsidRPr="00AB120F">
        <w:t>.</w:t>
      </w:r>
    </w:p>
    <w:tbl>
      <w:tblPr>
        <w:tblW w:w="4739" w:type="pct"/>
        <w:tblLook w:val="04A0" w:firstRow="1" w:lastRow="0" w:firstColumn="1" w:lastColumn="0" w:noHBand="0" w:noVBand="1"/>
      </w:tblPr>
      <w:tblGrid>
        <w:gridCol w:w="1005"/>
        <w:gridCol w:w="1297"/>
        <w:gridCol w:w="1154"/>
        <w:gridCol w:w="1154"/>
        <w:gridCol w:w="1154"/>
        <w:gridCol w:w="1874"/>
        <w:gridCol w:w="2589"/>
      </w:tblGrid>
      <w:tr w:rsidR="00D24603" w:rsidRPr="00622422" w14:paraId="1DF394D5" w14:textId="77777777" w:rsidTr="00CE3D62">
        <w:trPr>
          <w:trHeight w:val="439"/>
        </w:trPr>
        <w:tc>
          <w:tcPr>
            <w:tcW w:w="492" w:type="pct"/>
            <w:tcBorders>
              <w:top w:val="single" w:sz="4" w:space="0" w:color="auto"/>
              <w:left w:val="single" w:sz="4" w:space="0" w:color="auto"/>
              <w:bottom w:val="single" w:sz="4" w:space="0" w:color="auto"/>
              <w:right w:val="single" w:sz="4" w:space="0" w:color="auto"/>
            </w:tcBorders>
            <w:noWrap/>
            <w:vAlign w:val="center"/>
            <w:hideMark/>
          </w:tcPr>
          <w:p w14:paraId="528745BF" w14:textId="77777777" w:rsidR="00D24603" w:rsidRPr="00622422" w:rsidRDefault="00D24603" w:rsidP="00CE3D62">
            <w:pPr>
              <w:spacing w:after="0"/>
              <w:jc w:val="center"/>
              <w:rPr>
                <w:rFonts w:ascii="Calibri" w:eastAsia="Times New Roman" w:hAnsi="Calibri" w:cs="Calibri"/>
                <w:b/>
                <w:bCs/>
                <w:color w:val="000000"/>
                <w:kern w:val="0"/>
                <w:sz w:val="16"/>
                <w:szCs w:val="16"/>
                <w14:ligatures w14:val="none"/>
              </w:rPr>
            </w:pPr>
            <w:r w:rsidRPr="00622422">
              <w:rPr>
                <w:rFonts w:ascii="Calibri" w:eastAsia="Times New Roman" w:hAnsi="Calibri" w:cs="Calibri"/>
                <w:b/>
                <w:bCs/>
                <w:color w:val="000000"/>
                <w:kern w:val="0"/>
                <w:sz w:val="16"/>
                <w:szCs w:val="16"/>
                <w14:ligatures w14:val="none"/>
              </w:rPr>
              <w:t>Community</w:t>
            </w:r>
          </w:p>
        </w:tc>
        <w:tc>
          <w:tcPr>
            <w:tcW w:w="634" w:type="pct"/>
            <w:tcBorders>
              <w:top w:val="single" w:sz="4" w:space="0" w:color="auto"/>
              <w:left w:val="nil"/>
              <w:bottom w:val="nil"/>
              <w:right w:val="single" w:sz="4" w:space="0" w:color="auto"/>
            </w:tcBorders>
            <w:vAlign w:val="center"/>
            <w:hideMark/>
          </w:tcPr>
          <w:p w14:paraId="2A8B8EA6" w14:textId="77777777" w:rsidR="00D24603" w:rsidRPr="00622422" w:rsidRDefault="00D24603" w:rsidP="00CE3D62">
            <w:pPr>
              <w:spacing w:after="0"/>
              <w:jc w:val="center"/>
              <w:rPr>
                <w:rFonts w:ascii="Calibri" w:eastAsia="Times New Roman" w:hAnsi="Calibri" w:cs="Calibri"/>
                <w:b/>
                <w:bCs/>
                <w:color w:val="000000"/>
                <w:kern w:val="0"/>
                <w:sz w:val="16"/>
                <w:szCs w:val="16"/>
                <w14:ligatures w14:val="none"/>
              </w:rPr>
            </w:pPr>
            <w:r w:rsidRPr="00622422">
              <w:rPr>
                <w:rFonts w:ascii="Calibri" w:eastAsia="Times New Roman" w:hAnsi="Calibri" w:cs="Calibri"/>
                <w:b/>
                <w:bCs/>
                <w:color w:val="000000"/>
                <w:kern w:val="0"/>
                <w:sz w:val="16"/>
                <w:szCs w:val="16"/>
                <w14:ligatures w14:val="none"/>
              </w:rPr>
              <w:t>Maintain</w:t>
            </w:r>
            <w:r w:rsidRPr="00622422">
              <w:rPr>
                <w:rFonts w:ascii="Calibri" w:eastAsia="Times New Roman" w:hAnsi="Calibri" w:cs="Calibri"/>
                <w:b/>
                <w:bCs/>
                <w:color w:val="000000"/>
                <w:kern w:val="0"/>
                <w:sz w:val="16"/>
                <w:szCs w:val="16"/>
                <w14:ligatures w14:val="none"/>
              </w:rPr>
              <w:br/>
              <w:t>20</w:t>
            </w:r>
            <w:r>
              <w:rPr>
                <w:rFonts w:ascii="Calibri" w:eastAsia="Times New Roman" w:hAnsi="Calibri" w:cs="Calibri"/>
                <w:b/>
                <w:bCs/>
                <w:color w:val="000000"/>
                <w:kern w:val="0"/>
                <w:sz w:val="16"/>
                <w:szCs w:val="16"/>
                <w14:ligatures w14:val="none"/>
              </w:rPr>
              <w:t>24</w:t>
            </w:r>
            <w:r w:rsidRPr="00622422">
              <w:rPr>
                <w:rFonts w:ascii="Calibri" w:eastAsia="Times New Roman" w:hAnsi="Calibri" w:cs="Calibri"/>
                <w:b/>
                <w:bCs/>
                <w:color w:val="000000"/>
                <w:kern w:val="0"/>
                <w:sz w:val="16"/>
                <w:szCs w:val="16"/>
                <w14:ligatures w14:val="none"/>
              </w:rPr>
              <w:t xml:space="preserve"> EBP Levels</w:t>
            </w:r>
            <w:r>
              <w:rPr>
                <w:rFonts w:ascii="Calibri" w:eastAsia="Times New Roman" w:hAnsi="Calibri" w:cs="Calibri"/>
                <w:b/>
                <w:bCs/>
                <w:color w:val="000000"/>
                <w:kern w:val="0"/>
                <w:sz w:val="16"/>
                <w:szCs w:val="16"/>
                <w14:ligatures w14:val="none"/>
              </w:rPr>
              <w:t xml:space="preserve"> (Scenario 1)</w:t>
            </w:r>
          </w:p>
        </w:tc>
        <w:tc>
          <w:tcPr>
            <w:tcW w:w="564" w:type="pct"/>
            <w:tcBorders>
              <w:top w:val="single" w:sz="4" w:space="0" w:color="auto"/>
              <w:left w:val="nil"/>
              <w:bottom w:val="nil"/>
              <w:right w:val="single" w:sz="4" w:space="0" w:color="auto"/>
            </w:tcBorders>
            <w:vAlign w:val="center"/>
            <w:hideMark/>
          </w:tcPr>
          <w:p w14:paraId="46EC3D1D" w14:textId="77777777" w:rsidR="00D24603" w:rsidRPr="00622422" w:rsidRDefault="00D24603" w:rsidP="00CE3D62">
            <w:pPr>
              <w:spacing w:after="0"/>
              <w:jc w:val="center"/>
              <w:rPr>
                <w:rFonts w:ascii="Calibri" w:eastAsia="Times New Roman" w:hAnsi="Calibri" w:cs="Calibri"/>
                <w:b/>
                <w:bCs/>
                <w:color w:val="000000"/>
                <w:kern w:val="0"/>
                <w:sz w:val="16"/>
                <w:szCs w:val="16"/>
                <w14:ligatures w14:val="none"/>
              </w:rPr>
            </w:pPr>
            <w:r w:rsidRPr="00622422">
              <w:rPr>
                <w:rFonts w:ascii="Calibri" w:eastAsia="Times New Roman" w:hAnsi="Calibri" w:cs="Calibri"/>
                <w:b/>
                <w:bCs/>
                <w:color w:val="000000"/>
                <w:kern w:val="0"/>
                <w:sz w:val="16"/>
                <w:szCs w:val="16"/>
                <w14:ligatures w14:val="none"/>
              </w:rPr>
              <w:t>Improved</w:t>
            </w:r>
            <w:r w:rsidRPr="00622422">
              <w:rPr>
                <w:rFonts w:ascii="Calibri" w:eastAsia="Times New Roman" w:hAnsi="Calibri" w:cs="Calibri"/>
                <w:b/>
                <w:bCs/>
                <w:color w:val="000000"/>
                <w:kern w:val="0"/>
                <w:sz w:val="16"/>
                <w:szCs w:val="16"/>
                <w14:ligatures w14:val="none"/>
              </w:rPr>
              <w:br/>
              <w:t>Naloxone</w:t>
            </w:r>
            <w:r>
              <w:rPr>
                <w:rFonts w:ascii="Calibri" w:eastAsia="Times New Roman" w:hAnsi="Calibri" w:cs="Calibri"/>
                <w:b/>
                <w:bCs/>
                <w:color w:val="000000"/>
                <w:kern w:val="0"/>
                <w:sz w:val="16"/>
                <w:szCs w:val="16"/>
                <w14:ligatures w14:val="none"/>
              </w:rPr>
              <w:t xml:space="preserve"> (Scenario 2)</w:t>
            </w:r>
          </w:p>
        </w:tc>
        <w:tc>
          <w:tcPr>
            <w:tcW w:w="564" w:type="pct"/>
            <w:tcBorders>
              <w:top w:val="single" w:sz="4" w:space="0" w:color="auto"/>
              <w:left w:val="nil"/>
              <w:bottom w:val="single" w:sz="4" w:space="0" w:color="auto"/>
              <w:right w:val="single" w:sz="4" w:space="0" w:color="auto"/>
            </w:tcBorders>
            <w:vAlign w:val="center"/>
            <w:hideMark/>
          </w:tcPr>
          <w:p w14:paraId="6FF14DF6" w14:textId="77777777" w:rsidR="00D24603" w:rsidRPr="00622422" w:rsidRDefault="00D24603" w:rsidP="00CE3D62">
            <w:pPr>
              <w:spacing w:after="0"/>
              <w:jc w:val="center"/>
              <w:rPr>
                <w:rFonts w:ascii="Calibri" w:eastAsia="Times New Roman" w:hAnsi="Calibri" w:cs="Calibri"/>
                <w:b/>
                <w:bCs/>
                <w:color w:val="000000"/>
                <w:kern w:val="0"/>
                <w:sz w:val="16"/>
                <w:szCs w:val="16"/>
                <w14:ligatures w14:val="none"/>
              </w:rPr>
            </w:pPr>
            <w:r w:rsidRPr="00622422">
              <w:rPr>
                <w:rFonts w:ascii="Calibri" w:eastAsia="Times New Roman" w:hAnsi="Calibri" w:cs="Calibri"/>
                <w:b/>
                <w:bCs/>
                <w:color w:val="000000"/>
                <w:kern w:val="0"/>
                <w:sz w:val="16"/>
                <w:szCs w:val="16"/>
                <w14:ligatures w14:val="none"/>
              </w:rPr>
              <w:t>Improved</w:t>
            </w:r>
            <w:r w:rsidRPr="00622422">
              <w:rPr>
                <w:rFonts w:ascii="Calibri" w:eastAsia="Times New Roman" w:hAnsi="Calibri" w:cs="Calibri"/>
                <w:b/>
                <w:bCs/>
                <w:color w:val="000000"/>
                <w:kern w:val="0"/>
                <w:sz w:val="16"/>
                <w:szCs w:val="16"/>
                <w14:ligatures w14:val="none"/>
              </w:rPr>
              <w:br/>
              <w:t>Retention</w:t>
            </w:r>
            <w:r>
              <w:rPr>
                <w:rFonts w:ascii="Calibri" w:eastAsia="Times New Roman" w:hAnsi="Calibri" w:cs="Calibri"/>
                <w:b/>
                <w:bCs/>
                <w:color w:val="000000"/>
                <w:kern w:val="0"/>
                <w:sz w:val="16"/>
                <w:szCs w:val="16"/>
                <w14:ligatures w14:val="none"/>
              </w:rPr>
              <w:t xml:space="preserve"> (Scenario 3)</w:t>
            </w:r>
          </w:p>
        </w:tc>
        <w:tc>
          <w:tcPr>
            <w:tcW w:w="564" w:type="pct"/>
            <w:tcBorders>
              <w:top w:val="single" w:sz="4" w:space="0" w:color="auto"/>
              <w:left w:val="nil"/>
              <w:bottom w:val="single" w:sz="4" w:space="0" w:color="auto"/>
              <w:right w:val="single" w:sz="4" w:space="0" w:color="auto"/>
            </w:tcBorders>
            <w:vAlign w:val="center"/>
            <w:hideMark/>
          </w:tcPr>
          <w:p w14:paraId="1748BAB3" w14:textId="77777777" w:rsidR="00D24603" w:rsidRPr="00622422" w:rsidRDefault="00D24603" w:rsidP="00CE3D62">
            <w:pPr>
              <w:spacing w:after="0"/>
              <w:jc w:val="center"/>
              <w:rPr>
                <w:rFonts w:ascii="Calibri" w:eastAsia="Times New Roman" w:hAnsi="Calibri" w:cs="Calibri"/>
                <w:b/>
                <w:bCs/>
                <w:color w:val="000000"/>
                <w:kern w:val="0"/>
                <w:sz w:val="16"/>
                <w:szCs w:val="16"/>
                <w14:ligatures w14:val="none"/>
              </w:rPr>
            </w:pPr>
            <w:r w:rsidRPr="00622422">
              <w:rPr>
                <w:rFonts w:ascii="Calibri" w:eastAsia="Times New Roman" w:hAnsi="Calibri" w:cs="Calibri"/>
                <w:b/>
                <w:bCs/>
                <w:color w:val="000000"/>
                <w:kern w:val="0"/>
                <w:sz w:val="16"/>
                <w:szCs w:val="16"/>
                <w14:ligatures w14:val="none"/>
              </w:rPr>
              <w:t>Improved</w:t>
            </w:r>
            <w:r w:rsidRPr="00622422">
              <w:rPr>
                <w:rFonts w:ascii="Calibri" w:eastAsia="Times New Roman" w:hAnsi="Calibri" w:cs="Calibri"/>
                <w:b/>
                <w:bCs/>
                <w:color w:val="000000"/>
                <w:kern w:val="0"/>
                <w:sz w:val="16"/>
                <w:szCs w:val="16"/>
                <w14:ligatures w14:val="none"/>
              </w:rPr>
              <w:br/>
              <w:t>Initiation</w:t>
            </w:r>
            <w:r>
              <w:rPr>
                <w:rFonts w:ascii="Calibri" w:eastAsia="Times New Roman" w:hAnsi="Calibri" w:cs="Calibri"/>
                <w:b/>
                <w:bCs/>
                <w:color w:val="000000"/>
                <w:kern w:val="0"/>
                <w:sz w:val="16"/>
                <w:szCs w:val="16"/>
                <w14:ligatures w14:val="none"/>
              </w:rPr>
              <w:t xml:space="preserve"> (Scenario 4)</w:t>
            </w:r>
          </w:p>
        </w:tc>
        <w:tc>
          <w:tcPr>
            <w:tcW w:w="916" w:type="pct"/>
            <w:tcBorders>
              <w:top w:val="single" w:sz="4" w:space="0" w:color="auto"/>
              <w:left w:val="nil"/>
              <w:bottom w:val="single" w:sz="4" w:space="0" w:color="auto"/>
              <w:right w:val="single" w:sz="4" w:space="0" w:color="auto"/>
            </w:tcBorders>
            <w:vAlign w:val="center"/>
            <w:hideMark/>
          </w:tcPr>
          <w:p w14:paraId="5C2F20E5" w14:textId="77777777" w:rsidR="00D24603" w:rsidRPr="00622422" w:rsidRDefault="00D24603" w:rsidP="00CE3D62">
            <w:pPr>
              <w:spacing w:after="0"/>
              <w:jc w:val="center"/>
              <w:rPr>
                <w:rFonts w:ascii="Calibri" w:eastAsia="Times New Roman" w:hAnsi="Calibri" w:cs="Calibri"/>
                <w:b/>
                <w:bCs/>
                <w:color w:val="000000"/>
                <w:kern w:val="0"/>
                <w:sz w:val="16"/>
                <w:szCs w:val="16"/>
                <w14:ligatures w14:val="none"/>
              </w:rPr>
            </w:pPr>
            <w:r w:rsidRPr="00622422">
              <w:rPr>
                <w:rFonts w:ascii="Calibri" w:eastAsia="Times New Roman" w:hAnsi="Calibri" w:cs="Calibri"/>
                <w:b/>
                <w:bCs/>
                <w:color w:val="000000"/>
                <w:kern w:val="0"/>
                <w:sz w:val="16"/>
                <w:szCs w:val="16"/>
                <w14:ligatures w14:val="none"/>
              </w:rPr>
              <w:t>Improved</w:t>
            </w:r>
            <w:r w:rsidRPr="00622422">
              <w:rPr>
                <w:rFonts w:ascii="Calibri" w:eastAsia="Times New Roman" w:hAnsi="Calibri" w:cs="Calibri"/>
                <w:b/>
                <w:bCs/>
                <w:color w:val="000000"/>
                <w:kern w:val="0"/>
                <w:sz w:val="16"/>
                <w:szCs w:val="16"/>
                <w14:ligatures w14:val="none"/>
              </w:rPr>
              <w:br/>
              <w:t>Initiation &amp; Retention</w:t>
            </w:r>
            <w:r>
              <w:rPr>
                <w:rFonts w:ascii="Calibri" w:eastAsia="Times New Roman" w:hAnsi="Calibri" w:cs="Calibri"/>
                <w:b/>
                <w:bCs/>
                <w:color w:val="000000"/>
                <w:kern w:val="0"/>
                <w:sz w:val="16"/>
                <w:szCs w:val="16"/>
                <w14:ligatures w14:val="none"/>
              </w:rPr>
              <w:t xml:space="preserve"> (Scenario 5)</w:t>
            </w:r>
          </w:p>
        </w:tc>
        <w:tc>
          <w:tcPr>
            <w:tcW w:w="1267" w:type="pct"/>
            <w:tcBorders>
              <w:top w:val="single" w:sz="4" w:space="0" w:color="auto"/>
              <w:left w:val="nil"/>
              <w:bottom w:val="single" w:sz="4" w:space="0" w:color="auto"/>
              <w:right w:val="single" w:sz="4" w:space="0" w:color="auto"/>
            </w:tcBorders>
            <w:vAlign w:val="center"/>
            <w:hideMark/>
          </w:tcPr>
          <w:p w14:paraId="170DD00E" w14:textId="77777777" w:rsidR="00D24603" w:rsidRDefault="00D24603" w:rsidP="00CE3D62">
            <w:pPr>
              <w:spacing w:after="0"/>
              <w:jc w:val="center"/>
              <w:rPr>
                <w:rFonts w:ascii="Calibri" w:eastAsia="Times New Roman" w:hAnsi="Calibri" w:cs="Calibri"/>
                <w:b/>
                <w:bCs/>
                <w:color w:val="000000"/>
                <w:kern w:val="0"/>
                <w:sz w:val="16"/>
                <w:szCs w:val="16"/>
                <w14:ligatures w14:val="none"/>
              </w:rPr>
            </w:pPr>
            <w:r w:rsidRPr="00622422">
              <w:rPr>
                <w:rFonts w:ascii="Calibri" w:eastAsia="Times New Roman" w:hAnsi="Calibri" w:cs="Calibri"/>
                <w:b/>
                <w:bCs/>
                <w:color w:val="000000"/>
                <w:kern w:val="0"/>
                <w:sz w:val="16"/>
                <w:szCs w:val="16"/>
                <w14:ligatures w14:val="none"/>
              </w:rPr>
              <w:t>Improved</w:t>
            </w:r>
            <w:r w:rsidRPr="00622422">
              <w:rPr>
                <w:rFonts w:ascii="Calibri" w:eastAsia="Times New Roman" w:hAnsi="Calibri" w:cs="Calibri"/>
                <w:b/>
                <w:bCs/>
                <w:color w:val="000000"/>
                <w:kern w:val="0"/>
                <w:sz w:val="16"/>
                <w:szCs w:val="16"/>
                <w14:ligatures w14:val="none"/>
              </w:rPr>
              <w:br/>
              <w:t>All</w:t>
            </w:r>
          </w:p>
          <w:p w14:paraId="07F35AEB" w14:textId="77777777" w:rsidR="00D24603" w:rsidRPr="00622422" w:rsidRDefault="00D24603" w:rsidP="00CE3D62">
            <w:pPr>
              <w:spacing w:after="0"/>
              <w:jc w:val="center"/>
              <w:rPr>
                <w:rFonts w:ascii="Calibri" w:eastAsia="Times New Roman" w:hAnsi="Calibri" w:cs="Calibri"/>
                <w:b/>
                <w:bCs/>
                <w:color w:val="000000"/>
                <w:kern w:val="0"/>
                <w:sz w:val="16"/>
                <w:szCs w:val="16"/>
                <w14:ligatures w14:val="none"/>
              </w:rPr>
            </w:pPr>
            <w:r>
              <w:rPr>
                <w:rFonts w:ascii="Calibri" w:eastAsia="Times New Roman" w:hAnsi="Calibri" w:cs="Calibri"/>
                <w:b/>
                <w:bCs/>
                <w:color w:val="000000"/>
                <w:kern w:val="0"/>
                <w:sz w:val="16"/>
                <w:szCs w:val="16"/>
                <w14:ligatures w14:val="none"/>
              </w:rPr>
              <w:t>(Scenario 6)</w:t>
            </w:r>
          </w:p>
        </w:tc>
      </w:tr>
      <w:tr w:rsidR="00D24603" w:rsidRPr="00622422" w14:paraId="703A3458" w14:textId="77777777" w:rsidTr="00435936">
        <w:trPr>
          <w:trHeight w:val="20"/>
        </w:trPr>
        <w:tc>
          <w:tcPr>
            <w:tcW w:w="492" w:type="pct"/>
            <w:vMerge w:val="restart"/>
            <w:tcBorders>
              <w:top w:val="nil"/>
              <w:left w:val="single" w:sz="4" w:space="0" w:color="auto"/>
              <w:bottom w:val="single" w:sz="4" w:space="0" w:color="000000"/>
              <w:right w:val="nil"/>
            </w:tcBorders>
            <w:shd w:val="clear" w:color="000000" w:fill="FFFFFF"/>
            <w:noWrap/>
            <w:vAlign w:val="center"/>
            <w:hideMark/>
          </w:tcPr>
          <w:p w14:paraId="24A17058"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C1</w:t>
            </w:r>
          </w:p>
        </w:tc>
        <w:tc>
          <w:tcPr>
            <w:tcW w:w="634" w:type="pct"/>
            <w:tcBorders>
              <w:top w:val="single" w:sz="4" w:space="0" w:color="auto"/>
              <w:left w:val="single" w:sz="4" w:space="0" w:color="auto"/>
              <w:bottom w:val="nil"/>
              <w:right w:val="nil"/>
            </w:tcBorders>
            <w:shd w:val="clear" w:color="000000" w:fill="FFFFFF"/>
            <w:noWrap/>
            <w:vAlign w:val="center"/>
            <w:hideMark/>
          </w:tcPr>
          <w:p w14:paraId="605FA5F3"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w:t>
            </w:r>
          </w:p>
        </w:tc>
        <w:tc>
          <w:tcPr>
            <w:tcW w:w="564" w:type="pct"/>
            <w:tcBorders>
              <w:top w:val="single" w:sz="4" w:space="0" w:color="auto"/>
              <w:left w:val="single" w:sz="4" w:space="0" w:color="auto"/>
              <w:bottom w:val="nil"/>
              <w:right w:val="single" w:sz="4" w:space="0" w:color="auto"/>
            </w:tcBorders>
            <w:shd w:val="clear" w:color="000000" w:fill="FFFFFF"/>
            <w:noWrap/>
            <w:vAlign w:val="center"/>
            <w:hideMark/>
          </w:tcPr>
          <w:p w14:paraId="506E4E24"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Nalo: 0%</w:t>
            </w:r>
          </w:p>
        </w:tc>
        <w:tc>
          <w:tcPr>
            <w:tcW w:w="564" w:type="pct"/>
            <w:tcBorders>
              <w:top w:val="nil"/>
              <w:left w:val="nil"/>
              <w:bottom w:val="nil"/>
              <w:right w:val="single" w:sz="4" w:space="0" w:color="auto"/>
            </w:tcBorders>
            <w:shd w:val="clear" w:color="000000" w:fill="FFFFFF"/>
            <w:noWrap/>
            <w:vAlign w:val="center"/>
            <w:hideMark/>
          </w:tcPr>
          <w:p w14:paraId="32B8A660"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Rete: 28%</w:t>
            </w:r>
          </w:p>
        </w:tc>
        <w:tc>
          <w:tcPr>
            <w:tcW w:w="564" w:type="pct"/>
            <w:tcBorders>
              <w:top w:val="nil"/>
              <w:left w:val="nil"/>
              <w:bottom w:val="nil"/>
              <w:right w:val="single" w:sz="4" w:space="0" w:color="auto"/>
            </w:tcBorders>
            <w:shd w:val="clear" w:color="000000" w:fill="FFFFFF"/>
            <w:noWrap/>
            <w:vAlign w:val="center"/>
            <w:hideMark/>
          </w:tcPr>
          <w:p w14:paraId="70D38EE8"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184%</w:t>
            </w:r>
          </w:p>
        </w:tc>
        <w:tc>
          <w:tcPr>
            <w:tcW w:w="916" w:type="pct"/>
            <w:tcBorders>
              <w:top w:val="nil"/>
              <w:left w:val="nil"/>
              <w:bottom w:val="nil"/>
              <w:right w:val="single" w:sz="4" w:space="0" w:color="auto"/>
            </w:tcBorders>
            <w:shd w:val="clear" w:color="000000" w:fill="FFFFFF"/>
            <w:noWrap/>
            <w:vAlign w:val="center"/>
            <w:hideMark/>
          </w:tcPr>
          <w:p w14:paraId="7F1E58E8"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116%, Rete: 210%</w:t>
            </w:r>
          </w:p>
        </w:tc>
        <w:tc>
          <w:tcPr>
            <w:tcW w:w="1267" w:type="pct"/>
            <w:tcBorders>
              <w:top w:val="nil"/>
              <w:left w:val="nil"/>
              <w:bottom w:val="nil"/>
              <w:right w:val="single" w:sz="4" w:space="0" w:color="auto"/>
            </w:tcBorders>
            <w:shd w:val="clear" w:color="000000" w:fill="FFFFFF"/>
            <w:noWrap/>
            <w:vAlign w:val="center"/>
            <w:hideMark/>
          </w:tcPr>
          <w:p w14:paraId="4A45BB96"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116%, Rete: 210%, Nalo: 0%</w:t>
            </w:r>
          </w:p>
        </w:tc>
      </w:tr>
      <w:tr w:rsidR="00D24603" w:rsidRPr="00622422" w14:paraId="3E3487B8" w14:textId="77777777" w:rsidTr="00435936">
        <w:trPr>
          <w:trHeight w:val="20"/>
        </w:trPr>
        <w:tc>
          <w:tcPr>
            <w:tcW w:w="492" w:type="pct"/>
            <w:vMerge/>
            <w:tcBorders>
              <w:top w:val="nil"/>
              <w:left w:val="single" w:sz="4" w:space="0" w:color="auto"/>
              <w:bottom w:val="single" w:sz="4" w:space="0" w:color="000000"/>
              <w:right w:val="nil"/>
            </w:tcBorders>
            <w:vAlign w:val="center"/>
            <w:hideMark/>
          </w:tcPr>
          <w:p w14:paraId="03F6FF6C"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4" w:type="pct"/>
            <w:tcBorders>
              <w:top w:val="nil"/>
              <w:left w:val="single" w:sz="4" w:space="0" w:color="auto"/>
              <w:bottom w:val="single" w:sz="4" w:space="0" w:color="auto"/>
              <w:right w:val="nil"/>
            </w:tcBorders>
            <w:shd w:val="clear" w:color="000000" w:fill="FFFFFF"/>
            <w:noWrap/>
            <w:vAlign w:val="center"/>
            <w:hideMark/>
          </w:tcPr>
          <w:p w14:paraId="35B171A1"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3,277</w:t>
            </w:r>
          </w:p>
        </w:tc>
        <w:tc>
          <w:tcPr>
            <w:tcW w:w="564" w:type="pct"/>
            <w:tcBorders>
              <w:top w:val="nil"/>
              <w:left w:val="single" w:sz="4" w:space="0" w:color="auto"/>
              <w:bottom w:val="single" w:sz="4" w:space="0" w:color="auto"/>
              <w:right w:val="single" w:sz="4" w:space="0" w:color="auto"/>
            </w:tcBorders>
            <w:shd w:val="clear" w:color="000000" w:fill="FFFFFF"/>
            <w:noWrap/>
            <w:vAlign w:val="center"/>
            <w:hideMark/>
          </w:tcPr>
          <w:p w14:paraId="73610B72" w14:textId="77777777" w:rsidR="00D24603" w:rsidRPr="00F00D76" w:rsidRDefault="00D24603" w:rsidP="00CE3D62">
            <w:pPr>
              <w:spacing w:after="0"/>
              <w:jc w:val="center"/>
              <w:rPr>
                <w:rFonts w:ascii="Calibri" w:hAnsi="Calibri" w:cs="Calibri"/>
                <w:b/>
                <w:bCs/>
                <w:color w:val="000000"/>
                <w:sz w:val="16"/>
                <w:szCs w:val="16"/>
              </w:rPr>
            </w:pPr>
            <w:r w:rsidRPr="00F00D76">
              <w:rPr>
                <w:rFonts w:ascii="Calibri" w:hAnsi="Calibri" w:cs="Calibri"/>
                <w:b/>
                <w:bCs/>
                <w:color w:val="000000"/>
                <w:sz w:val="16"/>
                <w:szCs w:val="16"/>
              </w:rPr>
              <w:t>0 [0%]</w:t>
            </w:r>
          </w:p>
        </w:tc>
        <w:tc>
          <w:tcPr>
            <w:tcW w:w="564" w:type="pct"/>
            <w:tcBorders>
              <w:top w:val="nil"/>
              <w:left w:val="nil"/>
              <w:bottom w:val="single" w:sz="4" w:space="0" w:color="auto"/>
              <w:right w:val="single" w:sz="4" w:space="0" w:color="auto"/>
            </w:tcBorders>
            <w:shd w:val="clear" w:color="000000" w:fill="FFFFFF"/>
            <w:noWrap/>
            <w:vAlign w:val="center"/>
            <w:hideMark/>
          </w:tcPr>
          <w:p w14:paraId="6D010C12"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-74 [-2%]</w:t>
            </w:r>
          </w:p>
        </w:tc>
        <w:tc>
          <w:tcPr>
            <w:tcW w:w="564" w:type="pct"/>
            <w:tcBorders>
              <w:top w:val="nil"/>
              <w:left w:val="nil"/>
              <w:bottom w:val="single" w:sz="4" w:space="0" w:color="auto"/>
              <w:right w:val="single" w:sz="4" w:space="0" w:color="auto"/>
            </w:tcBorders>
            <w:shd w:val="clear" w:color="000000" w:fill="FFFFFF"/>
            <w:noWrap/>
            <w:vAlign w:val="center"/>
            <w:hideMark/>
          </w:tcPr>
          <w:p w14:paraId="5C3911E3"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-327 [-10%]</w:t>
            </w:r>
          </w:p>
        </w:tc>
        <w:tc>
          <w:tcPr>
            <w:tcW w:w="916" w:type="pct"/>
            <w:tcBorders>
              <w:top w:val="nil"/>
              <w:left w:val="nil"/>
              <w:bottom w:val="single" w:sz="4" w:space="0" w:color="auto"/>
              <w:right w:val="single" w:sz="4" w:space="0" w:color="auto"/>
            </w:tcBorders>
            <w:shd w:val="clear" w:color="000000" w:fill="FFFFFF"/>
            <w:noWrap/>
            <w:vAlign w:val="center"/>
            <w:hideMark/>
          </w:tcPr>
          <w:p w14:paraId="14701B57"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-435 [-13%]</w:t>
            </w:r>
          </w:p>
        </w:tc>
        <w:tc>
          <w:tcPr>
            <w:tcW w:w="1267" w:type="pct"/>
            <w:tcBorders>
              <w:top w:val="nil"/>
              <w:left w:val="nil"/>
              <w:bottom w:val="single" w:sz="4" w:space="0" w:color="auto"/>
              <w:right w:val="single" w:sz="4" w:space="0" w:color="auto"/>
            </w:tcBorders>
            <w:shd w:val="clear" w:color="000000" w:fill="FFFFFF"/>
            <w:noWrap/>
            <w:vAlign w:val="center"/>
            <w:hideMark/>
          </w:tcPr>
          <w:p w14:paraId="2BD5A555"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-435 [-13%]</w:t>
            </w:r>
          </w:p>
        </w:tc>
      </w:tr>
      <w:tr w:rsidR="00D24603" w:rsidRPr="00622422" w14:paraId="4F30F174" w14:textId="77777777" w:rsidTr="00435936">
        <w:trPr>
          <w:trHeight w:val="20"/>
        </w:trPr>
        <w:tc>
          <w:tcPr>
            <w:tcW w:w="4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0476F85"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2</w:t>
            </w:r>
          </w:p>
        </w:tc>
        <w:tc>
          <w:tcPr>
            <w:tcW w:w="634" w:type="pct"/>
            <w:tcBorders>
              <w:top w:val="nil"/>
              <w:left w:val="nil"/>
              <w:bottom w:val="nil"/>
              <w:right w:val="single" w:sz="4" w:space="0" w:color="auto"/>
            </w:tcBorders>
            <w:shd w:val="clear" w:color="000000" w:fill="FFFFFF"/>
            <w:noWrap/>
            <w:vAlign w:val="center"/>
            <w:hideMark/>
          </w:tcPr>
          <w:p w14:paraId="4F8DF458"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w:t>
            </w:r>
          </w:p>
        </w:tc>
        <w:tc>
          <w:tcPr>
            <w:tcW w:w="564" w:type="pct"/>
            <w:tcBorders>
              <w:top w:val="nil"/>
              <w:left w:val="nil"/>
              <w:bottom w:val="nil"/>
              <w:right w:val="single" w:sz="4" w:space="0" w:color="auto"/>
            </w:tcBorders>
            <w:shd w:val="clear" w:color="000000" w:fill="FFFFFF"/>
            <w:noWrap/>
            <w:vAlign w:val="center"/>
            <w:hideMark/>
          </w:tcPr>
          <w:p w14:paraId="13E3A233"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Nalo: 23%</w:t>
            </w:r>
          </w:p>
        </w:tc>
        <w:tc>
          <w:tcPr>
            <w:tcW w:w="564" w:type="pct"/>
            <w:tcBorders>
              <w:top w:val="nil"/>
              <w:left w:val="nil"/>
              <w:bottom w:val="nil"/>
              <w:right w:val="single" w:sz="4" w:space="0" w:color="auto"/>
            </w:tcBorders>
            <w:shd w:val="clear" w:color="000000" w:fill="FFFFFF"/>
            <w:noWrap/>
            <w:vAlign w:val="center"/>
            <w:hideMark/>
          </w:tcPr>
          <w:p w14:paraId="1ED2324E"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Rete: 229%</w:t>
            </w:r>
          </w:p>
        </w:tc>
        <w:tc>
          <w:tcPr>
            <w:tcW w:w="564" w:type="pct"/>
            <w:tcBorders>
              <w:top w:val="nil"/>
              <w:left w:val="nil"/>
              <w:bottom w:val="nil"/>
              <w:right w:val="single" w:sz="4" w:space="0" w:color="auto"/>
            </w:tcBorders>
            <w:shd w:val="clear" w:color="000000" w:fill="FFFFFF"/>
            <w:noWrap/>
            <w:vAlign w:val="center"/>
            <w:hideMark/>
          </w:tcPr>
          <w:p w14:paraId="00E0A186"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202%</w:t>
            </w:r>
          </w:p>
        </w:tc>
        <w:tc>
          <w:tcPr>
            <w:tcW w:w="916" w:type="pct"/>
            <w:tcBorders>
              <w:top w:val="nil"/>
              <w:left w:val="nil"/>
              <w:bottom w:val="nil"/>
              <w:right w:val="single" w:sz="4" w:space="0" w:color="auto"/>
            </w:tcBorders>
            <w:shd w:val="clear" w:color="000000" w:fill="FFFFFF"/>
            <w:noWrap/>
            <w:vAlign w:val="center"/>
            <w:hideMark/>
          </w:tcPr>
          <w:p w14:paraId="44A13439"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29%, Rete: 511%</w:t>
            </w:r>
          </w:p>
        </w:tc>
        <w:tc>
          <w:tcPr>
            <w:tcW w:w="1267" w:type="pct"/>
            <w:tcBorders>
              <w:top w:val="nil"/>
              <w:left w:val="nil"/>
              <w:bottom w:val="nil"/>
              <w:right w:val="single" w:sz="4" w:space="0" w:color="auto"/>
            </w:tcBorders>
            <w:shd w:val="clear" w:color="000000" w:fill="FFFFFF"/>
            <w:noWrap/>
            <w:vAlign w:val="center"/>
            <w:hideMark/>
          </w:tcPr>
          <w:p w14:paraId="775D3E6E"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29%, Rete: 511%, Nalo: 23%</w:t>
            </w:r>
          </w:p>
        </w:tc>
      </w:tr>
      <w:tr w:rsidR="00D24603" w:rsidRPr="00622422" w14:paraId="335E63EC" w14:textId="77777777" w:rsidTr="00435936">
        <w:trPr>
          <w:trHeight w:val="20"/>
        </w:trPr>
        <w:tc>
          <w:tcPr>
            <w:tcW w:w="492" w:type="pct"/>
            <w:vMerge/>
            <w:tcBorders>
              <w:top w:val="nil"/>
              <w:left w:val="single" w:sz="4" w:space="0" w:color="auto"/>
              <w:bottom w:val="single" w:sz="4" w:space="0" w:color="000000"/>
              <w:right w:val="single" w:sz="4" w:space="0" w:color="auto"/>
            </w:tcBorders>
            <w:vAlign w:val="center"/>
            <w:hideMark/>
          </w:tcPr>
          <w:p w14:paraId="23ABD3C5"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4" w:type="pct"/>
            <w:tcBorders>
              <w:top w:val="nil"/>
              <w:left w:val="nil"/>
              <w:bottom w:val="single" w:sz="4" w:space="0" w:color="auto"/>
              <w:right w:val="single" w:sz="4" w:space="0" w:color="auto"/>
            </w:tcBorders>
            <w:shd w:val="clear" w:color="000000" w:fill="FFFFFF"/>
            <w:noWrap/>
            <w:vAlign w:val="center"/>
            <w:hideMark/>
          </w:tcPr>
          <w:p w14:paraId="11E8043C"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1,861</w:t>
            </w:r>
          </w:p>
        </w:tc>
        <w:tc>
          <w:tcPr>
            <w:tcW w:w="564" w:type="pct"/>
            <w:tcBorders>
              <w:top w:val="nil"/>
              <w:left w:val="nil"/>
              <w:bottom w:val="single" w:sz="4" w:space="0" w:color="auto"/>
              <w:right w:val="single" w:sz="4" w:space="0" w:color="auto"/>
            </w:tcBorders>
            <w:shd w:val="clear" w:color="000000" w:fill="FFFFFF"/>
            <w:noWrap/>
            <w:vAlign w:val="center"/>
            <w:hideMark/>
          </w:tcPr>
          <w:p w14:paraId="0CF73935"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-10 [-1%]</w:t>
            </w:r>
          </w:p>
        </w:tc>
        <w:tc>
          <w:tcPr>
            <w:tcW w:w="564" w:type="pct"/>
            <w:tcBorders>
              <w:top w:val="nil"/>
              <w:left w:val="nil"/>
              <w:bottom w:val="single" w:sz="4" w:space="0" w:color="auto"/>
              <w:right w:val="single" w:sz="4" w:space="0" w:color="auto"/>
            </w:tcBorders>
            <w:shd w:val="clear" w:color="000000" w:fill="FFFFFF"/>
            <w:noWrap/>
            <w:vAlign w:val="center"/>
            <w:hideMark/>
          </w:tcPr>
          <w:p w14:paraId="035A5DB4"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-185 [-10%]</w:t>
            </w:r>
          </w:p>
        </w:tc>
        <w:tc>
          <w:tcPr>
            <w:tcW w:w="564" w:type="pct"/>
            <w:tcBorders>
              <w:top w:val="nil"/>
              <w:left w:val="nil"/>
              <w:bottom w:val="single" w:sz="4" w:space="0" w:color="auto"/>
              <w:right w:val="single" w:sz="4" w:space="0" w:color="auto"/>
            </w:tcBorders>
            <w:shd w:val="clear" w:color="000000" w:fill="FFFFFF"/>
            <w:noWrap/>
            <w:vAlign w:val="center"/>
            <w:hideMark/>
          </w:tcPr>
          <w:p w14:paraId="3CC985C0"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-212 [-11%]</w:t>
            </w:r>
          </w:p>
        </w:tc>
        <w:tc>
          <w:tcPr>
            <w:tcW w:w="916" w:type="pct"/>
            <w:tcBorders>
              <w:top w:val="nil"/>
              <w:left w:val="nil"/>
              <w:bottom w:val="single" w:sz="4" w:space="0" w:color="auto"/>
              <w:right w:val="single" w:sz="4" w:space="0" w:color="auto"/>
            </w:tcBorders>
            <w:shd w:val="clear" w:color="000000" w:fill="FFFFFF"/>
            <w:noWrap/>
            <w:vAlign w:val="center"/>
            <w:hideMark/>
          </w:tcPr>
          <w:p w14:paraId="1A1CFBE8"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-455 [-24%]</w:t>
            </w:r>
          </w:p>
        </w:tc>
        <w:tc>
          <w:tcPr>
            <w:tcW w:w="1267" w:type="pct"/>
            <w:tcBorders>
              <w:top w:val="nil"/>
              <w:left w:val="nil"/>
              <w:bottom w:val="single" w:sz="4" w:space="0" w:color="auto"/>
              <w:right w:val="single" w:sz="4" w:space="0" w:color="auto"/>
            </w:tcBorders>
            <w:shd w:val="clear" w:color="000000" w:fill="FFFFFF"/>
            <w:noWrap/>
            <w:vAlign w:val="center"/>
            <w:hideMark/>
          </w:tcPr>
          <w:p w14:paraId="64F8AEFF"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-461 [-25%]</w:t>
            </w:r>
          </w:p>
        </w:tc>
      </w:tr>
      <w:tr w:rsidR="00D24603" w:rsidRPr="00622422" w14:paraId="74D2CDB2" w14:textId="77777777" w:rsidTr="00435936">
        <w:trPr>
          <w:trHeight w:val="20"/>
        </w:trPr>
        <w:tc>
          <w:tcPr>
            <w:tcW w:w="4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72C352B"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3</w:t>
            </w:r>
          </w:p>
        </w:tc>
        <w:tc>
          <w:tcPr>
            <w:tcW w:w="634" w:type="pct"/>
            <w:tcBorders>
              <w:top w:val="nil"/>
              <w:left w:val="nil"/>
              <w:bottom w:val="nil"/>
              <w:right w:val="single" w:sz="4" w:space="0" w:color="auto"/>
            </w:tcBorders>
            <w:shd w:val="clear" w:color="000000" w:fill="FFFFFF"/>
            <w:noWrap/>
            <w:vAlign w:val="center"/>
            <w:hideMark/>
          </w:tcPr>
          <w:p w14:paraId="060083B3"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w:t>
            </w:r>
          </w:p>
        </w:tc>
        <w:tc>
          <w:tcPr>
            <w:tcW w:w="564" w:type="pct"/>
            <w:tcBorders>
              <w:top w:val="nil"/>
              <w:left w:val="nil"/>
              <w:bottom w:val="nil"/>
              <w:right w:val="single" w:sz="4" w:space="0" w:color="auto"/>
            </w:tcBorders>
            <w:shd w:val="clear" w:color="000000" w:fill="FFFFFF"/>
            <w:noWrap/>
            <w:vAlign w:val="center"/>
            <w:hideMark/>
          </w:tcPr>
          <w:p w14:paraId="5CC90BAB"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Nalo: 165%</w:t>
            </w:r>
          </w:p>
        </w:tc>
        <w:tc>
          <w:tcPr>
            <w:tcW w:w="564" w:type="pct"/>
            <w:tcBorders>
              <w:top w:val="nil"/>
              <w:left w:val="nil"/>
              <w:bottom w:val="nil"/>
              <w:right w:val="single" w:sz="4" w:space="0" w:color="auto"/>
            </w:tcBorders>
            <w:shd w:val="clear" w:color="000000" w:fill="FFFFFF"/>
            <w:noWrap/>
            <w:vAlign w:val="center"/>
            <w:hideMark/>
          </w:tcPr>
          <w:p w14:paraId="27D18E51"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Rete: 139%</w:t>
            </w:r>
          </w:p>
        </w:tc>
        <w:tc>
          <w:tcPr>
            <w:tcW w:w="564" w:type="pct"/>
            <w:tcBorders>
              <w:top w:val="nil"/>
              <w:left w:val="nil"/>
              <w:bottom w:val="nil"/>
              <w:right w:val="single" w:sz="4" w:space="0" w:color="auto"/>
            </w:tcBorders>
            <w:shd w:val="clear" w:color="000000" w:fill="FFFFFF"/>
            <w:noWrap/>
            <w:vAlign w:val="center"/>
            <w:hideMark/>
          </w:tcPr>
          <w:p w14:paraId="2D4D822F"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781%</w:t>
            </w:r>
          </w:p>
        </w:tc>
        <w:tc>
          <w:tcPr>
            <w:tcW w:w="916" w:type="pct"/>
            <w:tcBorders>
              <w:top w:val="nil"/>
              <w:left w:val="nil"/>
              <w:bottom w:val="nil"/>
              <w:right w:val="single" w:sz="4" w:space="0" w:color="auto"/>
            </w:tcBorders>
            <w:shd w:val="clear" w:color="000000" w:fill="FFFFFF"/>
            <w:noWrap/>
            <w:vAlign w:val="center"/>
            <w:hideMark/>
          </w:tcPr>
          <w:p w14:paraId="118806DD"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365%, Rete: 1131%</w:t>
            </w:r>
          </w:p>
        </w:tc>
        <w:tc>
          <w:tcPr>
            <w:tcW w:w="1267" w:type="pct"/>
            <w:tcBorders>
              <w:top w:val="nil"/>
              <w:left w:val="nil"/>
              <w:bottom w:val="nil"/>
              <w:right w:val="single" w:sz="4" w:space="0" w:color="auto"/>
            </w:tcBorders>
            <w:shd w:val="clear" w:color="000000" w:fill="FFFFFF"/>
            <w:noWrap/>
            <w:vAlign w:val="center"/>
            <w:hideMark/>
          </w:tcPr>
          <w:p w14:paraId="2A7C1232"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365%, Rete: 1131%, Nalo: 165%</w:t>
            </w:r>
          </w:p>
        </w:tc>
      </w:tr>
      <w:tr w:rsidR="00D24603" w:rsidRPr="00622422" w14:paraId="37723BFF" w14:textId="77777777" w:rsidTr="00435936">
        <w:trPr>
          <w:trHeight w:val="20"/>
        </w:trPr>
        <w:tc>
          <w:tcPr>
            <w:tcW w:w="492" w:type="pct"/>
            <w:vMerge/>
            <w:tcBorders>
              <w:top w:val="nil"/>
              <w:left w:val="single" w:sz="4" w:space="0" w:color="auto"/>
              <w:bottom w:val="single" w:sz="4" w:space="0" w:color="000000"/>
              <w:right w:val="single" w:sz="4" w:space="0" w:color="auto"/>
            </w:tcBorders>
            <w:vAlign w:val="center"/>
            <w:hideMark/>
          </w:tcPr>
          <w:p w14:paraId="562A1515"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4" w:type="pct"/>
            <w:tcBorders>
              <w:top w:val="nil"/>
              <w:left w:val="nil"/>
              <w:bottom w:val="single" w:sz="4" w:space="0" w:color="auto"/>
              <w:right w:val="single" w:sz="4" w:space="0" w:color="auto"/>
            </w:tcBorders>
            <w:shd w:val="clear" w:color="000000" w:fill="FFFFFF"/>
            <w:noWrap/>
            <w:vAlign w:val="center"/>
            <w:hideMark/>
          </w:tcPr>
          <w:p w14:paraId="2777A45E"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2,677</w:t>
            </w:r>
          </w:p>
        </w:tc>
        <w:tc>
          <w:tcPr>
            <w:tcW w:w="564" w:type="pct"/>
            <w:tcBorders>
              <w:top w:val="nil"/>
              <w:left w:val="nil"/>
              <w:bottom w:val="single" w:sz="4" w:space="0" w:color="auto"/>
              <w:right w:val="single" w:sz="4" w:space="0" w:color="auto"/>
            </w:tcBorders>
            <w:shd w:val="clear" w:color="000000" w:fill="FFFFFF"/>
            <w:noWrap/>
            <w:vAlign w:val="center"/>
            <w:hideMark/>
          </w:tcPr>
          <w:p w14:paraId="33E9668B"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-48 [-2%]</w:t>
            </w:r>
          </w:p>
        </w:tc>
        <w:tc>
          <w:tcPr>
            <w:tcW w:w="564" w:type="pct"/>
            <w:tcBorders>
              <w:top w:val="nil"/>
              <w:left w:val="nil"/>
              <w:bottom w:val="single" w:sz="4" w:space="0" w:color="auto"/>
              <w:right w:val="single" w:sz="4" w:space="0" w:color="auto"/>
            </w:tcBorders>
            <w:shd w:val="clear" w:color="000000" w:fill="FFFFFF"/>
            <w:noWrap/>
            <w:vAlign w:val="center"/>
            <w:hideMark/>
          </w:tcPr>
          <w:p w14:paraId="1C0FA569"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-63 [-2%]</w:t>
            </w:r>
          </w:p>
        </w:tc>
        <w:tc>
          <w:tcPr>
            <w:tcW w:w="564" w:type="pct"/>
            <w:tcBorders>
              <w:top w:val="nil"/>
              <w:left w:val="nil"/>
              <w:bottom w:val="single" w:sz="4" w:space="0" w:color="auto"/>
              <w:right w:val="single" w:sz="4" w:space="0" w:color="auto"/>
            </w:tcBorders>
            <w:shd w:val="clear" w:color="000000" w:fill="FFFFFF"/>
            <w:noWrap/>
            <w:vAlign w:val="center"/>
            <w:hideMark/>
          </w:tcPr>
          <w:p w14:paraId="1F49687D"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-359 [-13%]</w:t>
            </w:r>
          </w:p>
        </w:tc>
        <w:tc>
          <w:tcPr>
            <w:tcW w:w="916" w:type="pct"/>
            <w:tcBorders>
              <w:top w:val="nil"/>
              <w:left w:val="nil"/>
              <w:bottom w:val="single" w:sz="4" w:space="0" w:color="auto"/>
              <w:right w:val="single" w:sz="4" w:space="0" w:color="auto"/>
            </w:tcBorders>
            <w:shd w:val="clear" w:color="000000" w:fill="FFFFFF"/>
            <w:noWrap/>
            <w:vAlign w:val="center"/>
            <w:hideMark/>
          </w:tcPr>
          <w:p w14:paraId="5E3A57DA"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-549 [-21%]</w:t>
            </w:r>
          </w:p>
        </w:tc>
        <w:tc>
          <w:tcPr>
            <w:tcW w:w="1267" w:type="pct"/>
            <w:tcBorders>
              <w:top w:val="nil"/>
              <w:left w:val="nil"/>
              <w:bottom w:val="single" w:sz="4" w:space="0" w:color="auto"/>
              <w:right w:val="single" w:sz="4" w:space="0" w:color="auto"/>
            </w:tcBorders>
            <w:shd w:val="clear" w:color="000000" w:fill="FFFFFF"/>
            <w:noWrap/>
            <w:vAlign w:val="center"/>
            <w:hideMark/>
          </w:tcPr>
          <w:p w14:paraId="7F493B3B"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-588 [-22%]</w:t>
            </w:r>
          </w:p>
        </w:tc>
      </w:tr>
      <w:tr w:rsidR="00D24603" w:rsidRPr="00622422" w14:paraId="5256C5F0" w14:textId="77777777" w:rsidTr="00435936">
        <w:trPr>
          <w:trHeight w:val="20"/>
        </w:trPr>
        <w:tc>
          <w:tcPr>
            <w:tcW w:w="4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4747F54"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4</w:t>
            </w:r>
          </w:p>
        </w:tc>
        <w:tc>
          <w:tcPr>
            <w:tcW w:w="634" w:type="pct"/>
            <w:tcBorders>
              <w:top w:val="nil"/>
              <w:left w:val="nil"/>
              <w:bottom w:val="nil"/>
              <w:right w:val="single" w:sz="4" w:space="0" w:color="auto"/>
            </w:tcBorders>
            <w:shd w:val="clear" w:color="000000" w:fill="FFFFFF"/>
            <w:noWrap/>
            <w:vAlign w:val="center"/>
            <w:hideMark/>
          </w:tcPr>
          <w:p w14:paraId="74457D3F" w14:textId="77777777" w:rsidR="00D24603" w:rsidRPr="00F00D76" w:rsidRDefault="00D24603" w:rsidP="00CE3D62">
            <w:pPr>
              <w:spacing w:after="0"/>
              <w:jc w:val="center"/>
              <w:rPr>
                <w:rFonts w:ascii="Calibri" w:eastAsia="Times New Roman" w:hAnsi="Calibri" w:cs="Calibri"/>
                <w:i/>
                <w:iCs/>
                <w:kern w:val="0"/>
                <w:sz w:val="16"/>
                <w:szCs w:val="16"/>
                <w14:ligatures w14:val="none"/>
              </w:rPr>
            </w:pPr>
            <w:r w:rsidRPr="00F00D76">
              <w:rPr>
                <w:rFonts w:ascii="Calibri" w:hAnsi="Calibri" w:cs="Calibri"/>
                <w:i/>
                <w:iCs/>
                <w:color w:val="000000"/>
                <w:sz w:val="16"/>
                <w:szCs w:val="16"/>
              </w:rPr>
              <w:t>-</w:t>
            </w:r>
          </w:p>
        </w:tc>
        <w:tc>
          <w:tcPr>
            <w:tcW w:w="564" w:type="pct"/>
            <w:tcBorders>
              <w:top w:val="nil"/>
              <w:left w:val="nil"/>
              <w:bottom w:val="nil"/>
              <w:right w:val="single" w:sz="4" w:space="0" w:color="auto"/>
            </w:tcBorders>
            <w:shd w:val="clear" w:color="000000" w:fill="FFFFFF"/>
            <w:noWrap/>
            <w:vAlign w:val="center"/>
            <w:hideMark/>
          </w:tcPr>
          <w:p w14:paraId="28E2E1E2" w14:textId="77777777" w:rsidR="00D24603" w:rsidRPr="00F00D76" w:rsidRDefault="00D24603" w:rsidP="00CE3D62">
            <w:pPr>
              <w:spacing w:after="0"/>
              <w:jc w:val="center"/>
              <w:rPr>
                <w:rFonts w:ascii="Calibri" w:eastAsia="Times New Roman" w:hAnsi="Calibri" w:cs="Calibri"/>
                <w:i/>
                <w:iCs/>
                <w:kern w:val="0"/>
                <w:sz w:val="16"/>
                <w:szCs w:val="16"/>
                <w14:ligatures w14:val="none"/>
              </w:rPr>
            </w:pPr>
            <w:r w:rsidRPr="00F00D76">
              <w:rPr>
                <w:rFonts w:ascii="Calibri" w:hAnsi="Calibri" w:cs="Calibri"/>
                <w:i/>
                <w:iCs/>
                <w:color w:val="000000"/>
                <w:sz w:val="16"/>
                <w:szCs w:val="16"/>
              </w:rPr>
              <w:t>Nalo: 49%</w:t>
            </w:r>
          </w:p>
        </w:tc>
        <w:tc>
          <w:tcPr>
            <w:tcW w:w="564" w:type="pct"/>
            <w:tcBorders>
              <w:top w:val="nil"/>
              <w:left w:val="nil"/>
              <w:bottom w:val="nil"/>
              <w:right w:val="single" w:sz="4" w:space="0" w:color="auto"/>
            </w:tcBorders>
            <w:shd w:val="clear" w:color="000000" w:fill="FFFFFF"/>
            <w:noWrap/>
            <w:vAlign w:val="center"/>
            <w:hideMark/>
          </w:tcPr>
          <w:p w14:paraId="230068A8"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Rete: 38%</w:t>
            </w:r>
          </w:p>
        </w:tc>
        <w:tc>
          <w:tcPr>
            <w:tcW w:w="564" w:type="pct"/>
            <w:tcBorders>
              <w:top w:val="nil"/>
              <w:left w:val="nil"/>
              <w:bottom w:val="nil"/>
              <w:right w:val="single" w:sz="4" w:space="0" w:color="auto"/>
            </w:tcBorders>
            <w:shd w:val="clear" w:color="000000" w:fill="FFFFFF"/>
            <w:noWrap/>
            <w:vAlign w:val="center"/>
            <w:hideMark/>
          </w:tcPr>
          <w:p w14:paraId="61BBA86E"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151%</w:t>
            </w:r>
          </w:p>
        </w:tc>
        <w:tc>
          <w:tcPr>
            <w:tcW w:w="916" w:type="pct"/>
            <w:tcBorders>
              <w:top w:val="nil"/>
              <w:left w:val="nil"/>
              <w:bottom w:val="nil"/>
              <w:right w:val="single" w:sz="4" w:space="0" w:color="auto"/>
            </w:tcBorders>
            <w:shd w:val="clear" w:color="000000" w:fill="FFFFFF"/>
            <w:noWrap/>
            <w:vAlign w:val="center"/>
            <w:hideMark/>
          </w:tcPr>
          <w:p w14:paraId="77397506"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73%, Rete: 182%</w:t>
            </w:r>
          </w:p>
        </w:tc>
        <w:tc>
          <w:tcPr>
            <w:tcW w:w="1267" w:type="pct"/>
            <w:tcBorders>
              <w:top w:val="nil"/>
              <w:left w:val="nil"/>
              <w:bottom w:val="nil"/>
              <w:right w:val="single" w:sz="4" w:space="0" w:color="auto"/>
            </w:tcBorders>
            <w:shd w:val="clear" w:color="000000" w:fill="FFFFFF"/>
            <w:noWrap/>
            <w:vAlign w:val="center"/>
            <w:hideMark/>
          </w:tcPr>
          <w:p w14:paraId="724B6B0D"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73%, Rete: 182%, Nalo: 49%</w:t>
            </w:r>
          </w:p>
        </w:tc>
      </w:tr>
      <w:tr w:rsidR="00D24603" w:rsidRPr="00622422" w14:paraId="372F8F7D" w14:textId="77777777" w:rsidTr="00435936">
        <w:trPr>
          <w:trHeight w:val="20"/>
        </w:trPr>
        <w:tc>
          <w:tcPr>
            <w:tcW w:w="492" w:type="pct"/>
            <w:vMerge/>
            <w:tcBorders>
              <w:top w:val="nil"/>
              <w:left w:val="single" w:sz="4" w:space="0" w:color="auto"/>
              <w:bottom w:val="single" w:sz="4" w:space="0" w:color="000000"/>
              <w:right w:val="single" w:sz="4" w:space="0" w:color="auto"/>
            </w:tcBorders>
            <w:vAlign w:val="center"/>
            <w:hideMark/>
          </w:tcPr>
          <w:p w14:paraId="65F45789"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4" w:type="pct"/>
            <w:tcBorders>
              <w:top w:val="nil"/>
              <w:left w:val="nil"/>
              <w:bottom w:val="single" w:sz="4" w:space="0" w:color="auto"/>
              <w:right w:val="single" w:sz="4" w:space="0" w:color="auto"/>
            </w:tcBorders>
            <w:shd w:val="clear" w:color="000000" w:fill="FFFFFF"/>
            <w:noWrap/>
            <w:vAlign w:val="center"/>
            <w:hideMark/>
          </w:tcPr>
          <w:p w14:paraId="69CF0A51" w14:textId="77777777" w:rsidR="00D24603" w:rsidRPr="00F00D76" w:rsidRDefault="00D24603" w:rsidP="00CE3D62">
            <w:pPr>
              <w:spacing w:after="0"/>
              <w:jc w:val="center"/>
              <w:rPr>
                <w:rFonts w:ascii="Calibri" w:eastAsia="Times New Roman" w:hAnsi="Calibri" w:cs="Calibri"/>
                <w:b/>
                <w:bCs/>
                <w:kern w:val="0"/>
                <w:sz w:val="16"/>
                <w:szCs w:val="16"/>
                <w14:ligatures w14:val="none"/>
              </w:rPr>
            </w:pPr>
            <w:r w:rsidRPr="00F00D76">
              <w:rPr>
                <w:rFonts w:ascii="Calibri" w:hAnsi="Calibri" w:cs="Calibri"/>
                <w:b/>
                <w:bCs/>
                <w:color w:val="000000"/>
                <w:sz w:val="16"/>
                <w:szCs w:val="16"/>
              </w:rPr>
              <w:t>2,442</w:t>
            </w:r>
          </w:p>
        </w:tc>
        <w:tc>
          <w:tcPr>
            <w:tcW w:w="564" w:type="pct"/>
            <w:tcBorders>
              <w:top w:val="nil"/>
              <w:left w:val="nil"/>
              <w:bottom w:val="single" w:sz="4" w:space="0" w:color="auto"/>
              <w:right w:val="single" w:sz="4" w:space="0" w:color="auto"/>
            </w:tcBorders>
            <w:shd w:val="clear" w:color="000000" w:fill="FFFFFF"/>
            <w:noWrap/>
            <w:vAlign w:val="center"/>
            <w:hideMark/>
          </w:tcPr>
          <w:p w14:paraId="46CBC6AD" w14:textId="77777777" w:rsidR="00D24603" w:rsidRPr="00F00D76" w:rsidRDefault="00D24603" w:rsidP="00CE3D62">
            <w:pPr>
              <w:spacing w:after="0"/>
              <w:jc w:val="center"/>
              <w:rPr>
                <w:rFonts w:ascii="Calibri" w:eastAsia="Times New Roman" w:hAnsi="Calibri" w:cs="Calibri"/>
                <w:b/>
                <w:bCs/>
                <w:kern w:val="0"/>
                <w:sz w:val="16"/>
                <w:szCs w:val="16"/>
                <w14:ligatures w14:val="none"/>
              </w:rPr>
            </w:pPr>
            <w:r w:rsidRPr="00F00D76">
              <w:rPr>
                <w:rFonts w:ascii="Calibri" w:hAnsi="Calibri" w:cs="Calibri"/>
                <w:b/>
                <w:bCs/>
                <w:color w:val="000000"/>
                <w:sz w:val="16"/>
                <w:szCs w:val="16"/>
              </w:rPr>
              <w:t>-29 [-1%]</w:t>
            </w:r>
          </w:p>
        </w:tc>
        <w:tc>
          <w:tcPr>
            <w:tcW w:w="564" w:type="pct"/>
            <w:tcBorders>
              <w:top w:val="nil"/>
              <w:left w:val="nil"/>
              <w:bottom w:val="single" w:sz="4" w:space="0" w:color="auto"/>
              <w:right w:val="single" w:sz="4" w:space="0" w:color="auto"/>
            </w:tcBorders>
            <w:shd w:val="clear" w:color="000000" w:fill="FFFFFF"/>
            <w:noWrap/>
            <w:vAlign w:val="center"/>
            <w:hideMark/>
          </w:tcPr>
          <w:p w14:paraId="1291C15A"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-89 [-4%]</w:t>
            </w:r>
          </w:p>
        </w:tc>
        <w:tc>
          <w:tcPr>
            <w:tcW w:w="564" w:type="pct"/>
            <w:tcBorders>
              <w:top w:val="nil"/>
              <w:left w:val="nil"/>
              <w:bottom w:val="single" w:sz="4" w:space="0" w:color="auto"/>
              <w:right w:val="single" w:sz="4" w:space="0" w:color="auto"/>
            </w:tcBorders>
            <w:shd w:val="clear" w:color="000000" w:fill="FFFFFF"/>
            <w:noWrap/>
            <w:vAlign w:val="center"/>
            <w:hideMark/>
          </w:tcPr>
          <w:p w14:paraId="7CB35FC0"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-213 [-9%]</w:t>
            </w:r>
          </w:p>
        </w:tc>
        <w:tc>
          <w:tcPr>
            <w:tcW w:w="916" w:type="pct"/>
            <w:tcBorders>
              <w:top w:val="nil"/>
              <w:left w:val="nil"/>
              <w:bottom w:val="single" w:sz="4" w:space="0" w:color="auto"/>
              <w:right w:val="single" w:sz="4" w:space="0" w:color="auto"/>
            </w:tcBorders>
            <w:shd w:val="clear" w:color="000000" w:fill="FFFFFF"/>
            <w:noWrap/>
            <w:vAlign w:val="center"/>
            <w:hideMark/>
          </w:tcPr>
          <w:p w14:paraId="086D4296"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-340 [-14%]</w:t>
            </w:r>
          </w:p>
        </w:tc>
        <w:tc>
          <w:tcPr>
            <w:tcW w:w="1267" w:type="pct"/>
            <w:tcBorders>
              <w:top w:val="nil"/>
              <w:left w:val="nil"/>
              <w:bottom w:val="single" w:sz="4" w:space="0" w:color="auto"/>
              <w:right w:val="single" w:sz="4" w:space="0" w:color="auto"/>
            </w:tcBorders>
            <w:shd w:val="clear" w:color="000000" w:fill="FFFFFF"/>
            <w:noWrap/>
            <w:vAlign w:val="center"/>
            <w:hideMark/>
          </w:tcPr>
          <w:p w14:paraId="62A03574"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-363 [-15%]</w:t>
            </w:r>
          </w:p>
        </w:tc>
      </w:tr>
      <w:tr w:rsidR="00D24603" w:rsidRPr="00622422" w14:paraId="14D97EC0" w14:textId="77777777" w:rsidTr="00435936">
        <w:trPr>
          <w:trHeight w:val="20"/>
        </w:trPr>
        <w:tc>
          <w:tcPr>
            <w:tcW w:w="4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6A07AEA"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5</w:t>
            </w:r>
          </w:p>
        </w:tc>
        <w:tc>
          <w:tcPr>
            <w:tcW w:w="634" w:type="pct"/>
            <w:tcBorders>
              <w:top w:val="nil"/>
              <w:left w:val="nil"/>
              <w:bottom w:val="nil"/>
              <w:right w:val="single" w:sz="4" w:space="0" w:color="auto"/>
            </w:tcBorders>
            <w:shd w:val="clear" w:color="000000" w:fill="FFFFFF"/>
            <w:noWrap/>
            <w:vAlign w:val="center"/>
            <w:hideMark/>
          </w:tcPr>
          <w:p w14:paraId="459827F1" w14:textId="77777777" w:rsidR="00D24603" w:rsidRPr="00F00D76" w:rsidRDefault="00D24603" w:rsidP="00CE3D62">
            <w:pPr>
              <w:spacing w:after="0"/>
              <w:jc w:val="center"/>
              <w:rPr>
                <w:rFonts w:ascii="Calibri" w:eastAsia="Times New Roman" w:hAnsi="Calibri" w:cs="Calibri"/>
                <w:i/>
                <w:iCs/>
                <w:kern w:val="0"/>
                <w:sz w:val="16"/>
                <w:szCs w:val="16"/>
                <w14:ligatures w14:val="none"/>
              </w:rPr>
            </w:pPr>
            <w:r w:rsidRPr="00F00D76">
              <w:rPr>
                <w:rFonts w:ascii="Calibri" w:hAnsi="Calibri" w:cs="Calibri"/>
                <w:i/>
                <w:iCs/>
                <w:color w:val="000000"/>
                <w:sz w:val="16"/>
                <w:szCs w:val="16"/>
              </w:rPr>
              <w:t>-</w:t>
            </w:r>
          </w:p>
        </w:tc>
        <w:tc>
          <w:tcPr>
            <w:tcW w:w="564" w:type="pct"/>
            <w:tcBorders>
              <w:top w:val="nil"/>
              <w:left w:val="nil"/>
              <w:bottom w:val="nil"/>
              <w:right w:val="single" w:sz="4" w:space="0" w:color="auto"/>
            </w:tcBorders>
            <w:shd w:val="clear" w:color="000000" w:fill="FFFFFF"/>
            <w:noWrap/>
            <w:vAlign w:val="center"/>
            <w:hideMark/>
          </w:tcPr>
          <w:p w14:paraId="79412695" w14:textId="77777777" w:rsidR="00D24603" w:rsidRPr="00F00D76" w:rsidRDefault="00D24603" w:rsidP="00CE3D62">
            <w:pPr>
              <w:spacing w:after="0"/>
              <w:jc w:val="center"/>
              <w:rPr>
                <w:rFonts w:ascii="Calibri" w:eastAsia="Times New Roman" w:hAnsi="Calibri" w:cs="Calibri"/>
                <w:i/>
                <w:iCs/>
                <w:kern w:val="0"/>
                <w:sz w:val="16"/>
                <w:szCs w:val="16"/>
                <w14:ligatures w14:val="none"/>
              </w:rPr>
            </w:pPr>
            <w:r w:rsidRPr="00F00D76">
              <w:rPr>
                <w:rFonts w:ascii="Calibri" w:hAnsi="Calibri" w:cs="Calibri"/>
                <w:i/>
                <w:iCs/>
                <w:color w:val="000000"/>
                <w:sz w:val="16"/>
                <w:szCs w:val="16"/>
              </w:rPr>
              <w:t>Nalo: 0%</w:t>
            </w:r>
          </w:p>
        </w:tc>
        <w:tc>
          <w:tcPr>
            <w:tcW w:w="564" w:type="pct"/>
            <w:tcBorders>
              <w:top w:val="nil"/>
              <w:left w:val="nil"/>
              <w:bottom w:val="nil"/>
              <w:right w:val="single" w:sz="4" w:space="0" w:color="auto"/>
            </w:tcBorders>
            <w:shd w:val="clear" w:color="000000" w:fill="FFFFFF"/>
            <w:noWrap/>
            <w:vAlign w:val="center"/>
            <w:hideMark/>
          </w:tcPr>
          <w:p w14:paraId="537220C2"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Rete: 55%</w:t>
            </w:r>
          </w:p>
        </w:tc>
        <w:tc>
          <w:tcPr>
            <w:tcW w:w="564" w:type="pct"/>
            <w:tcBorders>
              <w:top w:val="nil"/>
              <w:left w:val="nil"/>
              <w:bottom w:val="nil"/>
              <w:right w:val="single" w:sz="4" w:space="0" w:color="auto"/>
            </w:tcBorders>
            <w:shd w:val="clear" w:color="000000" w:fill="FFFFFF"/>
            <w:noWrap/>
            <w:vAlign w:val="center"/>
            <w:hideMark/>
          </w:tcPr>
          <w:p w14:paraId="5C5F8B6A"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145%</w:t>
            </w:r>
          </w:p>
        </w:tc>
        <w:tc>
          <w:tcPr>
            <w:tcW w:w="916" w:type="pct"/>
            <w:tcBorders>
              <w:top w:val="nil"/>
              <w:left w:val="nil"/>
              <w:bottom w:val="nil"/>
              <w:right w:val="single" w:sz="4" w:space="0" w:color="auto"/>
            </w:tcBorders>
            <w:shd w:val="clear" w:color="000000" w:fill="FFFFFF"/>
            <w:noWrap/>
            <w:vAlign w:val="center"/>
            <w:hideMark/>
          </w:tcPr>
          <w:p w14:paraId="587452A6"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41%, Rete: 186%</w:t>
            </w:r>
          </w:p>
        </w:tc>
        <w:tc>
          <w:tcPr>
            <w:tcW w:w="1267" w:type="pct"/>
            <w:tcBorders>
              <w:top w:val="nil"/>
              <w:left w:val="nil"/>
              <w:bottom w:val="nil"/>
              <w:right w:val="single" w:sz="4" w:space="0" w:color="auto"/>
            </w:tcBorders>
            <w:shd w:val="clear" w:color="000000" w:fill="FFFFFF"/>
            <w:noWrap/>
            <w:vAlign w:val="center"/>
            <w:hideMark/>
          </w:tcPr>
          <w:p w14:paraId="01938ECA"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41%, Rete: 186%, Nalo: 0%</w:t>
            </w:r>
          </w:p>
        </w:tc>
      </w:tr>
      <w:tr w:rsidR="00D24603" w:rsidRPr="00622422" w14:paraId="237393D9" w14:textId="77777777" w:rsidTr="00435936">
        <w:trPr>
          <w:trHeight w:val="20"/>
        </w:trPr>
        <w:tc>
          <w:tcPr>
            <w:tcW w:w="492" w:type="pct"/>
            <w:vMerge/>
            <w:tcBorders>
              <w:top w:val="nil"/>
              <w:left w:val="single" w:sz="4" w:space="0" w:color="auto"/>
              <w:bottom w:val="single" w:sz="4" w:space="0" w:color="000000"/>
              <w:right w:val="single" w:sz="4" w:space="0" w:color="auto"/>
            </w:tcBorders>
            <w:vAlign w:val="center"/>
            <w:hideMark/>
          </w:tcPr>
          <w:p w14:paraId="76E05B66"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4" w:type="pct"/>
            <w:tcBorders>
              <w:top w:val="nil"/>
              <w:left w:val="nil"/>
              <w:bottom w:val="single" w:sz="4" w:space="0" w:color="auto"/>
              <w:right w:val="single" w:sz="4" w:space="0" w:color="auto"/>
            </w:tcBorders>
            <w:shd w:val="clear" w:color="000000" w:fill="FFFFFF"/>
            <w:noWrap/>
            <w:vAlign w:val="center"/>
            <w:hideMark/>
          </w:tcPr>
          <w:p w14:paraId="181F409F" w14:textId="77777777" w:rsidR="00D24603" w:rsidRPr="00F00D76" w:rsidRDefault="00D24603" w:rsidP="00CE3D62">
            <w:pPr>
              <w:spacing w:after="0"/>
              <w:jc w:val="center"/>
              <w:rPr>
                <w:rFonts w:ascii="Calibri" w:eastAsia="Times New Roman" w:hAnsi="Calibri" w:cs="Calibri"/>
                <w:b/>
                <w:bCs/>
                <w:kern w:val="0"/>
                <w:sz w:val="16"/>
                <w:szCs w:val="16"/>
                <w14:ligatures w14:val="none"/>
              </w:rPr>
            </w:pPr>
            <w:r w:rsidRPr="00F00D76">
              <w:rPr>
                <w:rFonts w:ascii="Calibri" w:hAnsi="Calibri" w:cs="Calibri"/>
                <w:b/>
                <w:bCs/>
                <w:color w:val="000000"/>
                <w:sz w:val="16"/>
                <w:szCs w:val="16"/>
              </w:rPr>
              <w:t>2,343</w:t>
            </w:r>
          </w:p>
        </w:tc>
        <w:tc>
          <w:tcPr>
            <w:tcW w:w="564" w:type="pct"/>
            <w:tcBorders>
              <w:top w:val="nil"/>
              <w:left w:val="nil"/>
              <w:bottom w:val="single" w:sz="4" w:space="0" w:color="auto"/>
              <w:right w:val="single" w:sz="4" w:space="0" w:color="auto"/>
            </w:tcBorders>
            <w:shd w:val="clear" w:color="000000" w:fill="FFFFFF"/>
            <w:noWrap/>
            <w:vAlign w:val="center"/>
            <w:hideMark/>
          </w:tcPr>
          <w:p w14:paraId="01FEC67E" w14:textId="77777777" w:rsidR="00D24603" w:rsidRPr="00F00D76" w:rsidRDefault="00D24603" w:rsidP="00CE3D62">
            <w:pPr>
              <w:spacing w:after="0"/>
              <w:jc w:val="center"/>
              <w:rPr>
                <w:rFonts w:ascii="Calibri" w:eastAsia="Times New Roman" w:hAnsi="Calibri" w:cs="Calibri"/>
                <w:b/>
                <w:bCs/>
                <w:kern w:val="0"/>
                <w:sz w:val="16"/>
                <w:szCs w:val="16"/>
                <w14:ligatures w14:val="none"/>
              </w:rPr>
            </w:pPr>
            <w:r w:rsidRPr="00F00D76">
              <w:rPr>
                <w:rFonts w:ascii="Calibri" w:hAnsi="Calibri" w:cs="Calibri"/>
                <w:b/>
                <w:bCs/>
                <w:color w:val="000000"/>
                <w:sz w:val="16"/>
                <w:szCs w:val="16"/>
              </w:rPr>
              <w:t>0 [0%]</w:t>
            </w:r>
          </w:p>
        </w:tc>
        <w:tc>
          <w:tcPr>
            <w:tcW w:w="564" w:type="pct"/>
            <w:tcBorders>
              <w:top w:val="nil"/>
              <w:left w:val="nil"/>
              <w:bottom w:val="single" w:sz="4" w:space="0" w:color="auto"/>
              <w:right w:val="single" w:sz="4" w:space="0" w:color="auto"/>
            </w:tcBorders>
            <w:shd w:val="clear" w:color="000000" w:fill="FFFFFF"/>
            <w:noWrap/>
            <w:vAlign w:val="center"/>
            <w:hideMark/>
          </w:tcPr>
          <w:p w14:paraId="26118221"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-127 [-5%]</w:t>
            </w:r>
          </w:p>
        </w:tc>
        <w:tc>
          <w:tcPr>
            <w:tcW w:w="564" w:type="pct"/>
            <w:tcBorders>
              <w:top w:val="nil"/>
              <w:left w:val="nil"/>
              <w:bottom w:val="single" w:sz="4" w:space="0" w:color="auto"/>
              <w:right w:val="single" w:sz="4" w:space="0" w:color="auto"/>
            </w:tcBorders>
            <w:shd w:val="clear" w:color="000000" w:fill="FFFFFF"/>
            <w:noWrap/>
            <w:vAlign w:val="center"/>
            <w:hideMark/>
          </w:tcPr>
          <w:p w14:paraId="08B9E1DE"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-215 [-9%]</w:t>
            </w:r>
          </w:p>
        </w:tc>
        <w:tc>
          <w:tcPr>
            <w:tcW w:w="916" w:type="pct"/>
            <w:tcBorders>
              <w:top w:val="nil"/>
              <w:left w:val="nil"/>
              <w:bottom w:val="single" w:sz="4" w:space="0" w:color="auto"/>
              <w:right w:val="single" w:sz="4" w:space="0" w:color="auto"/>
            </w:tcBorders>
            <w:shd w:val="clear" w:color="000000" w:fill="FFFFFF"/>
            <w:noWrap/>
            <w:vAlign w:val="center"/>
            <w:hideMark/>
          </w:tcPr>
          <w:p w14:paraId="5E1ABCC4"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-377 [-16%]</w:t>
            </w:r>
          </w:p>
        </w:tc>
        <w:tc>
          <w:tcPr>
            <w:tcW w:w="1267" w:type="pct"/>
            <w:tcBorders>
              <w:top w:val="nil"/>
              <w:left w:val="nil"/>
              <w:bottom w:val="single" w:sz="4" w:space="0" w:color="auto"/>
              <w:right w:val="single" w:sz="4" w:space="0" w:color="auto"/>
            </w:tcBorders>
            <w:shd w:val="clear" w:color="000000" w:fill="FFFFFF"/>
            <w:noWrap/>
            <w:vAlign w:val="center"/>
            <w:hideMark/>
          </w:tcPr>
          <w:p w14:paraId="42C8911B"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-377 [-16%]</w:t>
            </w:r>
          </w:p>
        </w:tc>
      </w:tr>
      <w:tr w:rsidR="00D24603" w:rsidRPr="00622422" w14:paraId="58FA6B96" w14:textId="77777777" w:rsidTr="00435936">
        <w:trPr>
          <w:trHeight w:val="20"/>
        </w:trPr>
        <w:tc>
          <w:tcPr>
            <w:tcW w:w="4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3FBB9E9"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6</w:t>
            </w:r>
          </w:p>
        </w:tc>
        <w:tc>
          <w:tcPr>
            <w:tcW w:w="634" w:type="pct"/>
            <w:tcBorders>
              <w:top w:val="nil"/>
              <w:left w:val="nil"/>
              <w:bottom w:val="nil"/>
              <w:right w:val="single" w:sz="4" w:space="0" w:color="auto"/>
            </w:tcBorders>
            <w:shd w:val="clear" w:color="000000" w:fill="FFFFFF"/>
            <w:noWrap/>
            <w:vAlign w:val="center"/>
            <w:hideMark/>
          </w:tcPr>
          <w:p w14:paraId="0B17DD77" w14:textId="77777777" w:rsidR="00D24603" w:rsidRPr="00F00D76" w:rsidRDefault="00D24603" w:rsidP="00CE3D62">
            <w:pPr>
              <w:spacing w:after="0"/>
              <w:jc w:val="center"/>
              <w:rPr>
                <w:rFonts w:ascii="Calibri" w:eastAsia="Times New Roman" w:hAnsi="Calibri" w:cs="Calibri"/>
                <w:i/>
                <w:iCs/>
                <w:kern w:val="0"/>
                <w:sz w:val="16"/>
                <w:szCs w:val="16"/>
                <w14:ligatures w14:val="none"/>
              </w:rPr>
            </w:pPr>
            <w:r w:rsidRPr="00F00D76">
              <w:rPr>
                <w:rFonts w:ascii="Calibri" w:hAnsi="Calibri" w:cs="Calibri"/>
                <w:i/>
                <w:iCs/>
                <w:color w:val="000000"/>
                <w:sz w:val="16"/>
                <w:szCs w:val="16"/>
              </w:rPr>
              <w:t>-</w:t>
            </w:r>
          </w:p>
        </w:tc>
        <w:tc>
          <w:tcPr>
            <w:tcW w:w="564" w:type="pct"/>
            <w:tcBorders>
              <w:top w:val="nil"/>
              <w:left w:val="nil"/>
              <w:bottom w:val="nil"/>
              <w:right w:val="single" w:sz="4" w:space="0" w:color="auto"/>
            </w:tcBorders>
            <w:shd w:val="clear" w:color="000000" w:fill="FFFFFF"/>
            <w:noWrap/>
            <w:vAlign w:val="center"/>
            <w:hideMark/>
          </w:tcPr>
          <w:p w14:paraId="2D97CC17" w14:textId="77777777" w:rsidR="00D24603" w:rsidRPr="00F00D76" w:rsidRDefault="00D24603" w:rsidP="00CE3D62">
            <w:pPr>
              <w:spacing w:after="0"/>
              <w:jc w:val="center"/>
              <w:rPr>
                <w:rFonts w:ascii="Calibri" w:eastAsia="Times New Roman" w:hAnsi="Calibri" w:cs="Calibri"/>
                <w:i/>
                <w:iCs/>
                <w:kern w:val="0"/>
                <w:sz w:val="16"/>
                <w:szCs w:val="16"/>
                <w14:ligatures w14:val="none"/>
              </w:rPr>
            </w:pPr>
            <w:r w:rsidRPr="00F00D76">
              <w:rPr>
                <w:rFonts w:ascii="Calibri" w:hAnsi="Calibri" w:cs="Calibri"/>
                <w:i/>
                <w:iCs/>
                <w:color w:val="000000"/>
                <w:sz w:val="16"/>
                <w:szCs w:val="16"/>
              </w:rPr>
              <w:t>Nalo: 20%</w:t>
            </w:r>
          </w:p>
        </w:tc>
        <w:tc>
          <w:tcPr>
            <w:tcW w:w="564" w:type="pct"/>
            <w:tcBorders>
              <w:top w:val="nil"/>
              <w:left w:val="nil"/>
              <w:bottom w:val="nil"/>
              <w:right w:val="single" w:sz="4" w:space="0" w:color="auto"/>
            </w:tcBorders>
            <w:shd w:val="clear" w:color="000000" w:fill="FFFFFF"/>
            <w:noWrap/>
            <w:vAlign w:val="center"/>
            <w:hideMark/>
          </w:tcPr>
          <w:p w14:paraId="337D4820"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Rete: 47%</w:t>
            </w:r>
          </w:p>
        </w:tc>
        <w:tc>
          <w:tcPr>
            <w:tcW w:w="564" w:type="pct"/>
            <w:tcBorders>
              <w:top w:val="nil"/>
              <w:left w:val="nil"/>
              <w:bottom w:val="nil"/>
              <w:right w:val="single" w:sz="4" w:space="0" w:color="auto"/>
            </w:tcBorders>
            <w:shd w:val="clear" w:color="000000" w:fill="FFFFFF"/>
            <w:noWrap/>
            <w:vAlign w:val="center"/>
            <w:hideMark/>
          </w:tcPr>
          <w:p w14:paraId="6844CF2F"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149%</w:t>
            </w:r>
          </w:p>
        </w:tc>
        <w:tc>
          <w:tcPr>
            <w:tcW w:w="916" w:type="pct"/>
            <w:tcBorders>
              <w:top w:val="nil"/>
              <w:left w:val="nil"/>
              <w:bottom w:val="nil"/>
              <w:right w:val="single" w:sz="4" w:space="0" w:color="auto"/>
            </w:tcBorders>
            <w:shd w:val="clear" w:color="000000" w:fill="FFFFFF"/>
            <w:noWrap/>
            <w:vAlign w:val="center"/>
            <w:hideMark/>
          </w:tcPr>
          <w:p w14:paraId="32CD3CEE"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54%, Rete: 182%</w:t>
            </w:r>
          </w:p>
        </w:tc>
        <w:tc>
          <w:tcPr>
            <w:tcW w:w="1267" w:type="pct"/>
            <w:tcBorders>
              <w:top w:val="nil"/>
              <w:left w:val="nil"/>
              <w:bottom w:val="nil"/>
              <w:right w:val="single" w:sz="4" w:space="0" w:color="auto"/>
            </w:tcBorders>
            <w:shd w:val="clear" w:color="000000" w:fill="FFFFFF"/>
            <w:noWrap/>
            <w:vAlign w:val="center"/>
            <w:hideMark/>
          </w:tcPr>
          <w:p w14:paraId="06A73DCC"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54%, Rete: 182%, Nalo: 20%</w:t>
            </w:r>
          </w:p>
        </w:tc>
      </w:tr>
      <w:tr w:rsidR="00D24603" w:rsidRPr="00622422" w14:paraId="7E7AF8D8" w14:textId="77777777" w:rsidTr="00435936">
        <w:trPr>
          <w:trHeight w:val="20"/>
        </w:trPr>
        <w:tc>
          <w:tcPr>
            <w:tcW w:w="492" w:type="pct"/>
            <w:vMerge/>
            <w:tcBorders>
              <w:top w:val="nil"/>
              <w:left w:val="single" w:sz="4" w:space="0" w:color="auto"/>
              <w:bottom w:val="single" w:sz="4" w:space="0" w:color="000000"/>
              <w:right w:val="single" w:sz="4" w:space="0" w:color="auto"/>
            </w:tcBorders>
            <w:vAlign w:val="center"/>
            <w:hideMark/>
          </w:tcPr>
          <w:p w14:paraId="19FE4757"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4" w:type="pct"/>
            <w:tcBorders>
              <w:top w:val="nil"/>
              <w:left w:val="nil"/>
              <w:bottom w:val="single" w:sz="4" w:space="0" w:color="auto"/>
              <w:right w:val="single" w:sz="4" w:space="0" w:color="auto"/>
            </w:tcBorders>
            <w:shd w:val="clear" w:color="000000" w:fill="FFFFFF"/>
            <w:noWrap/>
            <w:vAlign w:val="center"/>
            <w:hideMark/>
          </w:tcPr>
          <w:p w14:paraId="4B039305"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2,119</w:t>
            </w:r>
          </w:p>
        </w:tc>
        <w:tc>
          <w:tcPr>
            <w:tcW w:w="564" w:type="pct"/>
            <w:tcBorders>
              <w:top w:val="nil"/>
              <w:left w:val="nil"/>
              <w:bottom w:val="single" w:sz="4" w:space="0" w:color="auto"/>
              <w:right w:val="single" w:sz="4" w:space="0" w:color="auto"/>
            </w:tcBorders>
            <w:shd w:val="clear" w:color="000000" w:fill="FFFFFF"/>
            <w:noWrap/>
            <w:vAlign w:val="center"/>
            <w:hideMark/>
          </w:tcPr>
          <w:p w14:paraId="632C0C6B"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-7 [0%]</w:t>
            </w:r>
          </w:p>
        </w:tc>
        <w:tc>
          <w:tcPr>
            <w:tcW w:w="564" w:type="pct"/>
            <w:tcBorders>
              <w:top w:val="nil"/>
              <w:left w:val="nil"/>
              <w:bottom w:val="single" w:sz="4" w:space="0" w:color="auto"/>
              <w:right w:val="single" w:sz="4" w:space="0" w:color="auto"/>
            </w:tcBorders>
            <w:shd w:val="clear" w:color="000000" w:fill="FFFFFF"/>
            <w:noWrap/>
            <w:vAlign w:val="center"/>
            <w:hideMark/>
          </w:tcPr>
          <w:p w14:paraId="2BE54A67"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-87 [-4%]</w:t>
            </w:r>
          </w:p>
        </w:tc>
        <w:tc>
          <w:tcPr>
            <w:tcW w:w="564" w:type="pct"/>
            <w:tcBorders>
              <w:top w:val="nil"/>
              <w:left w:val="nil"/>
              <w:bottom w:val="single" w:sz="4" w:space="0" w:color="auto"/>
              <w:right w:val="single" w:sz="4" w:space="0" w:color="auto"/>
            </w:tcBorders>
            <w:shd w:val="clear" w:color="000000" w:fill="FFFFFF"/>
            <w:noWrap/>
            <w:vAlign w:val="center"/>
            <w:hideMark/>
          </w:tcPr>
          <w:p w14:paraId="1664099E"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-188 [-9%]</w:t>
            </w:r>
          </w:p>
        </w:tc>
        <w:tc>
          <w:tcPr>
            <w:tcW w:w="916" w:type="pct"/>
            <w:tcBorders>
              <w:top w:val="nil"/>
              <w:left w:val="nil"/>
              <w:bottom w:val="single" w:sz="4" w:space="0" w:color="auto"/>
              <w:right w:val="single" w:sz="4" w:space="0" w:color="auto"/>
            </w:tcBorders>
            <w:shd w:val="clear" w:color="000000" w:fill="FFFFFF"/>
            <w:noWrap/>
            <w:vAlign w:val="center"/>
            <w:hideMark/>
          </w:tcPr>
          <w:p w14:paraId="16D1AEB8"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-296 [-14%]</w:t>
            </w:r>
          </w:p>
        </w:tc>
        <w:tc>
          <w:tcPr>
            <w:tcW w:w="1267" w:type="pct"/>
            <w:tcBorders>
              <w:top w:val="nil"/>
              <w:left w:val="nil"/>
              <w:bottom w:val="single" w:sz="4" w:space="0" w:color="auto"/>
              <w:right w:val="single" w:sz="4" w:space="0" w:color="auto"/>
            </w:tcBorders>
            <w:shd w:val="clear" w:color="000000" w:fill="FFFFFF"/>
            <w:noWrap/>
            <w:vAlign w:val="center"/>
            <w:hideMark/>
          </w:tcPr>
          <w:p w14:paraId="052884CA"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-303 [-14%]</w:t>
            </w:r>
          </w:p>
        </w:tc>
      </w:tr>
      <w:tr w:rsidR="00D24603" w:rsidRPr="00622422" w14:paraId="64A7433E" w14:textId="77777777" w:rsidTr="00435936">
        <w:trPr>
          <w:trHeight w:val="20"/>
        </w:trPr>
        <w:tc>
          <w:tcPr>
            <w:tcW w:w="4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EA970E7"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7</w:t>
            </w:r>
          </w:p>
        </w:tc>
        <w:tc>
          <w:tcPr>
            <w:tcW w:w="634" w:type="pct"/>
            <w:tcBorders>
              <w:top w:val="nil"/>
              <w:left w:val="nil"/>
              <w:bottom w:val="nil"/>
              <w:right w:val="single" w:sz="4" w:space="0" w:color="auto"/>
            </w:tcBorders>
            <w:shd w:val="clear" w:color="000000" w:fill="FFFFFF"/>
            <w:noWrap/>
            <w:vAlign w:val="center"/>
            <w:hideMark/>
          </w:tcPr>
          <w:p w14:paraId="555D2043"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w:t>
            </w:r>
          </w:p>
        </w:tc>
        <w:tc>
          <w:tcPr>
            <w:tcW w:w="564" w:type="pct"/>
            <w:tcBorders>
              <w:top w:val="nil"/>
              <w:left w:val="nil"/>
              <w:bottom w:val="nil"/>
              <w:right w:val="single" w:sz="4" w:space="0" w:color="auto"/>
            </w:tcBorders>
            <w:shd w:val="clear" w:color="000000" w:fill="FFFFFF"/>
            <w:noWrap/>
            <w:vAlign w:val="center"/>
            <w:hideMark/>
          </w:tcPr>
          <w:p w14:paraId="70AB9C14"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Nalo: 0%</w:t>
            </w:r>
          </w:p>
        </w:tc>
        <w:tc>
          <w:tcPr>
            <w:tcW w:w="564" w:type="pct"/>
            <w:tcBorders>
              <w:top w:val="nil"/>
              <w:left w:val="nil"/>
              <w:bottom w:val="nil"/>
              <w:right w:val="single" w:sz="4" w:space="0" w:color="auto"/>
            </w:tcBorders>
            <w:shd w:val="clear" w:color="000000" w:fill="FFFFFF"/>
            <w:noWrap/>
            <w:vAlign w:val="center"/>
            <w:hideMark/>
          </w:tcPr>
          <w:p w14:paraId="028FA122"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Rete: 44%</w:t>
            </w:r>
          </w:p>
        </w:tc>
        <w:tc>
          <w:tcPr>
            <w:tcW w:w="564" w:type="pct"/>
            <w:tcBorders>
              <w:top w:val="nil"/>
              <w:left w:val="nil"/>
              <w:bottom w:val="nil"/>
              <w:right w:val="single" w:sz="4" w:space="0" w:color="auto"/>
            </w:tcBorders>
            <w:shd w:val="clear" w:color="000000" w:fill="FFFFFF"/>
            <w:noWrap/>
            <w:vAlign w:val="center"/>
            <w:hideMark/>
          </w:tcPr>
          <w:p w14:paraId="5B253E30"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231%</w:t>
            </w:r>
          </w:p>
        </w:tc>
        <w:tc>
          <w:tcPr>
            <w:tcW w:w="916" w:type="pct"/>
            <w:tcBorders>
              <w:top w:val="nil"/>
              <w:left w:val="nil"/>
              <w:bottom w:val="nil"/>
              <w:right w:val="single" w:sz="4" w:space="0" w:color="auto"/>
            </w:tcBorders>
            <w:shd w:val="clear" w:color="000000" w:fill="FFFFFF"/>
            <w:noWrap/>
            <w:vAlign w:val="center"/>
            <w:hideMark/>
          </w:tcPr>
          <w:p w14:paraId="3ECF910E"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133%, Rete: 280%</w:t>
            </w:r>
          </w:p>
        </w:tc>
        <w:tc>
          <w:tcPr>
            <w:tcW w:w="1267" w:type="pct"/>
            <w:tcBorders>
              <w:top w:val="nil"/>
              <w:left w:val="nil"/>
              <w:bottom w:val="nil"/>
              <w:right w:val="single" w:sz="4" w:space="0" w:color="auto"/>
            </w:tcBorders>
            <w:shd w:val="clear" w:color="000000" w:fill="FFFFFF"/>
            <w:noWrap/>
            <w:vAlign w:val="center"/>
            <w:hideMark/>
          </w:tcPr>
          <w:p w14:paraId="3BFC99DB"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133%, Rete: 280%, Nalo: 0%</w:t>
            </w:r>
          </w:p>
        </w:tc>
      </w:tr>
      <w:tr w:rsidR="00D24603" w:rsidRPr="00622422" w14:paraId="7D36B3CB" w14:textId="77777777" w:rsidTr="00435936">
        <w:trPr>
          <w:trHeight w:val="20"/>
        </w:trPr>
        <w:tc>
          <w:tcPr>
            <w:tcW w:w="492" w:type="pct"/>
            <w:vMerge/>
            <w:tcBorders>
              <w:top w:val="nil"/>
              <w:left w:val="single" w:sz="4" w:space="0" w:color="auto"/>
              <w:bottom w:val="single" w:sz="4" w:space="0" w:color="000000"/>
              <w:right w:val="single" w:sz="4" w:space="0" w:color="auto"/>
            </w:tcBorders>
            <w:vAlign w:val="center"/>
            <w:hideMark/>
          </w:tcPr>
          <w:p w14:paraId="7FCB95CF"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4" w:type="pct"/>
            <w:tcBorders>
              <w:top w:val="nil"/>
              <w:left w:val="nil"/>
              <w:bottom w:val="single" w:sz="4" w:space="0" w:color="auto"/>
              <w:right w:val="single" w:sz="4" w:space="0" w:color="auto"/>
            </w:tcBorders>
            <w:shd w:val="clear" w:color="000000" w:fill="FFFFFF"/>
            <w:noWrap/>
            <w:vAlign w:val="center"/>
            <w:hideMark/>
          </w:tcPr>
          <w:p w14:paraId="403F22CE"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1,765</w:t>
            </w:r>
          </w:p>
        </w:tc>
        <w:tc>
          <w:tcPr>
            <w:tcW w:w="564" w:type="pct"/>
            <w:tcBorders>
              <w:top w:val="nil"/>
              <w:left w:val="nil"/>
              <w:bottom w:val="single" w:sz="4" w:space="0" w:color="auto"/>
              <w:right w:val="single" w:sz="4" w:space="0" w:color="auto"/>
            </w:tcBorders>
            <w:shd w:val="clear" w:color="000000" w:fill="FFFFFF"/>
            <w:noWrap/>
            <w:vAlign w:val="center"/>
            <w:hideMark/>
          </w:tcPr>
          <w:p w14:paraId="5127155F"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0 [0%]</w:t>
            </w:r>
          </w:p>
        </w:tc>
        <w:tc>
          <w:tcPr>
            <w:tcW w:w="564" w:type="pct"/>
            <w:tcBorders>
              <w:top w:val="nil"/>
              <w:left w:val="nil"/>
              <w:bottom w:val="single" w:sz="4" w:space="0" w:color="auto"/>
              <w:right w:val="single" w:sz="4" w:space="0" w:color="auto"/>
            </w:tcBorders>
            <w:shd w:val="clear" w:color="000000" w:fill="FFFFFF"/>
            <w:noWrap/>
            <w:vAlign w:val="center"/>
            <w:hideMark/>
          </w:tcPr>
          <w:p w14:paraId="636BC3DD"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-48 [-3%]</w:t>
            </w:r>
          </w:p>
        </w:tc>
        <w:tc>
          <w:tcPr>
            <w:tcW w:w="564" w:type="pct"/>
            <w:tcBorders>
              <w:top w:val="nil"/>
              <w:left w:val="nil"/>
              <w:bottom w:val="single" w:sz="4" w:space="0" w:color="auto"/>
              <w:right w:val="single" w:sz="4" w:space="0" w:color="auto"/>
            </w:tcBorders>
            <w:shd w:val="clear" w:color="000000" w:fill="FFFFFF"/>
            <w:noWrap/>
            <w:vAlign w:val="center"/>
            <w:hideMark/>
          </w:tcPr>
          <w:p w14:paraId="3845D3C5"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-184 [-10%]</w:t>
            </w:r>
          </w:p>
        </w:tc>
        <w:tc>
          <w:tcPr>
            <w:tcW w:w="916" w:type="pct"/>
            <w:tcBorders>
              <w:top w:val="nil"/>
              <w:left w:val="nil"/>
              <w:bottom w:val="single" w:sz="4" w:space="0" w:color="auto"/>
              <w:right w:val="single" w:sz="4" w:space="0" w:color="auto"/>
            </w:tcBorders>
            <w:shd w:val="clear" w:color="000000" w:fill="FFFFFF"/>
            <w:noWrap/>
            <w:vAlign w:val="center"/>
            <w:hideMark/>
          </w:tcPr>
          <w:p w14:paraId="69DA0847"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-265 [-15%]</w:t>
            </w:r>
          </w:p>
        </w:tc>
        <w:tc>
          <w:tcPr>
            <w:tcW w:w="1267" w:type="pct"/>
            <w:tcBorders>
              <w:top w:val="nil"/>
              <w:left w:val="nil"/>
              <w:bottom w:val="single" w:sz="4" w:space="0" w:color="auto"/>
              <w:right w:val="single" w:sz="4" w:space="0" w:color="auto"/>
            </w:tcBorders>
            <w:shd w:val="clear" w:color="000000" w:fill="FFFFFF"/>
            <w:noWrap/>
            <w:vAlign w:val="center"/>
            <w:hideMark/>
          </w:tcPr>
          <w:p w14:paraId="6C7C7238"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-265 [-15%]</w:t>
            </w:r>
          </w:p>
        </w:tc>
      </w:tr>
      <w:tr w:rsidR="00D24603" w:rsidRPr="00622422" w14:paraId="461C6EA6" w14:textId="77777777" w:rsidTr="00435936">
        <w:trPr>
          <w:trHeight w:val="20"/>
        </w:trPr>
        <w:tc>
          <w:tcPr>
            <w:tcW w:w="4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69C70DA"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8</w:t>
            </w:r>
          </w:p>
        </w:tc>
        <w:tc>
          <w:tcPr>
            <w:tcW w:w="634" w:type="pct"/>
            <w:tcBorders>
              <w:top w:val="nil"/>
              <w:left w:val="nil"/>
              <w:bottom w:val="nil"/>
              <w:right w:val="single" w:sz="4" w:space="0" w:color="auto"/>
            </w:tcBorders>
            <w:shd w:val="clear" w:color="000000" w:fill="FFFFFF"/>
            <w:noWrap/>
            <w:vAlign w:val="center"/>
            <w:hideMark/>
          </w:tcPr>
          <w:p w14:paraId="2AA229A6"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w:t>
            </w:r>
          </w:p>
        </w:tc>
        <w:tc>
          <w:tcPr>
            <w:tcW w:w="564" w:type="pct"/>
            <w:tcBorders>
              <w:top w:val="nil"/>
              <w:left w:val="nil"/>
              <w:bottom w:val="nil"/>
              <w:right w:val="single" w:sz="4" w:space="0" w:color="auto"/>
            </w:tcBorders>
            <w:shd w:val="clear" w:color="000000" w:fill="FFFFFF"/>
            <w:noWrap/>
            <w:vAlign w:val="center"/>
            <w:hideMark/>
          </w:tcPr>
          <w:p w14:paraId="2A247F9A"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Nalo: 84%</w:t>
            </w:r>
          </w:p>
        </w:tc>
        <w:tc>
          <w:tcPr>
            <w:tcW w:w="564" w:type="pct"/>
            <w:tcBorders>
              <w:top w:val="nil"/>
              <w:left w:val="nil"/>
              <w:bottom w:val="nil"/>
              <w:right w:val="single" w:sz="4" w:space="0" w:color="auto"/>
            </w:tcBorders>
            <w:shd w:val="clear" w:color="000000" w:fill="FFFFFF"/>
            <w:noWrap/>
            <w:vAlign w:val="center"/>
            <w:hideMark/>
          </w:tcPr>
          <w:p w14:paraId="553FF68F"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Rete: 174%</w:t>
            </w:r>
          </w:p>
        </w:tc>
        <w:tc>
          <w:tcPr>
            <w:tcW w:w="564" w:type="pct"/>
            <w:tcBorders>
              <w:top w:val="nil"/>
              <w:left w:val="nil"/>
              <w:bottom w:val="nil"/>
              <w:right w:val="single" w:sz="4" w:space="0" w:color="auto"/>
            </w:tcBorders>
            <w:shd w:val="clear" w:color="000000" w:fill="FFFFFF"/>
            <w:noWrap/>
            <w:vAlign w:val="center"/>
            <w:hideMark/>
          </w:tcPr>
          <w:p w14:paraId="11E2ADF5"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298%</w:t>
            </w:r>
          </w:p>
        </w:tc>
        <w:tc>
          <w:tcPr>
            <w:tcW w:w="916" w:type="pct"/>
            <w:tcBorders>
              <w:top w:val="nil"/>
              <w:left w:val="nil"/>
              <w:bottom w:val="nil"/>
              <w:right w:val="single" w:sz="4" w:space="0" w:color="auto"/>
            </w:tcBorders>
            <w:shd w:val="clear" w:color="000000" w:fill="FFFFFF"/>
            <w:noWrap/>
            <w:vAlign w:val="center"/>
            <w:hideMark/>
          </w:tcPr>
          <w:p w14:paraId="403859F5"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105%, Rete: 600%</w:t>
            </w:r>
          </w:p>
        </w:tc>
        <w:tc>
          <w:tcPr>
            <w:tcW w:w="1267" w:type="pct"/>
            <w:tcBorders>
              <w:top w:val="nil"/>
              <w:left w:val="nil"/>
              <w:bottom w:val="nil"/>
              <w:right w:val="single" w:sz="4" w:space="0" w:color="auto"/>
            </w:tcBorders>
            <w:shd w:val="clear" w:color="000000" w:fill="FFFFFF"/>
            <w:noWrap/>
            <w:vAlign w:val="center"/>
            <w:hideMark/>
          </w:tcPr>
          <w:p w14:paraId="4CDFF08F"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105%, Rete: 600%, Nalo: 84%</w:t>
            </w:r>
          </w:p>
        </w:tc>
      </w:tr>
      <w:tr w:rsidR="00D24603" w:rsidRPr="00622422" w14:paraId="09F90722" w14:textId="77777777" w:rsidTr="00435936">
        <w:trPr>
          <w:trHeight w:val="20"/>
        </w:trPr>
        <w:tc>
          <w:tcPr>
            <w:tcW w:w="492" w:type="pct"/>
            <w:vMerge/>
            <w:tcBorders>
              <w:top w:val="nil"/>
              <w:left w:val="single" w:sz="4" w:space="0" w:color="auto"/>
              <w:bottom w:val="single" w:sz="4" w:space="0" w:color="000000"/>
              <w:right w:val="single" w:sz="4" w:space="0" w:color="auto"/>
            </w:tcBorders>
            <w:vAlign w:val="center"/>
            <w:hideMark/>
          </w:tcPr>
          <w:p w14:paraId="4BCDA1D5"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4" w:type="pct"/>
            <w:tcBorders>
              <w:top w:val="nil"/>
              <w:left w:val="nil"/>
              <w:bottom w:val="single" w:sz="4" w:space="0" w:color="auto"/>
              <w:right w:val="single" w:sz="4" w:space="0" w:color="auto"/>
            </w:tcBorders>
            <w:shd w:val="clear" w:color="000000" w:fill="FFFFFF"/>
            <w:noWrap/>
            <w:vAlign w:val="center"/>
            <w:hideMark/>
          </w:tcPr>
          <w:p w14:paraId="2AC645D1"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1,212</w:t>
            </w:r>
          </w:p>
        </w:tc>
        <w:tc>
          <w:tcPr>
            <w:tcW w:w="564" w:type="pct"/>
            <w:tcBorders>
              <w:top w:val="nil"/>
              <w:left w:val="nil"/>
              <w:bottom w:val="single" w:sz="4" w:space="0" w:color="auto"/>
              <w:right w:val="single" w:sz="4" w:space="0" w:color="auto"/>
            </w:tcBorders>
            <w:shd w:val="clear" w:color="000000" w:fill="FFFFFF"/>
            <w:noWrap/>
            <w:vAlign w:val="center"/>
            <w:hideMark/>
          </w:tcPr>
          <w:p w14:paraId="137129D0"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-21 [-2%]</w:t>
            </w:r>
          </w:p>
        </w:tc>
        <w:tc>
          <w:tcPr>
            <w:tcW w:w="564" w:type="pct"/>
            <w:tcBorders>
              <w:top w:val="nil"/>
              <w:left w:val="nil"/>
              <w:bottom w:val="single" w:sz="4" w:space="0" w:color="auto"/>
              <w:right w:val="single" w:sz="4" w:space="0" w:color="auto"/>
            </w:tcBorders>
            <w:shd w:val="clear" w:color="000000" w:fill="FFFFFF"/>
            <w:noWrap/>
            <w:vAlign w:val="center"/>
            <w:hideMark/>
          </w:tcPr>
          <w:p w14:paraId="775DBD97"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-66 [-5%]</w:t>
            </w:r>
          </w:p>
        </w:tc>
        <w:tc>
          <w:tcPr>
            <w:tcW w:w="564" w:type="pct"/>
            <w:tcBorders>
              <w:top w:val="nil"/>
              <w:left w:val="nil"/>
              <w:bottom w:val="single" w:sz="4" w:space="0" w:color="auto"/>
              <w:right w:val="single" w:sz="4" w:space="0" w:color="auto"/>
            </w:tcBorders>
            <w:shd w:val="clear" w:color="000000" w:fill="FFFFFF"/>
            <w:noWrap/>
            <w:vAlign w:val="center"/>
            <w:hideMark/>
          </w:tcPr>
          <w:p w14:paraId="623F506D"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-139 [-11%]</w:t>
            </w:r>
          </w:p>
        </w:tc>
        <w:tc>
          <w:tcPr>
            <w:tcW w:w="916" w:type="pct"/>
            <w:tcBorders>
              <w:top w:val="nil"/>
              <w:left w:val="nil"/>
              <w:bottom w:val="single" w:sz="4" w:space="0" w:color="auto"/>
              <w:right w:val="single" w:sz="4" w:space="0" w:color="auto"/>
            </w:tcBorders>
            <w:shd w:val="clear" w:color="000000" w:fill="FFFFFF"/>
            <w:noWrap/>
            <w:vAlign w:val="center"/>
            <w:hideMark/>
          </w:tcPr>
          <w:p w14:paraId="31FD4821"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-252 [-21%]</w:t>
            </w:r>
          </w:p>
        </w:tc>
        <w:tc>
          <w:tcPr>
            <w:tcW w:w="1267" w:type="pct"/>
            <w:tcBorders>
              <w:top w:val="nil"/>
              <w:left w:val="nil"/>
              <w:bottom w:val="single" w:sz="4" w:space="0" w:color="auto"/>
              <w:right w:val="single" w:sz="4" w:space="0" w:color="auto"/>
            </w:tcBorders>
            <w:shd w:val="clear" w:color="000000" w:fill="FFFFFF"/>
            <w:noWrap/>
            <w:vAlign w:val="center"/>
            <w:hideMark/>
          </w:tcPr>
          <w:p w14:paraId="5CC4EE5B"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-268 [-22%]</w:t>
            </w:r>
          </w:p>
        </w:tc>
      </w:tr>
      <w:tr w:rsidR="00D24603" w:rsidRPr="00622422" w14:paraId="4F0BF36D" w14:textId="77777777" w:rsidTr="00435936">
        <w:trPr>
          <w:trHeight w:val="20"/>
        </w:trPr>
        <w:tc>
          <w:tcPr>
            <w:tcW w:w="4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193504F"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9</w:t>
            </w:r>
          </w:p>
        </w:tc>
        <w:tc>
          <w:tcPr>
            <w:tcW w:w="634" w:type="pct"/>
            <w:tcBorders>
              <w:top w:val="nil"/>
              <w:left w:val="nil"/>
              <w:bottom w:val="nil"/>
              <w:right w:val="single" w:sz="4" w:space="0" w:color="auto"/>
            </w:tcBorders>
            <w:shd w:val="clear" w:color="000000" w:fill="FFFFFF"/>
            <w:noWrap/>
            <w:vAlign w:val="center"/>
            <w:hideMark/>
          </w:tcPr>
          <w:p w14:paraId="7B7CBFEF"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w:t>
            </w:r>
          </w:p>
        </w:tc>
        <w:tc>
          <w:tcPr>
            <w:tcW w:w="564" w:type="pct"/>
            <w:tcBorders>
              <w:top w:val="nil"/>
              <w:left w:val="nil"/>
              <w:bottom w:val="nil"/>
              <w:right w:val="single" w:sz="4" w:space="0" w:color="auto"/>
            </w:tcBorders>
            <w:shd w:val="clear" w:color="000000" w:fill="FFFFFF"/>
            <w:noWrap/>
            <w:vAlign w:val="center"/>
            <w:hideMark/>
          </w:tcPr>
          <w:p w14:paraId="7BDC40D6"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Nalo: 0%</w:t>
            </w:r>
          </w:p>
        </w:tc>
        <w:tc>
          <w:tcPr>
            <w:tcW w:w="564" w:type="pct"/>
            <w:tcBorders>
              <w:top w:val="nil"/>
              <w:left w:val="nil"/>
              <w:bottom w:val="nil"/>
              <w:right w:val="single" w:sz="4" w:space="0" w:color="auto"/>
            </w:tcBorders>
            <w:shd w:val="clear" w:color="000000" w:fill="FFFFFF"/>
            <w:noWrap/>
            <w:vAlign w:val="center"/>
            <w:hideMark/>
          </w:tcPr>
          <w:p w14:paraId="4BB04C40"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Rete: 56%</w:t>
            </w:r>
          </w:p>
        </w:tc>
        <w:tc>
          <w:tcPr>
            <w:tcW w:w="564" w:type="pct"/>
            <w:tcBorders>
              <w:top w:val="nil"/>
              <w:left w:val="nil"/>
              <w:bottom w:val="nil"/>
              <w:right w:val="single" w:sz="4" w:space="0" w:color="auto"/>
            </w:tcBorders>
            <w:shd w:val="clear" w:color="000000" w:fill="FFFFFF"/>
            <w:noWrap/>
            <w:vAlign w:val="center"/>
            <w:hideMark/>
          </w:tcPr>
          <w:p w14:paraId="456A0C7D"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228%</w:t>
            </w:r>
          </w:p>
        </w:tc>
        <w:tc>
          <w:tcPr>
            <w:tcW w:w="916" w:type="pct"/>
            <w:tcBorders>
              <w:top w:val="nil"/>
              <w:left w:val="nil"/>
              <w:bottom w:val="nil"/>
              <w:right w:val="single" w:sz="4" w:space="0" w:color="auto"/>
            </w:tcBorders>
            <w:shd w:val="clear" w:color="000000" w:fill="FFFFFF"/>
            <w:noWrap/>
            <w:vAlign w:val="center"/>
            <w:hideMark/>
          </w:tcPr>
          <w:p w14:paraId="106DFE11"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111%, Rete: 287%</w:t>
            </w:r>
          </w:p>
        </w:tc>
        <w:tc>
          <w:tcPr>
            <w:tcW w:w="1267" w:type="pct"/>
            <w:tcBorders>
              <w:top w:val="nil"/>
              <w:left w:val="nil"/>
              <w:bottom w:val="nil"/>
              <w:right w:val="single" w:sz="4" w:space="0" w:color="auto"/>
            </w:tcBorders>
            <w:shd w:val="clear" w:color="000000" w:fill="FFFFFF"/>
            <w:noWrap/>
            <w:vAlign w:val="center"/>
            <w:hideMark/>
          </w:tcPr>
          <w:p w14:paraId="66B87FCE"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111%, Rete: 287%, Nalo: 0%</w:t>
            </w:r>
          </w:p>
        </w:tc>
      </w:tr>
      <w:tr w:rsidR="00D24603" w:rsidRPr="00622422" w14:paraId="29A84982" w14:textId="77777777" w:rsidTr="00435936">
        <w:trPr>
          <w:trHeight w:val="20"/>
        </w:trPr>
        <w:tc>
          <w:tcPr>
            <w:tcW w:w="492" w:type="pct"/>
            <w:vMerge/>
            <w:tcBorders>
              <w:top w:val="nil"/>
              <w:left w:val="single" w:sz="4" w:space="0" w:color="auto"/>
              <w:bottom w:val="single" w:sz="4" w:space="0" w:color="000000"/>
              <w:right w:val="single" w:sz="4" w:space="0" w:color="auto"/>
            </w:tcBorders>
            <w:vAlign w:val="center"/>
            <w:hideMark/>
          </w:tcPr>
          <w:p w14:paraId="18868487"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4" w:type="pct"/>
            <w:tcBorders>
              <w:top w:val="nil"/>
              <w:left w:val="nil"/>
              <w:bottom w:val="single" w:sz="4" w:space="0" w:color="auto"/>
              <w:right w:val="single" w:sz="4" w:space="0" w:color="auto"/>
            </w:tcBorders>
            <w:shd w:val="clear" w:color="000000" w:fill="FFFFFF"/>
            <w:noWrap/>
            <w:vAlign w:val="center"/>
            <w:hideMark/>
          </w:tcPr>
          <w:p w14:paraId="7B96E00B"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1,547</w:t>
            </w:r>
          </w:p>
        </w:tc>
        <w:tc>
          <w:tcPr>
            <w:tcW w:w="564" w:type="pct"/>
            <w:tcBorders>
              <w:top w:val="nil"/>
              <w:left w:val="nil"/>
              <w:bottom w:val="single" w:sz="4" w:space="0" w:color="auto"/>
              <w:right w:val="single" w:sz="4" w:space="0" w:color="auto"/>
            </w:tcBorders>
            <w:shd w:val="clear" w:color="000000" w:fill="FFFFFF"/>
            <w:noWrap/>
            <w:vAlign w:val="center"/>
            <w:hideMark/>
          </w:tcPr>
          <w:p w14:paraId="661DFE41"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 [0%]</w:t>
            </w:r>
          </w:p>
        </w:tc>
        <w:tc>
          <w:tcPr>
            <w:tcW w:w="564" w:type="pct"/>
            <w:tcBorders>
              <w:top w:val="nil"/>
              <w:left w:val="nil"/>
              <w:bottom w:val="single" w:sz="4" w:space="0" w:color="auto"/>
              <w:right w:val="single" w:sz="4" w:space="0" w:color="auto"/>
            </w:tcBorders>
            <w:shd w:val="clear" w:color="000000" w:fill="FFFFFF"/>
            <w:noWrap/>
            <w:vAlign w:val="center"/>
            <w:hideMark/>
          </w:tcPr>
          <w:p w14:paraId="27AFF1FC"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-44 [-3%]</w:t>
            </w:r>
          </w:p>
        </w:tc>
        <w:tc>
          <w:tcPr>
            <w:tcW w:w="564" w:type="pct"/>
            <w:tcBorders>
              <w:top w:val="nil"/>
              <w:left w:val="nil"/>
              <w:bottom w:val="single" w:sz="4" w:space="0" w:color="auto"/>
              <w:right w:val="single" w:sz="4" w:space="0" w:color="auto"/>
            </w:tcBorders>
            <w:shd w:val="clear" w:color="000000" w:fill="FFFFFF"/>
            <w:noWrap/>
            <w:vAlign w:val="center"/>
            <w:hideMark/>
          </w:tcPr>
          <w:p w14:paraId="23E31961"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-151 [-10%]</w:t>
            </w:r>
          </w:p>
        </w:tc>
        <w:tc>
          <w:tcPr>
            <w:tcW w:w="916" w:type="pct"/>
            <w:tcBorders>
              <w:top w:val="nil"/>
              <w:left w:val="nil"/>
              <w:bottom w:val="single" w:sz="4" w:space="0" w:color="auto"/>
              <w:right w:val="single" w:sz="4" w:space="0" w:color="auto"/>
            </w:tcBorders>
            <w:shd w:val="clear" w:color="000000" w:fill="FFFFFF"/>
            <w:noWrap/>
            <w:vAlign w:val="center"/>
            <w:hideMark/>
          </w:tcPr>
          <w:p w14:paraId="5A5166FE"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-217 [-14%]</w:t>
            </w:r>
          </w:p>
        </w:tc>
        <w:tc>
          <w:tcPr>
            <w:tcW w:w="1267" w:type="pct"/>
            <w:tcBorders>
              <w:top w:val="nil"/>
              <w:left w:val="nil"/>
              <w:bottom w:val="single" w:sz="4" w:space="0" w:color="auto"/>
              <w:right w:val="single" w:sz="4" w:space="0" w:color="auto"/>
            </w:tcBorders>
            <w:shd w:val="clear" w:color="000000" w:fill="FFFFFF"/>
            <w:noWrap/>
            <w:vAlign w:val="center"/>
            <w:hideMark/>
          </w:tcPr>
          <w:p w14:paraId="7FE9066C"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-216 [-14%]</w:t>
            </w:r>
          </w:p>
        </w:tc>
      </w:tr>
      <w:tr w:rsidR="00D24603" w:rsidRPr="00622422" w14:paraId="3CD58EF8" w14:textId="77777777" w:rsidTr="00435936">
        <w:trPr>
          <w:trHeight w:val="20"/>
        </w:trPr>
        <w:tc>
          <w:tcPr>
            <w:tcW w:w="4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818C5D6"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C1</w:t>
            </w:r>
            <w:r w:rsidRPr="00622422">
              <w:rPr>
                <w:rFonts w:ascii="Calibri" w:eastAsia="Times New Roman" w:hAnsi="Calibri" w:cs="Calibri"/>
                <w:color w:val="000000"/>
                <w:kern w:val="0"/>
                <w:sz w:val="16"/>
                <w:szCs w:val="16"/>
                <w14:ligatures w14:val="none"/>
              </w:rPr>
              <w:t>0</w:t>
            </w:r>
          </w:p>
        </w:tc>
        <w:tc>
          <w:tcPr>
            <w:tcW w:w="634" w:type="pct"/>
            <w:tcBorders>
              <w:top w:val="nil"/>
              <w:left w:val="nil"/>
              <w:bottom w:val="nil"/>
              <w:right w:val="single" w:sz="4" w:space="0" w:color="auto"/>
            </w:tcBorders>
            <w:shd w:val="clear" w:color="000000" w:fill="FFFFFF"/>
            <w:noWrap/>
            <w:vAlign w:val="center"/>
            <w:hideMark/>
          </w:tcPr>
          <w:p w14:paraId="296A72C4"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w:t>
            </w:r>
          </w:p>
        </w:tc>
        <w:tc>
          <w:tcPr>
            <w:tcW w:w="564" w:type="pct"/>
            <w:tcBorders>
              <w:top w:val="nil"/>
              <w:left w:val="nil"/>
              <w:bottom w:val="nil"/>
              <w:right w:val="single" w:sz="4" w:space="0" w:color="auto"/>
            </w:tcBorders>
            <w:shd w:val="clear" w:color="000000" w:fill="FFFFFF"/>
            <w:noWrap/>
            <w:vAlign w:val="center"/>
            <w:hideMark/>
          </w:tcPr>
          <w:p w14:paraId="73C1A2BD"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Nalo: 84%</w:t>
            </w:r>
          </w:p>
        </w:tc>
        <w:tc>
          <w:tcPr>
            <w:tcW w:w="564" w:type="pct"/>
            <w:tcBorders>
              <w:top w:val="nil"/>
              <w:left w:val="nil"/>
              <w:bottom w:val="nil"/>
              <w:right w:val="single" w:sz="4" w:space="0" w:color="auto"/>
            </w:tcBorders>
            <w:shd w:val="clear" w:color="000000" w:fill="FFFFFF"/>
            <w:noWrap/>
            <w:vAlign w:val="center"/>
            <w:hideMark/>
          </w:tcPr>
          <w:p w14:paraId="668D2F2F"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Rete: 31%</w:t>
            </w:r>
          </w:p>
        </w:tc>
        <w:tc>
          <w:tcPr>
            <w:tcW w:w="564" w:type="pct"/>
            <w:tcBorders>
              <w:top w:val="nil"/>
              <w:left w:val="nil"/>
              <w:bottom w:val="nil"/>
              <w:right w:val="single" w:sz="4" w:space="0" w:color="auto"/>
            </w:tcBorders>
            <w:shd w:val="clear" w:color="000000" w:fill="FFFFFF"/>
            <w:noWrap/>
            <w:vAlign w:val="center"/>
            <w:hideMark/>
          </w:tcPr>
          <w:p w14:paraId="51580819"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191%</w:t>
            </w:r>
          </w:p>
        </w:tc>
        <w:tc>
          <w:tcPr>
            <w:tcW w:w="916" w:type="pct"/>
            <w:tcBorders>
              <w:top w:val="nil"/>
              <w:left w:val="nil"/>
              <w:bottom w:val="nil"/>
              <w:right w:val="single" w:sz="4" w:space="0" w:color="auto"/>
            </w:tcBorders>
            <w:shd w:val="clear" w:color="000000" w:fill="FFFFFF"/>
            <w:noWrap/>
            <w:vAlign w:val="center"/>
            <w:hideMark/>
          </w:tcPr>
          <w:p w14:paraId="393B81BF"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131%, Rete: 233%</w:t>
            </w:r>
          </w:p>
        </w:tc>
        <w:tc>
          <w:tcPr>
            <w:tcW w:w="1267" w:type="pct"/>
            <w:tcBorders>
              <w:top w:val="nil"/>
              <w:left w:val="nil"/>
              <w:bottom w:val="nil"/>
              <w:right w:val="single" w:sz="4" w:space="0" w:color="auto"/>
            </w:tcBorders>
            <w:shd w:val="clear" w:color="000000" w:fill="FFFFFF"/>
            <w:noWrap/>
            <w:vAlign w:val="center"/>
            <w:hideMark/>
          </w:tcPr>
          <w:p w14:paraId="3AED4DFC"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131%, Rete: 233%, Nalo: 84%</w:t>
            </w:r>
          </w:p>
        </w:tc>
      </w:tr>
      <w:tr w:rsidR="00D24603" w:rsidRPr="00622422" w14:paraId="2F066C98" w14:textId="77777777" w:rsidTr="00435936">
        <w:trPr>
          <w:trHeight w:val="20"/>
        </w:trPr>
        <w:tc>
          <w:tcPr>
            <w:tcW w:w="492" w:type="pct"/>
            <w:vMerge/>
            <w:tcBorders>
              <w:top w:val="nil"/>
              <w:left w:val="single" w:sz="4" w:space="0" w:color="auto"/>
              <w:bottom w:val="single" w:sz="4" w:space="0" w:color="000000"/>
              <w:right w:val="single" w:sz="4" w:space="0" w:color="auto"/>
            </w:tcBorders>
            <w:vAlign w:val="center"/>
            <w:hideMark/>
          </w:tcPr>
          <w:p w14:paraId="67DA9270"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4" w:type="pct"/>
            <w:tcBorders>
              <w:top w:val="nil"/>
              <w:left w:val="nil"/>
              <w:bottom w:val="single" w:sz="4" w:space="0" w:color="auto"/>
              <w:right w:val="single" w:sz="4" w:space="0" w:color="auto"/>
            </w:tcBorders>
            <w:shd w:val="clear" w:color="000000" w:fill="FFFFFF"/>
            <w:noWrap/>
            <w:vAlign w:val="center"/>
            <w:hideMark/>
          </w:tcPr>
          <w:p w14:paraId="4730C46E"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988</w:t>
            </w:r>
          </w:p>
        </w:tc>
        <w:tc>
          <w:tcPr>
            <w:tcW w:w="564" w:type="pct"/>
            <w:tcBorders>
              <w:top w:val="nil"/>
              <w:left w:val="nil"/>
              <w:bottom w:val="single" w:sz="4" w:space="0" w:color="auto"/>
              <w:right w:val="single" w:sz="4" w:space="0" w:color="auto"/>
            </w:tcBorders>
            <w:shd w:val="clear" w:color="000000" w:fill="FFFFFF"/>
            <w:noWrap/>
            <w:vAlign w:val="center"/>
            <w:hideMark/>
          </w:tcPr>
          <w:p w14:paraId="34EC7F76"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-9 [-1%]</w:t>
            </w:r>
          </w:p>
        </w:tc>
        <w:tc>
          <w:tcPr>
            <w:tcW w:w="564" w:type="pct"/>
            <w:tcBorders>
              <w:top w:val="nil"/>
              <w:left w:val="nil"/>
              <w:bottom w:val="single" w:sz="4" w:space="0" w:color="auto"/>
              <w:right w:val="single" w:sz="4" w:space="0" w:color="auto"/>
            </w:tcBorders>
            <w:shd w:val="clear" w:color="000000" w:fill="FFFFFF"/>
            <w:noWrap/>
            <w:vAlign w:val="center"/>
            <w:hideMark/>
          </w:tcPr>
          <w:p w14:paraId="6FE2A0FD"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-21 [-2%]</w:t>
            </w:r>
          </w:p>
        </w:tc>
        <w:tc>
          <w:tcPr>
            <w:tcW w:w="564" w:type="pct"/>
            <w:tcBorders>
              <w:top w:val="nil"/>
              <w:left w:val="nil"/>
              <w:bottom w:val="single" w:sz="4" w:space="0" w:color="auto"/>
              <w:right w:val="single" w:sz="4" w:space="0" w:color="auto"/>
            </w:tcBorders>
            <w:shd w:val="clear" w:color="000000" w:fill="FFFFFF"/>
            <w:noWrap/>
            <w:vAlign w:val="center"/>
            <w:hideMark/>
          </w:tcPr>
          <w:p w14:paraId="644702EB"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-113 [-11%]</w:t>
            </w:r>
          </w:p>
        </w:tc>
        <w:tc>
          <w:tcPr>
            <w:tcW w:w="916" w:type="pct"/>
            <w:tcBorders>
              <w:top w:val="nil"/>
              <w:left w:val="nil"/>
              <w:bottom w:val="single" w:sz="4" w:space="0" w:color="auto"/>
              <w:right w:val="single" w:sz="4" w:space="0" w:color="auto"/>
            </w:tcBorders>
            <w:shd w:val="clear" w:color="000000" w:fill="FFFFFF"/>
            <w:noWrap/>
            <w:vAlign w:val="center"/>
            <w:hideMark/>
          </w:tcPr>
          <w:p w14:paraId="1347D8B3"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-148 [-15%]</w:t>
            </w:r>
          </w:p>
        </w:tc>
        <w:tc>
          <w:tcPr>
            <w:tcW w:w="1267" w:type="pct"/>
            <w:tcBorders>
              <w:top w:val="nil"/>
              <w:left w:val="nil"/>
              <w:bottom w:val="single" w:sz="4" w:space="0" w:color="auto"/>
              <w:right w:val="single" w:sz="4" w:space="0" w:color="auto"/>
            </w:tcBorders>
            <w:shd w:val="clear" w:color="000000" w:fill="FFFFFF"/>
            <w:noWrap/>
            <w:vAlign w:val="center"/>
            <w:hideMark/>
          </w:tcPr>
          <w:p w14:paraId="46511103"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-155 [-16%]</w:t>
            </w:r>
          </w:p>
        </w:tc>
      </w:tr>
      <w:tr w:rsidR="00D24603" w:rsidRPr="00622422" w14:paraId="4A6629D4" w14:textId="77777777" w:rsidTr="00435936">
        <w:trPr>
          <w:trHeight w:val="20"/>
        </w:trPr>
        <w:tc>
          <w:tcPr>
            <w:tcW w:w="4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480C828"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11</w:t>
            </w:r>
          </w:p>
        </w:tc>
        <w:tc>
          <w:tcPr>
            <w:tcW w:w="634" w:type="pct"/>
            <w:tcBorders>
              <w:top w:val="nil"/>
              <w:left w:val="nil"/>
              <w:bottom w:val="nil"/>
              <w:right w:val="single" w:sz="4" w:space="0" w:color="auto"/>
            </w:tcBorders>
            <w:shd w:val="clear" w:color="000000" w:fill="FFFFFF"/>
            <w:noWrap/>
            <w:vAlign w:val="center"/>
            <w:hideMark/>
          </w:tcPr>
          <w:p w14:paraId="7B8B5E33"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w:t>
            </w:r>
          </w:p>
        </w:tc>
        <w:tc>
          <w:tcPr>
            <w:tcW w:w="564" w:type="pct"/>
            <w:tcBorders>
              <w:top w:val="nil"/>
              <w:left w:val="nil"/>
              <w:bottom w:val="nil"/>
              <w:right w:val="single" w:sz="4" w:space="0" w:color="auto"/>
            </w:tcBorders>
            <w:shd w:val="clear" w:color="000000" w:fill="FFFFFF"/>
            <w:noWrap/>
            <w:vAlign w:val="center"/>
            <w:hideMark/>
          </w:tcPr>
          <w:p w14:paraId="2CA9C928"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Nalo: 19%</w:t>
            </w:r>
          </w:p>
        </w:tc>
        <w:tc>
          <w:tcPr>
            <w:tcW w:w="564" w:type="pct"/>
            <w:tcBorders>
              <w:top w:val="nil"/>
              <w:left w:val="nil"/>
              <w:bottom w:val="nil"/>
              <w:right w:val="single" w:sz="4" w:space="0" w:color="auto"/>
            </w:tcBorders>
            <w:shd w:val="clear" w:color="000000" w:fill="FFFFFF"/>
            <w:noWrap/>
            <w:vAlign w:val="center"/>
            <w:hideMark/>
          </w:tcPr>
          <w:p w14:paraId="0896DC7A"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Rete: 65%</w:t>
            </w:r>
          </w:p>
        </w:tc>
        <w:tc>
          <w:tcPr>
            <w:tcW w:w="564" w:type="pct"/>
            <w:tcBorders>
              <w:top w:val="nil"/>
              <w:left w:val="nil"/>
              <w:bottom w:val="nil"/>
              <w:right w:val="single" w:sz="4" w:space="0" w:color="auto"/>
            </w:tcBorders>
            <w:shd w:val="clear" w:color="000000" w:fill="FFFFFF"/>
            <w:noWrap/>
            <w:vAlign w:val="center"/>
            <w:hideMark/>
          </w:tcPr>
          <w:p w14:paraId="1E94D8BD"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274%</w:t>
            </w:r>
          </w:p>
        </w:tc>
        <w:tc>
          <w:tcPr>
            <w:tcW w:w="916" w:type="pct"/>
            <w:tcBorders>
              <w:top w:val="nil"/>
              <w:left w:val="nil"/>
              <w:bottom w:val="nil"/>
              <w:right w:val="single" w:sz="4" w:space="0" w:color="auto"/>
            </w:tcBorders>
            <w:shd w:val="clear" w:color="000000" w:fill="FFFFFF"/>
            <w:noWrap/>
            <w:vAlign w:val="center"/>
            <w:hideMark/>
          </w:tcPr>
          <w:p w14:paraId="4F4B88C6"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133%, Rete: 349%</w:t>
            </w:r>
          </w:p>
        </w:tc>
        <w:tc>
          <w:tcPr>
            <w:tcW w:w="1267" w:type="pct"/>
            <w:tcBorders>
              <w:top w:val="nil"/>
              <w:left w:val="nil"/>
              <w:bottom w:val="nil"/>
              <w:right w:val="single" w:sz="4" w:space="0" w:color="auto"/>
            </w:tcBorders>
            <w:shd w:val="clear" w:color="000000" w:fill="FFFFFF"/>
            <w:noWrap/>
            <w:vAlign w:val="center"/>
            <w:hideMark/>
          </w:tcPr>
          <w:p w14:paraId="1FCB0406"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134%, Rete: 349%, Nalo: 19%</w:t>
            </w:r>
          </w:p>
        </w:tc>
      </w:tr>
      <w:tr w:rsidR="00D24603" w:rsidRPr="00622422" w14:paraId="252E3908" w14:textId="77777777" w:rsidTr="00435936">
        <w:trPr>
          <w:trHeight w:val="20"/>
        </w:trPr>
        <w:tc>
          <w:tcPr>
            <w:tcW w:w="492" w:type="pct"/>
            <w:vMerge/>
            <w:tcBorders>
              <w:top w:val="nil"/>
              <w:left w:val="single" w:sz="4" w:space="0" w:color="auto"/>
              <w:bottom w:val="single" w:sz="4" w:space="0" w:color="000000"/>
              <w:right w:val="single" w:sz="4" w:space="0" w:color="auto"/>
            </w:tcBorders>
            <w:vAlign w:val="center"/>
            <w:hideMark/>
          </w:tcPr>
          <w:p w14:paraId="4C5F8713"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4" w:type="pct"/>
            <w:tcBorders>
              <w:top w:val="nil"/>
              <w:left w:val="nil"/>
              <w:bottom w:val="single" w:sz="4" w:space="0" w:color="auto"/>
              <w:right w:val="single" w:sz="4" w:space="0" w:color="auto"/>
            </w:tcBorders>
            <w:shd w:val="clear" w:color="000000" w:fill="FFFFFF"/>
            <w:noWrap/>
            <w:vAlign w:val="center"/>
            <w:hideMark/>
          </w:tcPr>
          <w:p w14:paraId="07CDD4AC"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1,212</w:t>
            </w:r>
          </w:p>
        </w:tc>
        <w:tc>
          <w:tcPr>
            <w:tcW w:w="564" w:type="pct"/>
            <w:tcBorders>
              <w:top w:val="nil"/>
              <w:left w:val="nil"/>
              <w:bottom w:val="single" w:sz="4" w:space="0" w:color="auto"/>
              <w:right w:val="single" w:sz="4" w:space="0" w:color="auto"/>
            </w:tcBorders>
            <w:shd w:val="clear" w:color="000000" w:fill="FFFFFF"/>
            <w:noWrap/>
            <w:vAlign w:val="center"/>
            <w:hideMark/>
          </w:tcPr>
          <w:p w14:paraId="7E648C1E"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-4 [0%]</w:t>
            </w:r>
          </w:p>
        </w:tc>
        <w:tc>
          <w:tcPr>
            <w:tcW w:w="564" w:type="pct"/>
            <w:tcBorders>
              <w:top w:val="nil"/>
              <w:left w:val="nil"/>
              <w:bottom w:val="single" w:sz="4" w:space="0" w:color="auto"/>
              <w:right w:val="single" w:sz="4" w:space="0" w:color="auto"/>
            </w:tcBorders>
            <w:shd w:val="clear" w:color="000000" w:fill="FFFFFF"/>
            <w:noWrap/>
            <w:vAlign w:val="center"/>
            <w:hideMark/>
          </w:tcPr>
          <w:p w14:paraId="72605F98"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-37 [-3%]</w:t>
            </w:r>
          </w:p>
        </w:tc>
        <w:tc>
          <w:tcPr>
            <w:tcW w:w="564" w:type="pct"/>
            <w:tcBorders>
              <w:top w:val="nil"/>
              <w:left w:val="nil"/>
              <w:bottom w:val="single" w:sz="4" w:space="0" w:color="auto"/>
              <w:right w:val="single" w:sz="4" w:space="0" w:color="auto"/>
            </w:tcBorders>
            <w:shd w:val="clear" w:color="000000" w:fill="FFFFFF"/>
            <w:noWrap/>
            <w:vAlign w:val="center"/>
            <w:hideMark/>
          </w:tcPr>
          <w:p w14:paraId="76403E6E"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-117 [-10%]</w:t>
            </w:r>
          </w:p>
        </w:tc>
        <w:tc>
          <w:tcPr>
            <w:tcW w:w="916" w:type="pct"/>
            <w:tcBorders>
              <w:top w:val="nil"/>
              <w:left w:val="nil"/>
              <w:bottom w:val="single" w:sz="4" w:space="0" w:color="auto"/>
              <w:right w:val="single" w:sz="4" w:space="0" w:color="auto"/>
            </w:tcBorders>
            <w:shd w:val="clear" w:color="000000" w:fill="FFFFFF"/>
            <w:noWrap/>
            <w:vAlign w:val="center"/>
            <w:hideMark/>
          </w:tcPr>
          <w:p w14:paraId="19A7F7AD"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-183 [-15%]</w:t>
            </w:r>
          </w:p>
        </w:tc>
        <w:tc>
          <w:tcPr>
            <w:tcW w:w="1267" w:type="pct"/>
            <w:tcBorders>
              <w:top w:val="nil"/>
              <w:left w:val="nil"/>
              <w:bottom w:val="single" w:sz="4" w:space="0" w:color="auto"/>
              <w:right w:val="single" w:sz="4" w:space="0" w:color="auto"/>
            </w:tcBorders>
            <w:shd w:val="clear" w:color="000000" w:fill="FFFFFF"/>
            <w:noWrap/>
            <w:vAlign w:val="center"/>
            <w:hideMark/>
          </w:tcPr>
          <w:p w14:paraId="5BD5691C"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-185 [-15%]</w:t>
            </w:r>
          </w:p>
        </w:tc>
      </w:tr>
      <w:tr w:rsidR="00D24603" w:rsidRPr="00622422" w14:paraId="5F512BAD" w14:textId="77777777" w:rsidTr="00435936">
        <w:trPr>
          <w:trHeight w:val="20"/>
        </w:trPr>
        <w:tc>
          <w:tcPr>
            <w:tcW w:w="4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94EA3EC"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12</w:t>
            </w:r>
          </w:p>
        </w:tc>
        <w:tc>
          <w:tcPr>
            <w:tcW w:w="634" w:type="pct"/>
            <w:tcBorders>
              <w:top w:val="nil"/>
              <w:left w:val="nil"/>
              <w:bottom w:val="nil"/>
              <w:right w:val="single" w:sz="4" w:space="0" w:color="auto"/>
            </w:tcBorders>
            <w:shd w:val="clear" w:color="000000" w:fill="FFFFFF"/>
            <w:noWrap/>
            <w:vAlign w:val="center"/>
            <w:hideMark/>
          </w:tcPr>
          <w:p w14:paraId="58F38187"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w:t>
            </w:r>
          </w:p>
        </w:tc>
        <w:tc>
          <w:tcPr>
            <w:tcW w:w="564" w:type="pct"/>
            <w:tcBorders>
              <w:top w:val="nil"/>
              <w:left w:val="nil"/>
              <w:bottom w:val="nil"/>
              <w:right w:val="single" w:sz="4" w:space="0" w:color="auto"/>
            </w:tcBorders>
            <w:shd w:val="clear" w:color="000000" w:fill="FFFFFF"/>
            <w:noWrap/>
            <w:vAlign w:val="center"/>
            <w:hideMark/>
          </w:tcPr>
          <w:p w14:paraId="10BD0E5C"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Nalo: 0%</w:t>
            </w:r>
          </w:p>
        </w:tc>
        <w:tc>
          <w:tcPr>
            <w:tcW w:w="564" w:type="pct"/>
            <w:tcBorders>
              <w:top w:val="nil"/>
              <w:left w:val="nil"/>
              <w:bottom w:val="nil"/>
              <w:right w:val="single" w:sz="4" w:space="0" w:color="auto"/>
            </w:tcBorders>
            <w:shd w:val="clear" w:color="000000" w:fill="FFFFFF"/>
            <w:noWrap/>
            <w:vAlign w:val="center"/>
            <w:hideMark/>
          </w:tcPr>
          <w:p w14:paraId="3FDC8BA1"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Rete: 54%</w:t>
            </w:r>
          </w:p>
        </w:tc>
        <w:tc>
          <w:tcPr>
            <w:tcW w:w="564" w:type="pct"/>
            <w:tcBorders>
              <w:top w:val="nil"/>
              <w:left w:val="nil"/>
              <w:bottom w:val="nil"/>
              <w:right w:val="single" w:sz="4" w:space="0" w:color="auto"/>
            </w:tcBorders>
            <w:shd w:val="clear" w:color="000000" w:fill="FFFFFF"/>
            <w:noWrap/>
            <w:vAlign w:val="center"/>
            <w:hideMark/>
          </w:tcPr>
          <w:p w14:paraId="0AE57FC6"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173%</w:t>
            </w:r>
          </w:p>
        </w:tc>
        <w:tc>
          <w:tcPr>
            <w:tcW w:w="916" w:type="pct"/>
            <w:tcBorders>
              <w:top w:val="nil"/>
              <w:left w:val="nil"/>
              <w:bottom w:val="nil"/>
              <w:right w:val="single" w:sz="4" w:space="0" w:color="auto"/>
            </w:tcBorders>
            <w:shd w:val="clear" w:color="000000" w:fill="FFFFFF"/>
            <w:noWrap/>
            <w:vAlign w:val="center"/>
            <w:hideMark/>
          </w:tcPr>
          <w:p w14:paraId="21639211"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72%, Rete: 223%</w:t>
            </w:r>
          </w:p>
        </w:tc>
        <w:tc>
          <w:tcPr>
            <w:tcW w:w="1267" w:type="pct"/>
            <w:tcBorders>
              <w:top w:val="nil"/>
              <w:left w:val="nil"/>
              <w:bottom w:val="nil"/>
              <w:right w:val="single" w:sz="4" w:space="0" w:color="auto"/>
            </w:tcBorders>
            <w:shd w:val="clear" w:color="000000" w:fill="FFFFFF"/>
            <w:noWrap/>
            <w:vAlign w:val="center"/>
            <w:hideMark/>
          </w:tcPr>
          <w:p w14:paraId="03E7666E"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72%, Rete: 223%, Nalo: 0%</w:t>
            </w:r>
          </w:p>
        </w:tc>
      </w:tr>
      <w:tr w:rsidR="00D24603" w:rsidRPr="00622422" w14:paraId="320052EB" w14:textId="77777777" w:rsidTr="00435936">
        <w:trPr>
          <w:trHeight w:val="20"/>
        </w:trPr>
        <w:tc>
          <w:tcPr>
            <w:tcW w:w="492" w:type="pct"/>
            <w:vMerge/>
            <w:tcBorders>
              <w:top w:val="nil"/>
              <w:left w:val="single" w:sz="4" w:space="0" w:color="auto"/>
              <w:bottom w:val="single" w:sz="4" w:space="0" w:color="000000"/>
              <w:right w:val="single" w:sz="4" w:space="0" w:color="auto"/>
            </w:tcBorders>
            <w:vAlign w:val="center"/>
            <w:hideMark/>
          </w:tcPr>
          <w:p w14:paraId="48058202"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4" w:type="pct"/>
            <w:tcBorders>
              <w:top w:val="nil"/>
              <w:left w:val="nil"/>
              <w:bottom w:val="single" w:sz="4" w:space="0" w:color="auto"/>
              <w:right w:val="single" w:sz="4" w:space="0" w:color="auto"/>
            </w:tcBorders>
            <w:shd w:val="clear" w:color="000000" w:fill="FFFFFF"/>
            <w:noWrap/>
            <w:vAlign w:val="center"/>
            <w:hideMark/>
          </w:tcPr>
          <w:p w14:paraId="165971BA"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1,280</w:t>
            </w:r>
          </w:p>
        </w:tc>
        <w:tc>
          <w:tcPr>
            <w:tcW w:w="564" w:type="pct"/>
            <w:tcBorders>
              <w:top w:val="nil"/>
              <w:left w:val="nil"/>
              <w:bottom w:val="single" w:sz="4" w:space="0" w:color="auto"/>
              <w:right w:val="single" w:sz="4" w:space="0" w:color="auto"/>
            </w:tcBorders>
            <w:shd w:val="clear" w:color="000000" w:fill="FFFFFF"/>
            <w:noWrap/>
            <w:vAlign w:val="center"/>
            <w:hideMark/>
          </w:tcPr>
          <w:p w14:paraId="006CAEBC"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0 [0%]</w:t>
            </w:r>
          </w:p>
        </w:tc>
        <w:tc>
          <w:tcPr>
            <w:tcW w:w="564" w:type="pct"/>
            <w:tcBorders>
              <w:top w:val="nil"/>
              <w:left w:val="nil"/>
              <w:bottom w:val="single" w:sz="4" w:space="0" w:color="auto"/>
              <w:right w:val="single" w:sz="4" w:space="0" w:color="auto"/>
            </w:tcBorders>
            <w:shd w:val="clear" w:color="000000" w:fill="FFFFFF"/>
            <w:noWrap/>
            <w:vAlign w:val="center"/>
            <w:hideMark/>
          </w:tcPr>
          <w:p w14:paraId="647824AE"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-47 [-4%]</w:t>
            </w:r>
          </w:p>
        </w:tc>
        <w:tc>
          <w:tcPr>
            <w:tcW w:w="564" w:type="pct"/>
            <w:tcBorders>
              <w:top w:val="nil"/>
              <w:left w:val="nil"/>
              <w:bottom w:val="single" w:sz="4" w:space="0" w:color="auto"/>
              <w:right w:val="single" w:sz="4" w:space="0" w:color="auto"/>
            </w:tcBorders>
            <w:shd w:val="clear" w:color="000000" w:fill="FFFFFF"/>
            <w:noWrap/>
            <w:vAlign w:val="center"/>
            <w:hideMark/>
          </w:tcPr>
          <w:p w14:paraId="702424DD"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-109 [-9%]</w:t>
            </w:r>
          </w:p>
        </w:tc>
        <w:tc>
          <w:tcPr>
            <w:tcW w:w="916" w:type="pct"/>
            <w:tcBorders>
              <w:top w:val="nil"/>
              <w:left w:val="nil"/>
              <w:bottom w:val="single" w:sz="4" w:space="0" w:color="auto"/>
              <w:right w:val="single" w:sz="4" w:space="0" w:color="auto"/>
            </w:tcBorders>
            <w:shd w:val="clear" w:color="000000" w:fill="FFFFFF"/>
            <w:noWrap/>
            <w:vAlign w:val="center"/>
            <w:hideMark/>
          </w:tcPr>
          <w:p w14:paraId="35A72F0B"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-172 [-13%]</w:t>
            </w:r>
          </w:p>
        </w:tc>
        <w:tc>
          <w:tcPr>
            <w:tcW w:w="1267" w:type="pct"/>
            <w:tcBorders>
              <w:top w:val="nil"/>
              <w:left w:val="nil"/>
              <w:bottom w:val="single" w:sz="4" w:space="0" w:color="auto"/>
              <w:right w:val="single" w:sz="4" w:space="0" w:color="auto"/>
            </w:tcBorders>
            <w:shd w:val="clear" w:color="000000" w:fill="FFFFFF"/>
            <w:noWrap/>
            <w:vAlign w:val="center"/>
            <w:hideMark/>
          </w:tcPr>
          <w:p w14:paraId="69C47D1B"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-172 [-13%]</w:t>
            </w:r>
          </w:p>
        </w:tc>
      </w:tr>
      <w:tr w:rsidR="00D24603" w:rsidRPr="00622422" w14:paraId="00FD754E" w14:textId="77777777" w:rsidTr="00435936">
        <w:trPr>
          <w:trHeight w:val="20"/>
        </w:trPr>
        <w:tc>
          <w:tcPr>
            <w:tcW w:w="4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179E09B"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13</w:t>
            </w:r>
          </w:p>
        </w:tc>
        <w:tc>
          <w:tcPr>
            <w:tcW w:w="634" w:type="pct"/>
            <w:tcBorders>
              <w:top w:val="nil"/>
              <w:left w:val="nil"/>
              <w:bottom w:val="nil"/>
              <w:right w:val="single" w:sz="4" w:space="0" w:color="auto"/>
            </w:tcBorders>
            <w:shd w:val="clear" w:color="000000" w:fill="FFFFFF"/>
            <w:noWrap/>
            <w:vAlign w:val="center"/>
            <w:hideMark/>
          </w:tcPr>
          <w:p w14:paraId="4BAA6EFA"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w:t>
            </w:r>
          </w:p>
        </w:tc>
        <w:tc>
          <w:tcPr>
            <w:tcW w:w="564" w:type="pct"/>
            <w:tcBorders>
              <w:top w:val="nil"/>
              <w:left w:val="nil"/>
              <w:bottom w:val="nil"/>
              <w:right w:val="single" w:sz="4" w:space="0" w:color="auto"/>
            </w:tcBorders>
            <w:shd w:val="clear" w:color="000000" w:fill="FFFFFF"/>
            <w:noWrap/>
            <w:vAlign w:val="center"/>
            <w:hideMark/>
          </w:tcPr>
          <w:p w14:paraId="64705066"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Nalo: 60%</w:t>
            </w:r>
          </w:p>
        </w:tc>
        <w:tc>
          <w:tcPr>
            <w:tcW w:w="564" w:type="pct"/>
            <w:tcBorders>
              <w:top w:val="nil"/>
              <w:left w:val="nil"/>
              <w:bottom w:val="nil"/>
              <w:right w:val="single" w:sz="4" w:space="0" w:color="auto"/>
            </w:tcBorders>
            <w:shd w:val="clear" w:color="000000" w:fill="FFFFFF"/>
            <w:noWrap/>
            <w:vAlign w:val="center"/>
            <w:hideMark/>
          </w:tcPr>
          <w:p w14:paraId="43C94241"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Rete: 143%</w:t>
            </w:r>
          </w:p>
        </w:tc>
        <w:tc>
          <w:tcPr>
            <w:tcW w:w="564" w:type="pct"/>
            <w:tcBorders>
              <w:top w:val="nil"/>
              <w:left w:val="nil"/>
              <w:bottom w:val="nil"/>
              <w:right w:val="single" w:sz="4" w:space="0" w:color="auto"/>
            </w:tcBorders>
            <w:shd w:val="clear" w:color="000000" w:fill="FFFFFF"/>
            <w:noWrap/>
            <w:vAlign w:val="center"/>
            <w:hideMark/>
          </w:tcPr>
          <w:p w14:paraId="1AFF925B"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188%</w:t>
            </w:r>
          </w:p>
        </w:tc>
        <w:tc>
          <w:tcPr>
            <w:tcW w:w="916" w:type="pct"/>
            <w:tcBorders>
              <w:top w:val="nil"/>
              <w:left w:val="nil"/>
              <w:bottom w:val="nil"/>
              <w:right w:val="single" w:sz="4" w:space="0" w:color="auto"/>
            </w:tcBorders>
            <w:shd w:val="clear" w:color="000000" w:fill="FFFFFF"/>
            <w:noWrap/>
            <w:vAlign w:val="center"/>
            <w:hideMark/>
          </w:tcPr>
          <w:p w14:paraId="599E5F42"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33%, Rete: 355%</w:t>
            </w:r>
          </w:p>
        </w:tc>
        <w:tc>
          <w:tcPr>
            <w:tcW w:w="1267" w:type="pct"/>
            <w:tcBorders>
              <w:top w:val="nil"/>
              <w:left w:val="nil"/>
              <w:bottom w:val="nil"/>
              <w:right w:val="single" w:sz="4" w:space="0" w:color="auto"/>
            </w:tcBorders>
            <w:shd w:val="clear" w:color="000000" w:fill="FFFFFF"/>
            <w:noWrap/>
            <w:vAlign w:val="center"/>
            <w:hideMark/>
          </w:tcPr>
          <w:p w14:paraId="2BB95BA4"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33%, Rete: 355%, Nalo: 60%</w:t>
            </w:r>
          </w:p>
        </w:tc>
      </w:tr>
      <w:tr w:rsidR="00D24603" w:rsidRPr="00622422" w14:paraId="06D14E7E" w14:textId="77777777" w:rsidTr="00435936">
        <w:trPr>
          <w:trHeight w:val="20"/>
        </w:trPr>
        <w:tc>
          <w:tcPr>
            <w:tcW w:w="492" w:type="pct"/>
            <w:vMerge/>
            <w:tcBorders>
              <w:top w:val="nil"/>
              <w:left w:val="single" w:sz="4" w:space="0" w:color="auto"/>
              <w:bottom w:val="single" w:sz="4" w:space="0" w:color="000000"/>
              <w:right w:val="single" w:sz="4" w:space="0" w:color="auto"/>
            </w:tcBorders>
            <w:vAlign w:val="center"/>
            <w:hideMark/>
          </w:tcPr>
          <w:p w14:paraId="1689D2D5"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4" w:type="pct"/>
            <w:tcBorders>
              <w:top w:val="nil"/>
              <w:left w:val="nil"/>
              <w:bottom w:val="single" w:sz="4" w:space="0" w:color="auto"/>
              <w:right w:val="single" w:sz="4" w:space="0" w:color="auto"/>
            </w:tcBorders>
            <w:shd w:val="clear" w:color="000000" w:fill="FFFFFF"/>
            <w:noWrap/>
            <w:vAlign w:val="center"/>
            <w:hideMark/>
          </w:tcPr>
          <w:p w14:paraId="4069F046"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727</w:t>
            </w:r>
          </w:p>
        </w:tc>
        <w:tc>
          <w:tcPr>
            <w:tcW w:w="564" w:type="pct"/>
            <w:tcBorders>
              <w:top w:val="nil"/>
              <w:left w:val="nil"/>
              <w:bottom w:val="single" w:sz="4" w:space="0" w:color="auto"/>
              <w:right w:val="single" w:sz="4" w:space="0" w:color="auto"/>
            </w:tcBorders>
            <w:shd w:val="clear" w:color="000000" w:fill="FFFFFF"/>
            <w:noWrap/>
            <w:vAlign w:val="center"/>
            <w:hideMark/>
          </w:tcPr>
          <w:p w14:paraId="3B3389EE"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-13 [-2%]</w:t>
            </w:r>
          </w:p>
        </w:tc>
        <w:tc>
          <w:tcPr>
            <w:tcW w:w="564" w:type="pct"/>
            <w:tcBorders>
              <w:top w:val="nil"/>
              <w:left w:val="nil"/>
              <w:bottom w:val="single" w:sz="4" w:space="0" w:color="auto"/>
              <w:right w:val="single" w:sz="4" w:space="0" w:color="auto"/>
            </w:tcBorders>
            <w:shd w:val="clear" w:color="000000" w:fill="FFFFFF"/>
            <w:noWrap/>
            <w:vAlign w:val="center"/>
            <w:hideMark/>
          </w:tcPr>
          <w:p w14:paraId="433F3F2F"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-49 [-7%]</w:t>
            </w:r>
          </w:p>
        </w:tc>
        <w:tc>
          <w:tcPr>
            <w:tcW w:w="564" w:type="pct"/>
            <w:tcBorders>
              <w:top w:val="nil"/>
              <w:left w:val="nil"/>
              <w:bottom w:val="single" w:sz="4" w:space="0" w:color="auto"/>
              <w:right w:val="single" w:sz="4" w:space="0" w:color="auto"/>
            </w:tcBorders>
            <w:shd w:val="clear" w:color="000000" w:fill="FFFFFF"/>
            <w:noWrap/>
            <w:vAlign w:val="center"/>
            <w:hideMark/>
          </w:tcPr>
          <w:p w14:paraId="6C67D21A"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-73 [-10%]</w:t>
            </w:r>
          </w:p>
        </w:tc>
        <w:tc>
          <w:tcPr>
            <w:tcW w:w="916" w:type="pct"/>
            <w:tcBorders>
              <w:top w:val="nil"/>
              <w:left w:val="nil"/>
              <w:bottom w:val="single" w:sz="4" w:space="0" w:color="auto"/>
              <w:right w:val="single" w:sz="4" w:space="0" w:color="auto"/>
            </w:tcBorders>
            <w:shd w:val="clear" w:color="000000" w:fill="FFFFFF"/>
            <w:noWrap/>
            <w:vAlign w:val="center"/>
            <w:hideMark/>
          </w:tcPr>
          <w:p w14:paraId="65F41C17"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-134 [-18%]</w:t>
            </w:r>
          </w:p>
        </w:tc>
        <w:tc>
          <w:tcPr>
            <w:tcW w:w="1267" w:type="pct"/>
            <w:tcBorders>
              <w:top w:val="nil"/>
              <w:left w:val="nil"/>
              <w:bottom w:val="single" w:sz="4" w:space="0" w:color="auto"/>
              <w:right w:val="single" w:sz="4" w:space="0" w:color="auto"/>
            </w:tcBorders>
            <w:shd w:val="clear" w:color="000000" w:fill="FFFFFF"/>
            <w:noWrap/>
            <w:vAlign w:val="center"/>
            <w:hideMark/>
          </w:tcPr>
          <w:p w14:paraId="60E686E1"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-144 [-20%]</w:t>
            </w:r>
          </w:p>
        </w:tc>
      </w:tr>
      <w:tr w:rsidR="00D24603" w:rsidRPr="00622422" w14:paraId="3BF34259" w14:textId="77777777" w:rsidTr="00435936">
        <w:trPr>
          <w:trHeight w:val="20"/>
        </w:trPr>
        <w:tc>
          <w:tcPr>
            <w:tcW w:w="4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6BCE8B4"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14</w:t>
            </w:r>
          </w:p>
        </w:tc>
        <w:tc>
          <w:tcPr>
            <w:tcW w:w="634" w:type="pct"/>
            <w:tcBorders>
              <w:top w:val="nil"/>
              <w:left w:val="nil"/>
              <w:bottom w:val="nil"/>
              <w:right w:val="single" w:sz="4" w:space="0" w:color="auto"/>
            </w:tcBorders>
            <w:shd w:val="clear" w:color="000000" w:fill="FFFFFF"/>
            <w:noWrap/>
            <w:vAlign w:val="center"/>
            <w:hideMark/>
          </w:tcPr>
          <w:p w14:paraId="38380C52"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w:t>
            </w:r>
          </w:p>
        </w:tc>
        <w:tc>
          <w:tcPr>
            <w:tcW w:w="564" w:type="pct"/>
            <w:tcBorders>
              <w:top w:val="nil"/>
              <w:left w:val="nil"/>
              <w:bottom w:val="nil"/>
              <w:right w:val="single" w:sz="4" w:space="0" w:color="auto"/>
            </w:tcBorders>
            <w:shd w:val="clear" w:color="000000" w:fill="FFFFFF"/>
            <w:noWrap/>
            <w:vAlign w:val="center"/>
            <w:hideMark/>
          </w:tcPr>
          <w:p w14:paraId="593D71D7"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Nalo: 0%</w:t>
            </w:r>
          </w:p>
        </w:tc>
        <w:tc>
          <w:tcPr>
            <w:tcW w:w="564" w:type="pct"/>
            <w:tcBorders>
              <w:top w:val="nil"/>
              <w:left w:val="nil"/>
              <w:bottom w:val="nil"/>
              <w:right w:val="single" w:sz="4" w:space="0" w:color="auto"/>
            </w:tcBorders>
            <w:shd w:val="clear" w:color="000000" w:fill="FFFFFF"/>
            <w:noWrap/>
            <w:vAlign w:val="center"/>
            <w:hideMark/>
          </w:tcPr>
          <w:p w14:paraId="25452CF5"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Rete: 64%</w:t>
            </w:r>
          </w:p>
        </w:tc>
        <w:tc>
          <w:tcPr>
            <w:tcW w:w="564" w:type="pct"/>
            <w:tcBorders>
              <w:top w:val="nil"/>
              <w:left w:val="nil"/>
              <w:bottom w:val="nil"/>
              <w:right w:val="single" w:sz="4" w:space="0" w:color="auto"/>
            </w:tcBorders>
            <w:shd w:val="clear" w:color="000000" w:fill="FFFFFF"/>
            <w:noWrap/>
            <w:vAlign w:val="center"/>
            <w:hideMark/>
          </w:tcPr>
          <w:p w14:paraId="69DA8366"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238%</w:t>
            </w:r>
          </w:p>
        </w:tc>
        <w:tc>
          <w:tcPr>
            <w:tcW w:w="916" w:type="pct"/>
            <w:tcBorders>
              <w:top w:val="nil"/>
              <w:left w:val="nil"/>
              <w:bottom w:val="nil"/>
              <w:right w:val="single" w:sz="4" w:space="0" w:color="auto"/>
            </w:tcBorders>
            <w:shd w:val="clear" w:color="000000" w:fill="FFFFFF"/>
            <w:noWrap/>
            <w:vAlign w:val="center"/>
            <w:hideMark/>
          </w:tcPr>
          <w:p w14:paraId="7EEFDC6F"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125%, Rete: 327%</w:t>
            </w:r>
          </w:p>
        </w:tc>
        <w:tc>
          <w:tcPr>
            <w:tcW w:w="1267" w:type="pct"/>
            <w:tcBorders>
              <w:top w:val="nil"/>
              <w:left w:val="nil"/>
              <w:bottom w:val="nil"/>
              <w:right w:val="single" w:sz="4" w:space="0" w:color="auto"/>
            </w:tcBorders>
            <w:shd w:val="clear" w:color="000000" w:fill="FFFFFF"/>
            <w:noWrap/>
            <w:vAlign w:val="center"/>
            <w:hideMark/>
          </w:tcPr>
          <w:p w14:paraId="52E87C3E"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125%, Rete: 327%, Nalo: 0%</w:t>
            </w:r>
          </w:p>
        </w:tc>
      </w:tr>
      <w:tr w:rsidR="00D24603" w:rsidRPr="00622422" w14:paraId="059D594D" w14:textId="77777777" w:rsidTr="00435936">
        <w:trPr>
          <w:trHeight w:val="20"/>
        </w:trPr>
        <w:tc>
          <w:tcPr>
            <w:tcW w:w="492" w:type="pct"/>
            <w:vMerge/>
            <w:tcBorders>
              <w:top w:val="nil"/>
              <w:left w:val="single" w:sz="4" w:space="0" w:color="auto"/>
              <w:bottom w:val="single" w:sz="4" w:space="0" w:color="000000"/>
              <w:right w:val="single" w:sz="4" w:space="0" w:color="auto"/>
            </w:tcBorders>
            <w:vAlign w:val="center"/>
            <w:hideMark/>
          </w:tcPr>
          <w:p w14:paraId="7E45126A"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4" w:type="pct"/>
            <w:tcBorders>
              <w:top w:val="nil"/>
              <w:left w:val="nil"/>
              <w:bottom w:val="single" w:sz="4" w:space="0" w:color="auto"/>
              <w:right w:val="single" w:sz="4" w:space="0" w:color="auto"/>
            </w:tcBorders>
            <w:shd w:val="clear" w:color="000000" w:fill="FFFFFF"/>
            <w:noWrap/>
            <w:vAlign w:val="center"/>
            <w:hideMark/>
          </w:tcPr>
          <w:p w14:paraId="3AE074A7"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791</w:t>
            </w:r>
          </w:p>
        </w:tc>
        <w:tc>
          <w:tcPr>
            <w:tcW w:w="564" w:type="pct"/>
            <w:tcBorders>
              <w:top w:val="nil"/>
              <w:left w:val="nil"/>
              <w:bottom w:val="single" w:sz="4" w:space="0" w:color="auto"/>
              <w:right w:val="single" w:sz="4" w:space="0" w:color="auto"/>
            </w:tcBorders>
            <w:shd w:val="clear" w:color="000000" w:fill="FFFFFF"/>
            <w:noWrap/>
            <w:vAlign w:val="center"/>
            <w:hideMark/>
          </w:tcPr>
          <w:p w14:paraId="4FE80628"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0 [0%]</w:t>
            </w:r>
          </w:p>
        </w:tc>
        <w:tc>
          <w:tcPr>
            <w:tcW w:w="564" w:type="pct"/>
            <w:tcBorders>
              <w:top w:val="nil"/>
              <w:left w:val="nil"/>
              <w:bottom w:val="single" w:sz="4" w:space="0" w:color="auto"/>
              <w:right w:val="single" w:sz="4" w:space="0" w:color="auto"/>
            </w:tcBorders>
            <w:shd w:val="clear" w:color="000000" w:fill="FFFFFF"/>
            <w:noWrap/>
            <w:vAlign w:val="center"/>
            <w:hideMark/>
          </w:tcPr>
          <w:p w14:paraId="1340FE0E"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-25 [-3%]</w:t>
            </w:r>
          </w:p>
        </w:tc>
        <w:tc>
          <w:tcPr>
            <w:tcW w:w="564" w:type="pct"/>
            <w:tcBorders>
              <w:top w:val="nil"/>
              <w:left w:val="nil"/>
              <w:bottom w:val="single" w:sz="4" w:space="0" w:color="auto"/>
              <w:right w:val="single" w:sz="4" w:space="0" w:color="auto"/>
            </w:tcBorders>
            <w:shd w:val="clear" w:color="000000" w:fill="FFFFFF"/>
            <w:noWrap/>
            <w:vAlign w:val="center"/>
            <w:hideMark/>
          </w:tcPr>
          <w:p w14:paraId="3F5F2A8A"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-85 [-11%]</w:t>
            </w:r>
          </w:p>
        </w:tc>
        <w:tc>
          <w:tcPr>
            <w:tcW w:w="916" w:type="pct"/>
            <w:tcBorders>
              <w:top w:val="nil"/>
              <w:left w:val="nil"/>
              <w:bottom w:val="single" w:sz="4" w:space="0" w:color="auto"/>
              <w:right w:val="single" w:sz="4" w:space="0" w:color="auto"/>
            </w:tcBorders>
            <w:shd w:val="clear" w:color="000000" w:fill="FFFFFF"/>
            <w:noWrap/>
            <w:vAlign w:val="center"/>
            <w:hideMark/>
          </w:tcPr>
          <w:p w14:paraId="40EFC69A"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-127 [-16%]</w:t>
            </w:r>
          </w:p>
        </w:tc>
        <w:tc>
          <w:tcPr>
            <w:tcW w:w="1267" w:type="pct"/>
            <w:tcBorders>
              <w:top w:val="nil"/>
              <w:left w:val="nil"/>
              <w:bottom w:val="single" w:sz="4" w:space="0" w:color="auto"/>
              <w:right w:val="single" w:sz="4" w:space="0" w:color="auto"/>
            </w:tcBorders>
            <w:shd w:val="clear" w:color="000000" w:fill="FFFFFF"/>
            <w:noWrap/>
            <w:vAlign w:val="center"/>
            <w:hideMark/>
          </w:tcPr>
          <w:p w14:paraId="49A2CCF3"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-127 [-16%]</w:t>
            </w:r>
          </w:p>
        </w:tc>
      </w:tr>
      <w:tr w:rsidR="00D24603" w:rsidRPr="00622422" w14:paraId="5A50D2BA" w14:textId="77777777" w:rsidTr="00435936">
        <w:trPr>
          <w:trHeight w:val="20"/>
        </w:trPr>
        <w:tc>
          <w:tcPr>
            <w:tcW w:w="4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0779C58"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15</w:t>
            </w:r>
          </w:p>
        </w:tc>
        <w:tc>
          <w:tcPr>
            <w:tcW w:w="634" w:type="pct"/>
            <w:tcBorders>
              <w:top w:val="nil"/>
              <w:left w:val="nil"/>
              <w:bottom w:val="nil"/>
              <w:right w:val="single" w:sz="4" w:space="0" w:color="auto"/>
            </w:tcBorders>
            <w:shd w:val="clear" w:color="000000" w:fill="FFFFFF"/>
            <w:noWrap/>
            <w:vAlign w:val="center"/>
            <w:hideMark/>
          </w:tcPr>
          <w:p w14:paraId="07B58662"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w:t>
            </w:r>
          </w:p>
        </w:tc>
        <w:tc>
          <w:tcPr>
            <w:tcW w:w="564" w:type="pct"/>
            <w:tcBorders>
              <w:top w:val="nil"/>
              <w:left w:val="nil"/>
              <w:bottom w:val="nil"/>
              <w:right w:val="single" w:sz="4" w:space="0" w:color="auto"/>
            </w:tcBorders>
            <w:shd w:val="clear" w:color="000000" w:fill="FFFFFF"/>
            <w:noWrap/>
            <w:vAlign w:val="center"/>
            <w:hideMark/>
          </w:tcPr>
          <w:p w14:paraId="59F109BC"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Nalo: 6%</w:t>
            </w:r>
          </w:p>
        </w:tc>
        <w:tc>
          <w:tcPr>
            <w:tcW w:w="564" w:type="pct"/>
            <w:tcBorders>
              <w:top w:val="nil"/>
              <w:left w:val="nil"/>
              <w:bottom w:val="nil"/>
              <w:right w:val="single" w:sz="4" w:space="0" w:color="auto"/>
            </w:tcBorders>
            <w:shd w:val="clear" w:color="000000" w:fill="FFFFFF"/>
            <w:noWrap/>
            <w:vAlign w:val="center"/>
            <w:hideMark/>
          </w:tcPr>
          <w:p w14:paraId="0F0F561E"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Rete: 61%</w:t>
            </w:r>
          </w:p>
        </w:tc>
        <w:tc>
          <w:tcPr>
            <w:tcW w:w="564" w:type="pct"/>
            <w:tcBorders>
              <w:top w:val="nil"/>
              <w:left w:val="nil"/>
              <w:bottom w:val="nil"/>
              <w:right w:val="single" w:sz="4" w:space="0" w:color="auto"/>
            </w:tcBorders>
            <w:shd w:val="clear" w:color="000000" w:fill="FFFFFF"/>
            <w:noWrap/>
            <w:vAlign w:val="center"/>
            <w:hideMark/>
          </w:tcPr>
          <w:p w14:paraId="5A676C67"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209%</w:t>
            </w:r>
          </w:p>
        </w:tc>
        <w:tc>
          <w:tcPr>
            <w:tcW w:w="916" w:type="pct"/>
            <w:tcBorders>
              <w:top w:val="nil"/>
              <w:left w:val="nil"/>
              <w:bottom w:val="nil"/>
              <w:right w:val="single" w:sz="4" w:space="0" w:color="auto"/>
            </w:tcBorders>
            <w:shd w:val="clear" w:color="000000" w:fill="FFFFFF"/>
            <w:noWrap/>
            <w:vAlign w:val="center"/>
            <w:hideMark/>
          </w:tcPr>
          <w:p w14:paraId="4CB68B67"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110%, Rete: 292%</w:t>
            </w:r>
          </w:p>
        </w:tc>
        <w:tc>
          <w:tcPr>
            <w:tcW w:w="1267" w:type="pct"/>
            <w:tcBorders>
              <w:top w:val="nil"/>
              <w:left w:val="nil"/>
              <w:bottom w:val="nil"/>
              <w:right w:val="single" w:sz="4" w:space="0" w:color="auto"/>
            </w:tcBorders>
            <w:shd w:val="clear" w:color="000000" w:fill="FFFFFF"/>
            <w:noWrap/>
            <w:vAlign w:val="center"/>
            <w:hideMark/>
          </w:tcPr>
          <w:p w14:paraId="120EBC0C"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110%, Rete: 292%, Nalo: 6%</w:t>
            </w:r>
          </w:p>
        </w:tc>
      </w:tr>
      <w:tr w:rsidR="00D24603" w:rsidRPr="00622422" w14:paraId="72EC6B9C" w14:textId="77777777" w:rsidTr="00435936">
        <w:trPr>
          <w:trHeight w:val="20"/>
        </w:trPr>
        <w:tc>
          <w:tcPr>
            <w:tcW w:w="492" w:type="pct"/>
            <w:vMerge/>
            <w:tcBorders>
              <w:top w:val="nil"/>
              <w:left w:val="single" w:sz="4" w:space="0" w:color="auto"/>
              <w:bottom w:val="single" w:sz="4" w:space="0" w:color="000000"/>
              <w:right w:val="single" w:sz="4" w:space="0" w:color="auto"/>
            </w:tcBorders>
            <w:vAlign w:val="center"/>
            <w:hideMark/>
          </w:tcPr>
          <w:p w14:paraId="69B11684"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4" w:type="pct"/>
            <w:tcBorders>
              <w:top w:val="nil"/>
              <w:left w:val="nil"/>
              <w:bottom w:val="single" w:sz="4" w:space="0" w:color="auto"/>
              <w:right w:val="single" w:sz="4" w:space="0" w:color="auto"/>
            </w:tcBorders>
            <w:shd w:val="clear" w:color="000000" w:fill="FFFFFF"/>
            <w:noWrap/>
            <w:vAlign w:val="center"/>
            <w:hideMark/>
          </w:tcPr>
          <w:p w14:paraId="49B9A3D7"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673</w:t>
            </w:r>
          </w:p>
        </w:tc>
        <w:tc>
          <w:tcPr>
            <w:tcW w:w="564" w:type="pct"/>
            <w:tcBorders>
              <w:top w:val="nil"/>
              <w:left w:val="nil"/>
              <w:bottom w:val="single" w:sz="4" w:space="0" w:color="auto"/>
              <w:right w:val="single" w:sz="4" w:space="0" w:color="auto"/>
            </w:tcBorders>
            <w:shd w:val="clear" w:color="000000" w:fill="FFFFFF"/>
            <w:noWrap/>
            <w:vAlign w:val="center"/>
            <w:hideMark/>
          </w:tcPr>
          <w:p w14:paraId="71CF396E"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0 [0%]</w:t>
            </w:r>
          </w:p>
        </w:tc>
        <w:tc>
          <w:tcPr>
            <w:tcW w:w="564" w:type="pct"/>
            <w:tcBorders>
              <w:top w:val="nil"/>
              <w:left w:val="nil"/>
              <w:bottom w:val="single" w:sz="4" w:space="0" w:color="auto"/>
              <w:right w:val="single" w:sz="4" w:space="0" w:color="auto"/>
            </w:tcBorders>
            <w:shd w:val="clear" w:color="000000" w:fill="FFFFFF"/>
            <w:noWrap/>
            <w:vAlign w:val="center"/>
            <w:hideMark/>
          </w:tcPr>
          <w:p w14:paraId="35DB385B"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-18 [-3%]</w:t>
            </w:r>
          </w:p>
        </w:tc>
        <w:tc>
          <w:tcPr>
            <w:tcW w:w="564" w:type="pct"/>
            <w:tcBorders>
              <w:top w:val="nil"/>
              <w:left w:val="nil"/>
              <w:bottom w:val="single" w:sz="4" w:space="0" w:color="auto"/>
              <w:right w:val="single" w:sz="4" w:space="0" w:color="auto"/>
            </w:tcBorders>
            <w:shd w:val="clear" w:color="000000" w:fill="FFFFFF"/>
            <w:noWrap/>
            <w:vAlign w:val="center"/>
            <w:hideMark/>
          </w:tcPr>
          <w:p w14:paraId="360DDD97"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-67 [-10%]</w:t>
            </w:r>
          </w:p>
        </w:tc>
        <w:tc>
          <w:tcPr>
            <w:tcW w:w="916" w:type="pct"/>
            <w:tcBorders>
              <w:top w:val="nil"/>
              <w:left w:val="nil"/>
              <w:bottom w:val="single" w:sz="4" w:space="0" w:color="auto"/>
              <w:right w:val="single" w:sz="4" w:space="0" w:color="auto"/>
            </w:tcBorders>
            <w:shd w:val="clear" w:color="000000" w:fill="FFFFFF"/>
            <w:noWrap/>
            <w:vAlign w:val="center"/>
            <w:hideMark/>
          </w:tcPr>
          <w:p w14:paraId="4CFABE39"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-95 [-14%]</w:t>
            </w:r>
          </w:p>
        </w:tc>
        <w:tc>
          <w:tcPr>
            <w:tcW w:w="1267" w:type="pct"/>
            <w:tcBorders>
              <w:top w:val="nil"/>
              <w:left w:val="nil"/>
              <w:bottom w:val="single" w:sz="4" w:space="0" w:color="auto"/>
              <w:right w:val="single" w:sz="4" w:space="0" w:color="auto"/>
            </w:tcBorders>
            <w:shd w:val="clear" w:color="000000" w:fill="FFFFFF"/>
            <w:noWrap/>
            <w:vAlign w:val="center"/>
            <w:hideMark/>
          </w:tcPr>
          <w:p w14:paraId="4A607EC7"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-95 [-14%]</w:t>
            </w:r>
          </w:p>
        </w:tc>
      </w:tr>
      <w:tr w:rsidR="00D24603" w:rsidRPr="00622422" w14:paraId="0369DDB3" w14:textId="77777777" w:rsidTr="00435936">
        <w:trPr>
          <w:trHeight w:val="20"/>
        </w:trPr>
        <w:tc>
          <w:tcPr>
            <w:tcW w:w="4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2E93F46"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16</w:t>
            </w:r>
          </w:p>
        </w:tc>
        <w:tc>
          <w:tcPr>
            <w:tcW w:w="634" w:type="pct"/>
            <w:tcBorders>
              <w:top w:val="nil"/>
              <w:left w:val="nil"/>
              <w:bottom w:val="nil"/>
              <w:right w:val="single" w:sz="4" w:space="0" w:color="auto"/>
            </w:tcBorders>
            <w:shd w:val="clear" w:color="000000" w:fill="FFFFFF"/>
            <w:noWrap/>
            <w:vAlign w:val="center"/>
            <w:hideMark/>
          </w:tcPr>
          <w:p w14:paraId="792D4727"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w:t>
            </w:r>
          </w:p>
        </w:tc>
        <w:tc>
          <w:tcPr>
            <w:tcW w:w="564" w:type="pct"/>
            <w:tcBorders>
              <w:top w:val="nil"/>
              <w:left w:val="nil"/>
              <w:bottom w:val="nil"/>
              <w:right w:val="single" w:sz="4" w:space="0" w:color="auto"/>
            </w:tcBorders>
            <w:shd w:val="clear" w:color="000000" w:fill="FFFFFF"/>
            <w:noWrap/>
            <w:vAlign w:val="center"/>
            <w:hideMark/>
          </w:tcPr>
          <w:p w14:paraId="590FA491"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Nalo: 114%</w:t>
            </w:r>
          </w:p>
        </w:tc>
        <w:tc>
          <w:tcPr>
            <w:tcW w:w="564" w:type="pct"/>
            <w:tcBorders>
              <w:top w:val="nil"/>
              <w:left w:val="nil"/>
              <w:bottom w:val="nil"/>
              <w:right w:val="single" w:sz="4" w:space="0" w:color="auto"/>
            </w:tcBorders>
            <w:shd w:val="clear" w:color="000000" w:fill="FFFFFF"/>
            <w:noWrap/>
            <w:vAlign w:val="center"/>
            <w:hideMark/>
          </w:tcPr>
          <w:p w14:paraId="48294330"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Rete: 41%</w:t>
            </w:r>
          </w:p>
        </w:tc>
        <w:tc>
          <w:tcPr>
            <w:tcW w:w="564" w:type="pct"/>
            <w:tcBorders>
              <w:top w:val="nil"/>
              <w:left w:val="nil"/>
              <w:bottom w:val="nil"/>
              <w:right w:val="single" w:sz="4" w:space="0" w:color="auto"/>
            </w:tcBorders>
            <w:shd w:val="clear" w:color="000000" w:fill="FFFFFF"/>
            <w:noWrap/>
            <w:vAlign w:val="center"/>
            <w:hideMark/>
          </w:tcPr>
          <w:p w14:paraId="72037395"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76%</w:t>
            </w:r>
          </w:p>
        </w:tc>
        <w:tc>
          <w:tcPr>
            <w:tcW w:w="916" w:type="pct"/>
            <w:tcBorders>
              <w:top w:val="nil"/>
              <w:left w:val="nil"/>
              <w:bottom w:val="nil"/>
              <w:right w:val="single" w:sz="4" w:space="0" w:color="auto"/>
            </w:tcBorders>
            <w:shd w:val="clear" w:color="000000" w:fill="FFFFFF"/>
            <w:noWrap/>
            <w:vAlign w:val="center"/>
            <w:hideMark/>
          </w:tcPr>
          <w:p w14:paraId="09761198"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26%, Rete: 118%</w:t>
            </w:r>
          </w:p>
        </w:tc>
        <w:tc>
          <w:tcPr>
            <w:tcW w:w="1267" w:type="pct"/>
            <w:tcBorders>
              <w:top w:val="nil"/>
              <w:left w:val="nil"/>
              <w:bottom w:val="nil"/>
              <w:right w:val="single" w:sz="4" w:space="0" w:color="auto"/>
            </w:tcBorders>
            <w:shd w:val="clear" w:color="000000" w:fill="FFFFFF"/>
            <w:noWrap/>
            <w:vAlign w:val="center"/>
            <w:hideMark/>
          </w:tcPr>
          <w:p w14:paraId="118DAE71"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26%, Rete: 118%, Nalo: 114%</w:t>
            </w:r>
          </w:p>
        </w:tc>
      </w:tr>
      <w:tr w:rsidR="00D24603" w:rsidRPr="00622422" w14:paraId="1346C961" w14:textId="77777777" w:rsidTr="00435936">
        <w:trPr>
          <w:trHeight w:val="20"/>
        </w:trPr>
        <w:tc>
          <w:tcPr>
            <w:tcW w:w="492" w:type="pct"/>
            <w:vMerge/>
            <w:tcBorders>
              <w:top w:val="nil"/>
              <w:left w:val="single" w:sz="4" w:space="0" w:color="auto"/>
              <w:bottom w:val="single" w:sz="4" w:space="0" w:color="000000"/>
              <w:right w:val="single" w:sz="4" w:space="0" w:color="auto"/>
            </w:tcBorders>
            <w:vAlign w:val="center"/>
            <w:hideMark/>
          </w:tcPr>
          <w:p w14:paraId="0F6ADBCB"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4" w:type="pct"/>
            <w:tcBorders>
              <w:top w:val="nil"/>
              <w:left w:val="nil"/>
              <w:bottom w:val="single" w:sz="4" w:space="0" w:color="auto"/>
              <w:right w:val="single" w:sz="4" w:space="0" w:color="auto"/>
            </w:tcBorders>
            <w:shd w:val="clear" w:color="000000" w:fill="FFFFFF"/>
            <w:noWrap/>
            <w:vAlign w:val="center"/>
            <w:hideMark/>
          </w:tcPr>
          <w:p w14:paraId="117EC454"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577</w:t>
            </w:r>
          </w:p>
        </w:tc>
        <w:tc>
          <w:tcPr>
            <w:tcW w:w="564" w:type="pct"/>
            <w:tcBorders>
              <w:top w:val="nil"/>
              <w:left w:val="nil"/>
              <w:bottom w:val="single" w:sz="4" w:space="0" w:color="auto"/>
              <w:right w:val="single" w:sz="4" w:space="0" w:color="auto"/>
            </w:tcBorders>
            <w:shd w:val="clear" w:color="000000" w:fill="FFFFFF"/>
            <w:noWrap/>
            <w:vAlign w:val="center"/>
            <w:hideMark/>
          </w:tcPr>
          <w:p w14:paraId="473E8C3A"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-17 [-3%]</w:t>
            </w:r>
          </w:p>
        </w:tc>
        <w:tc>
          <w:tcPr>
            <w:tcW w:w="564" w:type="pct"/>
            <w:tcBorders>
              <w:top w:val="nil"/>
              <w:left w:val="nil"/>
              <w:bottom w:val="single" w:sz="4" w:space="0" w:color="auto"/>
              <w:right w:val="single" w:sz="4" w:space="0" w:color="auto"/>
            </w:tcBorders>
            <w:shd w:val="clear" w:color="000000" w:fill="FFFFFF"/>
            <w:noWrap/>
            <w:vAlign w:val="center"/>
            <w:hideMark/>
          </w:tcPr>
          <w:p w14:paraId="45967260"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-18 [-3%]</w:t>
            </w:r>
          </w:p>
        </w:tc>
        <w:tc>
          <w:tcPr>
            <w:tcW w:w="564" w:type="pct"/>
            <w:tcBorders>
              <w:top w:val="nil"/>
              <w:left w:val="nil"/>
              <w:bottom w:val="single" w:sz="4" w:space="0" w:color="auto"/>
              <w:right w:val="single" w:sz="4" w:space="0" w:color="auto"/>
            </w:tcBorders>
            <w:shd w:val="clear" w:color="000000" w:fill="FFFFFF"/>
            <w:noWrap/>
            <w:vAlign w:val="center"/>
            <w:hideMark/>
          </w:tcPr>
          <w:p w14:paraId="37AE9688"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-35 [-6%]</w:t>
            </w:r>
          </w:p>
        </w:tc>
        <w:tc>
          <w:tcPr>
            <w:tcW w:w="916" w:type="pct"/>
            <w:tcBorders>
              <w:top w:val="nil"/>
              <w:left w:val="nil"/>
              <w:bottom w:val="single" w:sz="4" w:space="0" w:color="auto"/>
              <w:right w:val="single" w:sz="4" w:space="0" w:color="auto"/>
            </w:tcBorders>
            <w:shd w:val="clear" w:color="000000" w:fill="FFFFFF"/>
            <w:noWrap/>
            <w:vAlign w:val="center"/>
            <w:hideMark/>
          </w:tcPr>
          <w:p w14:paraId="3FD1A816"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-55 [-10%]</w:t>
            </w:r>
          </w:p>
        </w:tc>
        <w:tc>
          <w:tcPr>
            <w:tcW w:w="1267" w:type="pct"/>
            <w:tcBorders>
              <w:top w:val="nil"/>
              <w:left w:val="nil"/>
              <w:bottom w:val="single" w:sz="4" w:space="0" w:color="auto"/>
              <w:right w:val="single" w:sz="4" w:space="0" w:color="auto"/>
            </w:tcBorders>
            <w:shd w:val="clear" w:color="000000" w:fill="FFFFFF"/>
            <w:noWrap/>
            <w:vAlign w:val="center"/>
            <w:hideMark/>
          </w:tcPr>
          <w:p w14:paraId="692A352C"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-69 [-12%]</w:t>
            </w:r>
          </w:p>
        </w:tc>
      </w:tr>
      <w:tr w:rsidR="00D24603" w:rsidRPr="00622422" w14:paraId="11F87446" w14:textId="77777777" w:rsidTr="00435936">
        <w:trPr>
          <w:trHeight w:val="20"/>
        </w:trPr>
        <w:tc>
          <w:tcPr>
            <w:tcW w:w="4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DA85366"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17</w:t>
            </w:r>
          </w:p>
        </w:tc>
        <w:tc>
          <w:tcPr>
            <w:tcW w:w="634" w:type="pct"/>
            <w:tcBorders>
              <w:top w:val="nil"/>
              <w:left w:val="nil"/>
              <w:bottom w:val="nil"/>
              <w:right w:val="single" w:sz="4" w:space="0" w:color="auto"/>
            </w:tcBorders>
            <w:shd w:val="clear" w:color="000000" w:fill="FFFFFF"/>
            <w:noWrap/>
            <w:vAlign w:val="center"/>
            <w:hideMark/>
          </w:tcPr>
          <w:p w14:paraId="5D943CA1"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w:t>
            </w:r>
          </w:p>
        </w:tc>
        <w:tc>
          <w:tcPr>
            <w:tcW w:w="564" w:type="pct"/>
            <w:tcBorders>
              <w:top w:val="nil"/>
              <w:left w:val="nil"/>
              <w:bottom w:val="nil"/>
              <w:right w:val="single" w:sz="4" w:space="0" w:color="auto"/>
            </w:tcBorders>
            <w:shd w:val="clear" w:color="000000" w:fill="FFFFFF"/>
            <w:noWrap/>
            <w:vAlign w:val="center"/>
            <w:hideMark/>
          </w:tcPr>
          <w:p w14:paraId="1AE6DEC2"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Nalo: 0%</w:t>
            </w:r>
          </w:p>
        </w:tc>
        <w:tc>
          <w:tcPr>
            <w:tcW w:w="564" w:type="pct"/>
            <w:tcBorders>
              <w:top w:val="nil"/>
              <w:left w:val="nil"/>
              <w:bottom w:val="nil"/>
              <w:right w:val="single" w:sz="4" w:space="0" w:color="auto"/>
            </w:tcBorders>
            <w:shd w:val="clear" w:color="000000" w:fill="FFFFFF"/>
            <w:noWrap/>
            <w:vAlign w:val="center"/>
            <w:hideMark/>
          </w:tcPr>
          <w:p w14:paraId="25FC6C07"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Rete: 135%</w:t>
            </w:r>
          </w:p>
        </w:tc>
        <w:tc>
          <w:tcPr>
            <w:tcW w:w="564" w:type="pct"/>
            <w:tcBorders>
              <w:top w:val="nil"/>
              <w:left w:val="nil"/>
              <w:bottom w:val="nil"/>
              <w:right w:val="single" w:sz="4" w:space="0" w:color="auto"/>
            </w:tcBorders>
            <w:shd w:val="clear" w:color="000000" w:fill="FFFFFF"/>
            <w:noWrap/>
            <w:vAlign w:val="center"/>
            <w:hideMark/>
          </w:tcPr>
          <w:p w14:paraId="5FC9212E"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141%</w:t>
            </w:r>
          </w:p>
        </w:tc>
        <w:tc>
          <w:tcPr>
            <w:tcW w:w="916" w:type="pct"/>
            <w:tcBorders>
              <w:top w:val="nil"/>
              <w:left w:val="nil"/>
              <w:bottom w:val="nil"/>
              <w:right w:val="single" w:sz="4" w:space="0" w:color="auto"/>
            </w:tcBorders>
            <w:shd w:val="clear" w:color="000000" w:fill="FFFFFF"/>
            <w:noWrap/>
            <w:vAlign w:val="center"/>
            <w:hideMark/>
          </w:tcPr>
          <w:p w14:paraId="420ADD58"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30%, Rete: 315%</w:t>
            </w:r>
          </w:p>
        </w:tc>
        <w:tc>
          <w:tcPr>
            <w:tcW w:w="1267" w:type="pct"/>
            <w:tcBorders>
              <w:top w:val="nil"/>
              <w:left w:val="nil"/>
              <w:bottom w:val="nil"/>
              <w:right w:val="single" w:sz="4" w:space="0" w:color="auto"/>
            </w:tcBorders>
            <w:shd w:val="clear" w:color="000000" w:fill="FFFFFF"/>
            <w:noWrap/>
            <w:vAlign w:val="center"/>
            <w:hideMark/>
          </w:tcPr>
          <w:p w14:paraId="35DA4792"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30%, Rete: 315%, Nalo: 0%</w:t>
            </w:r>
          </w:p>
        </w:tc>
      </w:tr>
      <w:tr w:rsidR="00D24603" w:rsidRPr="00622422" w14:paraId="5FDFB3CE" w14:textId="77777777" w:rsidTr="00435936">
        <w:trPr>
          <w:trHeight w:val="20"/>
        </w:trPr>
        <w:tc>
          <w:tcPr>
            <w:tcW w:w="492" w:type="pct"/>
            <w:vMerge/>
            <w:tcBorders>
              <w:top w:val="nil"/>
              <w:left w:val="single" w:sz="4" w:space="0" w:color="auto"/>
              <w:bottom w:val="single" w:sz="4" w:space="0" w:color="000000"/>
              <w:right w:val="single" w:sz="4" w:space="0" w:color="auto"/>
            </w:tcBorders>
            <w:vAlign w:val="center"/>
            <w:hideMark/>
          </w:tcPr>
          <w:p w14:paraId="039158CE"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4" w:type="pct"/>
            <w:tcBorders>
              <w:top w:val="nil"/>
              <w:left w:val="nil"/>
              <w:bottom w:val="single" w:sz="4" w:space="0" w:color="auto"/>
              <w:right w:val="single" w:sz="4" w:space="0" w:color="auto"/>
            </w:tcBorders>
            <w:shd w:val="clear" w:color="000000" w:fill="FFFFFF"/>
            <w:noWrap/>
            <w:vAlign w:val="center"/>
            <w:hideMark/>
          </w:tcPr>
          <w:p w14:paraId="7A08933A"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554</w:t>
            </w:r>
          </w:p>
        </w:tc>
        <w:tc>
          <w:tcPr>
            <w:tcW w:w="564" w:type="pct"/>
            <w:tcBorders>
              <w:top w:val="nil"/>
              <w:left w:val="nil"/>
              <w:bottom w:val="single" w:sz="4" w:space="0" w:color="auto"/>
              <w:right w:val="single" w:sz="4" w:space="0" w:color="auto"/>
            </w:tcBorders>
            <w:shd w:val="clear" w:color="000000" w:fill="FFFFFF"/>
            <w:noWrap/>
            <w:vAlign w:val="center"/>
            <w:hideMark/>
          </w:tcPr>
          <w:p w14:paraId="36050158"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0 [0%]</w:t>
            </w:r>
          </w:p>
        </w:tc>
        <w:tc>
          <w:tcPr>
            <w:tcW w:w="564" w:type="pct"/>
            <w:tcBorders>
              <w:top w:val="nil"/>
              <w:left w:val="nil"/>
              <w:bottom w:val="single" w:sz="4" w:space="0" w:color="auto"/>
              <w:right w:val="single" w:sz="4" w:space="0" w:color="auto"/>
            </w:tcBorders>
            <w:shd w:val="clear" w:color="000000" w:fill="FFFFFF"/>
            <w:noWrap/>
            <w:vAlign w:val="center"/>
            <w:hideMark/>
          </w:tcPr>
          <w:p w14:paraId="79116EBF"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-34 [-6%]</w:t>
            </w:r>
          </w:p>
        </w:tc>
        <w:tc>
          <w:tcPr>
            <w:tcW w:w="564" w:type="pct"/>
            <w:tcBorders>
              <w:top w:val="nil"/>
              <w:left w:val="nil"/>
              <w:bottom w:val="single" w:sz="4" w:space="0" w:color="auto"/>
              <w:right w:val="single" w:sz="4" w:space="0" w:color="auto"/>
            </w:tcBorders>
            <w:shd w:val="clear" w:color="000000" w:fill="FFFFFF"/>
            <w:noWrap/>
            <w:vAlign w:val="center"/>
            <w:hideMark/>
          </w:tcPr>
          <w:p w14:paraId="2CD2972A"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-50 [-9%]</w:t>
            </w:r>
          </w:p>
        </w:tc>
        <w:tc>
          <w:tcPr>
            <w:tcW w:w="916" w:type="pct"/>
            <w:tcBorders>
              <w:top w:val="nil"/>
              <w:left w:val="nil"/>
              <w:bottom w:val="single" w:sz="4" w:space="0" w:color="auto"/>
              <w:right w:val="single" w:sz="4" w:space="0" w:color="auto"/>
            </w:tcBorders>
            <w:shd w:val="clear" w:color="000000" w:fill="FFFFFF"/>
            <w:noWrap/>
            <w:vAlign w:val="center"/>
            <w:hideMark/>
          </w:tcPr>
          <w:p w14:paraId="25FDF0D0"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-92 [-17%]</w:t>
            </w:r>
          </w:p>
        </w:tc>
        <w:tc>
          <w:tcPr>
            <w:tcW w:w="1267" w:type="pct"/>
            <w:tcBorders>
              <w:top w:val="nil"/>
              <w:left w:val="nil"/>
              <w:bottom w:val="single" w:sz="4" w:space="0" w:color="auto"/>
              <w:right w:val="single" w:sz="4" w:space="0" w:color="auto"/>
            </w:tcBorders>
            <w:shd w:val="clear" w:color="000000" w:fill="FFFFFF"/>
            <w:noWrap/>
            <w:vAlign w:val="center"/>
            <w:hideMark/>
          </w:tcPr>
          <w:p w14:paraId="1A0C2B24"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-92 [-17%]</w:t>
            </w:r>
          </w:p>
        </w:tc>
      </w:tr>
      <w:tr w:rsidR="00D24603" w:rsidRPr="00622422" w14:paraId="4A17D193" w14:textId="77777777" w:rsidTr="00435936">
        <w:trPr>
          <w:trHeight w:val="20"/>
        </w:trPr>
        <w:tc>
          <w:tcPr>
            <w:tcW w:w="4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401DABA"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18</w:t>
            </w:r>
          </w:p>
        </w:tc>
        <w:tc>
          <w:tcPr>
            <w:tcW w:w="634" w:type="pct"/>
            <w:tcBorders>
              <w:top w:val="nil"/>
              <w:left w:val="nil"/>
              <w:bottom w:val="nil"/>
              <w:right w:val="single" w:sz="4" w:space="0" w:color="auto"/>
            </w:tcBorders>
            <w:shd w:val="clear" w:color="000000" w:fill="FFFFFF"/>
            <w:noWrap/>
            <w:vAlign w:val="center"/>
            <w:hideMark/>
          </w:tcPr>
          <w:p w14:paraId="7630D2D4"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w:t>
            </w:r>
          </w:p>
        </w:tc>
        <w:tc>
          <w:tcPr>
            <w:tcW w:w="564" w:type="pct"/>
            <w:tcBorders>
              <w:top w:val="nil"/>
              <w:left w:val="nil"/>
              <w:bottom w:val="nil"/>
              <w:right w:val="single" w:sz="4" w:space="0" w:color="auto"/>
            </w:tcBorders>
            <w:shd w:val="clear" w:color="000000" w:fill="FFFFFF"/>
            <w:noWrap/>
            <w:vAlign w:val="center"/>
            <w:hideMark/>
          </w:tcPr>
          <w:p w14:paraId="4A15173C"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Nalo: 60%</w:t>
            </w:r>
          </w:p>
        </w:tc>
        <w:tc>
          <w:tcPr>
            <w:tcW w:w="564" w:type="pct"/>
            <w:tcBorders>
              <w:top w:val="nil"/>
              <w:left w:val="nil"/>
              <w:bottom w:val="nil"/>
              <w:right w:val="single" w:sz="4" w:space="0" w:color="auto"/>
            </w:tcBorders>
            <w:shd w:val="clear" w:color="000000" w:fill="FFFFFF"/>
            <w:noWrap/>
            <w:vAlign w:val="center"/>
            <w:hideMark/>
          </w:tcPr>
          <w:p w14:paraId="26293B54"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Rete: 69%</w:t>
            </w:r>
          </w:p>
        </w:tc>
        <w:tc>
          <w:tcPr>
            <w:tcW w:w="564" w:type="pct"/>
            <w:tcBorders>
              <w:top w:val="nil"/>
              <w:left w:val="nil"/>
              <w:bottom w:val="nil"/>
              <w:right w:val="single" w:sz="4" w:space="0" w:color="auto"/>
            </w:tcBorders>
            <w:shd w:val="clear" w:color="000000" w:fill="FFFFFF"/>
            <w:noWrap/>
            <w:vAlign w:val="center"/>
            <w:hideMark/>
          </w:tcPr>
          <w:p w14:paraId="16D5D9E3"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319%</w:t>
            </w:r>
          </w:p>
        </w:tc>
        <w:tc>
          <w:tcPr>
            <w:tcW w:w="916" w:type="pct"/>
            <w:tcBorders>
              <w:top w:val="nil"/>
              <w:left w:val="nil"/>
              <w:bottom w:val="nil"/>
              <w:right w:val="single" w:sz="4" w:space="0" w:color="auto"/>
            </w:tcBorders>
            <w:shd w:val="clear" w:color="000000" w:fill="FFFFFF"/>
            <w:noWrap/>
            <w:vAlign w:val="center"/>
            <w:hideMark/>
          </w:tcPr>
          <w:p w14:paraId="2514A12C"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186%, Rete: 440%</w:t>
            </w:r>
          </w:p>
        </w:tc>
        <w:tc>
          <w:tcPr>
            <w:tcW w:w="1267" w:type="pct"/>
            <w:tcBorders>
              <w:top w:val="nil"/>
              <w:left w:val="nil"/>
              <w:bottom w:val="nil"/>
              <w:right w:val="single" w:sz="4" w:space="0" w:color="auto"/>
            </w:tcBorders>
            <w:shd w:val="clear" w:color="000000" w:fill="FFFFFF"/>
            <w:noWrap/>
            <w:vAlign w:val="center"/>
            <w:hideMark/>
          </w:tcPr>
          <w:p w14:paraId="2377E84F"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186%, Rete: 440%, Nalo: 60%</w:t>
            </w:r>
          </w:p>
        </w:tc>
      </w:tr>
      <w:tr w:rsidR="00D24603" w:rsidRPr="00622422" w14:paraId="621C9C49" w14:textId="77777777" w:rsidTr="00435936">
        <w:trPr>
          <w:trHeight w:val="20"/>
        </w:trPr>
        <w:tc>
          <w:tcPr>
            <w:tcW w:w="492" w:type="pct"/>
            <w:vMerge/>
            <w:tcBorders>
              <w:top w:val="nil"/>
              <w:left w:val="single" w:sz="4" w:space="0" w:color="auto"/>
              <w:bottom w:val="single" w:sz="4" w:space="0" w:color="000000"/>
              <w:right w:val="single" w:sz="4" w:space="0" w:color="auto"/>
            </w:tcBorders>
            <w:vAlign w:val="center"/>
            <w:hideMark/>
          </w:tcPr>
          <w:p w14:paraId="0ECFDB0F"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4" w:type="pct"/>
            <w:tcBorders>
              <w:top w:val="nil"/>
              <w:left w:val="nil"/>
              <w:bottom w:val="single" w:sz="4" w:space="0" w:color="auto"/>
              <w:right w:val="single" w:sz="4" w:space="0" w:color="auto"/>
            </w:tcBorders>
            <w:shd w:val="clear" w:color="000000" w:fill="FFFFFF"/>
            <w:noWrap/>
            <w:vAlign w:val="center"/>
            <w:hideMark/>
          </w:tcPr>
          <w:p w14:paraId="57137C14"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575</w:t>
            </w:r>
          </w:p>
        </w:tc>
        <w:tc>
          <w:tcPr>
            <w:tcW w:w="564" w:type="pct"/>
            <w:tcBorders>
              <w:top w:val="nil"/>
              <w:left w:val="nil"/>
              <w:bottom w:val="single" w:sz="4" w:space="0" w:color="auto"/>
              <w:right w:val="single" w:sz="4" w:space="0" w:color="auto"/>
            </w:tcBorders>
            <w:shd w:val="clear" w:color="000000" w:fill="FFFFFF"/>
            <w:noWrap/>
            <w:vAlign w:val="center"/>
            <w:hideMark/>
          </w:tcPr>
          <w:p w14:paraId="218BFCDC"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-5 [-1%]</w:t>
            </w:r>
          </w:p>
        </w:tc>
        <w:tc>
          <w:tcPr>
            <w:tcW w:w="564" w:type="pct"/>
            <w:tcBorders>
              <w:top w:val="nil"/>
              <w:left w:val="nil"/>
              <w:bottom w:val="single" w:sz="4" w:space="0" w:color="auto"/>
              <w:right w:val="single" w:sz="4" w:space="0" w:color="auto"/>
            </w:tcBorders>
            <w:shd w:val="clear" w:color="000000" w:fill="FFFFFF"/>
            <w:noWrap/>
            <w:vAlign w:val="center"/>
            <w:hideMark/>
          </w:tcPr>
          <w:p w14:paraId="1270457D"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-11 [-2%]</w:t>
            </w:r>
          </w:p>
        </w:tc>
        <w:tc>
          <w:tcPr>
            <w:tcW w:w="564" w:type="pct"/>
            <w:tcBorders>
              <w:top w:val="nil"/>
              <w:left w:val="nil"/>
              <w:bottom w:val="single" w:sz="4" w:space="0" w:color="auto"/>
              <w:right w:val="single" w:sz="4" w:space="0" w:color="auto"/>
            </w:tcBorders>
            <w:shd w:val="clear" w:color="000000" w:fill="FFFFFF"/>
            <w:noWrap/>
            <w:vAlign w:val="center"/>
            <w:hideMark/>
          </w:tcPr>
          <w:p w14:paraId="78267D69"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-58 [-10%]</w:t>
            </w:r>
          </w:p>
        </w:tc>
        <w:tc>
          <w:tcPr>
            <w:tcW w:w="916" w:type="pct"/>
            <w:tcBorders>
              <w:top w:val="nil"/>
              <w:left w:val="nil"/>
              <w:bottom w:val="single" w:sz="4" w:space="0" w:color="auto"/>
              <w:right w:val="single" w:sz="4" w:space="0" w:color="auto"/>
            </w:tcBorders>
            <w:shd w:val="clear" w:color="000000" w:fill="FFFFFF"/>
            <w:noWrap/>
            <w:vAlign w:val="center"/>
            <w:hideMark/>
          </w:tcPr>
          <w:p w14:paraId="77A61D67"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-79 [-14%]</w:t>
            </w:r>
          </w:p>
        </w:tc>
        <w:tc>
          <w:tcPr>
            <w:tcW w:w="1267" w:type="pct"/>
            <w:tcBorders>
              <w:top w:val="nil"/>
              <w:left w:val="nil"/>
              <w:bottom w:val="single" w:sz="4" w:space="0" w:color="auto"/>
              <w:right w:val="single" w:sz="4" w:space="0" w:color="auto"/>
            </w:tcBorders>
            <w:shd w:val="clear" w:color="000000" w:fill="FFFFFF"/>
            <w:noWrap/>
            <w:vAlign w:val="center"/>
            <w:hideMark/>
          </w:tcPr>
          <w:p w14:paraId="3AC2E6CA"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-83 [-14%]</w:t>
            </w:r>
          </w:p>
        </w:tc>
      </w:tr>
      <w:tr w:rsidR="00D24603" w:rsidRPr="00622422" w14:paraId="3A7031DF" w14:textId="77777777" w:rsidTr="00435936">
        <w:trPr>
          <w:trHeight w:val="20"/>
        </w:trPr>
        <w:tc>
          <w:tcPr>
            <w:tcW w:w="4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EA4929A"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19</w:t>
            </w:r>
          </w:p>
        </w:tc>
        <w:tc>
          <w:tcPr>
            <w:tcW w:w="634" w:type="pct"/>
            <w:tcBorders>
              <w:top w:val="nil"/>
              <w:left w:val="nil"/>
              <w:bottom w:val="nil"/>
              <w:right w:val="single" w:sz="4" w:space="0" w:color="auto"/>
            </w:tcBorders>
            <w:shd w:val="clear" w:color="000000" w:fill="FFFFFF"/>
            <w:noWrap/>
            <w:vAlign w:val="center"/>
            <w:hideMark/>
          </w:tcPr>
          <w:p w14:paraId="0A992857"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w:t>
            </w:r>
          </w:p>
        </w:tc>
        <w:tc>
          <w:tcPr>
            <w:tcW w:w="564" w:type="pct"/>
            <w:tcBorders>
              <w:top w:val="nil"/>
              <w:left w:val="nil"/>
              <w:bottom w:val="nil"/>
              <w:right w:val="single" w:sz="4" w:space="0" w:color="auto"/>
            </w:tcBorders>
            <w:shd w:val="clear" w:color="000000" w:fill="FFFFFF"/>
            <w:noWrap/>
            <w:vAlign w:val="center"/>
            <w:hideMark/>
          </w:tcPr>
          <w:p w14:paraId="30AD57F7"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Nalo: 38%</w:t>
            </w:r>
          </w:p>
        </w:tc>
        <w:tc>
          <w:tcPr>
            <w:tcW w:w="564" w:type="pct"/>
            <w:tcBorders>
              <w:top w:val="nil"/>
              <w:left w:val="nil"/>
              <w:bottom w:val="nil"/>
              <w:right w:val="single" w:sz="4" w:space="0" w:color="auto"/>
            </w:tcBorders>
            <w:shd w:val="clear" w:color="000000" w:fill="FFFFFF"/>
            <w:noWrap/>
            <w:vAlign w:val="center"/>
            <w:hideMark/>
          </w:tcPr>
          <w:p w14:paraId="051467B7"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Rete: 68%</w:t>
            </w:r>
          </w:p>
        </w:tc>
        <w:tc>
          <w:tcPr>
            <w:tcW w:w="564" w:type="pct"/>
            <w:tcBorders>
              <w:top w:val="nil"/>
              <w:left w:val="nil"/>
              <w:bottom w:val="nil"/>
              <w:right w:val="single" w:sz="4" w:space="0" w:color="auto"/>
            </w:tcBorders>
            <w:shd w:val="clear" w:color="000000" w:fill="FFFFFF"/>
            <w:noWrap/>
            <w:vAlign w:val="center"/>
            <w:hideMark/>
          </w:tcPr>
          <w:p w14:paraId="7ADB87CE"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283%</w:t>
            </w:r>
          </w:p>
        </w:tc>
        <w:tc>
          <w:tcPr>
            <w:tcW w:w="916" w:type="pct"/>
            <w:tcBorders>
              <w:top w:val="nil"/>
              <w:left w:val="nil"/>
              <w:bottom w:val="nil"/>
              <w:right w:val="single" w:sz="4" w:space="0" w:color="auto"/>
            </w:tcBorders>
            <w:shd w:val="clear" w:color="000000" w:fill="FFFFFF"/>
            <w:noWrap/>
            <w:vAlign w:val="center"/>
            <w:hideMark/>
          </w:tcPr>
          <w:p w14:paraId="52F5F01B"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143%, Rete: 372%</w:t>
            </w:r>
          </w:p>
        </w:tc>
        <w:tc>
          <w:tcPr>
            <w:tcW w:w="1267" w:type="pct"/>
            <w:tcBorders>
              <w:top w:val="nil"/>
              <w:left w:val="nil"/>
              <w:bottom w:val="nil"/>
              <w:right w:val="single" w:sz="4" w:space="0" w:color="auto"/>
            </w:tcBorders>
            <w:shd w:val="clear" w:color="000000" w:fill="FFFFFF"/>
            <w:noWrap/>
            <w:vAlign w:val="center"/>
            <w:hideMark/>
          </w:tcPr>
          <w:p w14:paraId="400928D4"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142%, Rete: 372%, Nalo: 38%</w:t>
            </w:r>
          </w:p>
        </w:tc>
      </w:tr>
      <w:tr w:rsidR="00D24603" w:rsidRPr="00622422" w14:paraId="53D6F06F" w14:textId="77777777" w:rsidTr="00435936">
        <w:trPr>
          <w:trHeight w:val="20"/>
        </w:trPr>
        <w:tc>
          <w:tcPr>
            <w:tcW w:w="492" w:type="pct"/>
            <w:vMerge/>
            <w:tcBorders>
              <w:top w:val="nil"/>
              <w:left w:val="single" w:sz="4" w:space="0" w:color="auto"/>
              <w:bottom w:val="single" w:sz="4" w:space="0" w:color="000000"/>
              <w:right w:val="single" w:sz="4" w:space="0" w:color="auto"/>
            </w:tcBorders>
            <w:vAlign w:val="center"/>
            <w:hideMark/>
          </w:tcPr>
          <w:p w14:paraId="7D35FE37"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4" w:type="pct"/>
            <w:tcBorders>
              <w:top w:val="nil"/>
              <w:left w:val="nil"/>
              <w:bottom w:val="single" w:sz="4" w:space="0" w:color="auto"/>
              <w:right w:val="single" w:sz="4" w:space="0" w:color="auto"/>
            </w:tcBorders>
            <w:shd w:val="clear" w:color="000000" w:fill="FFFFFF"/>
            <w:noWrap/>
            <w:vAlign w:val="center"/>
            <w:hideMark/>
          </w:tcPr>
          <w:p w14:paraId="1B668BC1"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499</w:t>
            </w:r>
          </w:p>
        </w:tc>
        <w:tc>
          <w:tcPr>
            <w:tcW w:w="564" w:type="pct"/>
            <w:tcBorders>
              <w:top w:val="nil"/>
              <w:left w:val="nil"/>
              <w:bottom w:val="single" w:sz="4" w:space="0" w:color="auto"/>
              <w:right w:val="single" w:sz="4" w:space="0" w:color="auto"/>
            </w:tcBorders>
            <w:shd w:val="clear" w:color="000000" w:fill="FFFFFF"/>
            <w:noWrap/>
            <w:vAlign w:val="center"/>
            <w:hideMark/>
          </w:tcPr>
          <w:p w14:paraId="480C23AF"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-6 [-1%]</w:t>
            </w:r>
          </w:p>
        </w:tc>
        <w:tc>
          <w:tcPr>
            <w:tcW w:w="564" w:type="pct"/>
            <w:tcBorders>
              <w:top w:val="nil"/>
              <w:left w:val="nil"/>
              <w:bottom w:val="single" w:sz="4" w:space="0" w:color="auto"/>
              <w:right w:val="single" w:sz="4" w:space="0" w:color="auto"/>
            </w:tcBorders>
            <w:shd w:val="clear" w:color="000000" w:fill="FFFFFF"/>
            <w:noWrap/>
            <w:vAlign w:val="center"/>
            <w:hideMark/>
          </w:tcPr>
          <w:p w14:paraId="14C1CFBC"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-12 [-2%]</w:t>
            </w:r>
          </w:p>
        </w:tc>
        <w:tc>
          <w:tcPr>
            <w:tcW w:w="564" w:type="pct"/>
            <w:tcBorders>
              <w:top w:val="nil"/>
              <w:left w:val="nil"/>
              <w:bottom w:val="single" w:sz="4" w:space="0" w:color="auto"/>
              <w:right w:val="single" w:sz="4" w:space="0" w:color="auto"/>
            </w:tcBorders>
            <w:shd w:val="clear" w:color="000000" w:fill="FFFFFF"/>
            <w:noWrap/>
            <w:vAlign w:val="center"/>
            <w:hideMark/>
          </w:tcPr>
          <w:p w14:paraId="6A4B2CFF"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-46 [-9%]</w:t>
            </w:r>
          </w:p>
        </w:tc>
        <w:tc>
          <w:tcPr>
            <w:tcW w:w="916" w:type="pct"/>
            <w:tcBorders>
              <w:top w:val="nil"/>
              <w:left w:val="nil"/>
              <w:bottom w:val="single" w:sz="4" w:space="0" w:color="auto"/>
              <w:right w:val="single" w:sz="4" w:space="0" w:color="auto"/>
            </w:tcBorders>
            <w:shd w:val="clear" w:color="000000" w:fill="FFFFFF"/>
            <w:noWrap/>
            <w:vAlign w:val="center"/>
            <w:hideMark/>
          </w:tcPr>
          <w:p w14:paraId="610A1A56"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-67 [-13%]</w:t>
            </w:r>
          </w:p>
        </w:tc>
        <w:tc>
          <w:tcPr>
            <w:tcW w:w="1267" w:type="pct"/>
            <w:tcBorders>
              <w:top w:val="nil"/>
              <w:left w:val="nil"/>
              <w:bottom w:val="single" w:sz="4" w:space="0" w:color="auto"/>
              <w:right w:val="single" w:sz="4" w:space="0" w:color="auto"/>
            </w:tcBorders>
            <w:shd w:val="clear" w:color="000000" w:fill="FFFFFF"/>
            <w:noWrap/>
            <w:vAlign w:val="center"/>
            <w:hideMark/>
          </w:tcPr>
          <w:p w14:paraId="5BA13E11"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-72 [-14%]</w:t>
            </w:r>
          </w:p>
        </w:tc>
      </w:tr>
      <w:tr w:rsidR="00D24603" w:rsidRPr="00622422" w14:paraId="09561409" w14:textId="77777777" w:rsidTr="00435936">
        <w:trPr>
          <w:trHeight w:val="20"/>
        </w:trPr>
        <w:tc>
          <w:tcPr>
            <w:tcW w:w="4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7D2BF7E"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20</w:t>
            </w:r>
          </w:p>
        </w:tc>
        <w:tc>
          <w:tcPr>
            <w:tcW w:w="634" w:type="pct"/>
            <w:tcBorders>
              <w:top w:val="nil"/>
              <w:left w:val="nil"/>
              <w:bottom w:val="nil"/>
              <w:right w:val="single" w:sz="4" w:space="0" w:color="auto"/>
            </w:tcBorders>
            <w:shd w:val="clear" w:color="000000" w:fill="FFFFFF"/>
            <w:noWrap/>
            <w:vAlign w:val="center"/>
            <w:hideMark/>
          </w:tcPr>
          <w:p w14:paraId="6B093790"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w:t>
            </w:r>
          </w:p>
        </w:tc>
        <w:tc>
          <w:tcPr>
            <w:tcW w:w="564" w:type="pct"/>
            <w:tcBorders>
              <w:top w:val="nil"/>
              <w:left w:val="nil"/>
              <w:bottom w:val="nil"/>
              <w:right w:val="single" w:sz="4" w:space="0" w:color="auto"/>
            </w:tcBorders>
            <w:shd w:val="clear" w:color="000000" w:fill="FFFFFF"/>
            <w:noWrap/>
            <w:vAlign w:val="center"/>
            <w:hideMark/>
          </w:tcPr>
          <w:p w14:paraId="5BA573A4"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Nalo: 162%</w:t>
            </w:r>
          </w:p>
        </w:tc>
        <w:tc>
          <w:tcPr>
            <w:tcW w:w="564" w:type="pct"/>
            <w:tcBorders>
              <w:top w:val="nil"/>
              <w:left w:val="nil"/>
              <w:bottom w:val="nil"/>
              <w:right w:val="single" w:sz="4" w:space="0" w:color="auto"/>
            </w:tcBorders>
            <w:shd w:val="clear" w:color="000000" w:fill="FFFFFF"/>
            <w:noWrap/>
            <w:vAlign w:val="center"/>
            <w:hideMark/>
          </w:tcPr>
          <w:p w14:paraId="75523CCE"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Rete: 122%</w:t>
            </w:r>
          </w:p>
        </w:tc>
        <w:tc>
          <w:tcPr>
            <w:tcW w:w="564" w:type="pct"/>
            <w:tcBorders>
              <w:top w:val="nil"/>
              <w:left w:val="nil"/>
              <w:bottom w:val="nil"/>
              <w:right w:val="single" w:sz="4" w:space="0" w:color="auto"/>
            </w:tcBorders>
            <w:shd w:val="clear" w:color="000000" w:fill="FFFFFF"/>
            <w:noWrap/>
            <w:vAlign w:val="center"/>
            <w:hideMark/>
          </w:tcPr>
          <w:p w14:paraId="6EF3B00E"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194%</w:t>
            </w:r>
          </w:p>
        </w:tc>
        <w:tc>
          <w:tcPr>
            <w:tcW w:w="916" w:type="pct"/>
            <w:tcBorders>
              <w:top w:val="nil"/>
              <w:left w:val="nil"/>
              <w:bottom w:val="nil"/>
              <w:right w:val="single" w:sz="4" w:space="0" w:color="auto"/>
            </w:tcBorders>
            <w:shd w:val="clear" w:color="000000" w:fill="FFFFFF"/>
            <w:noWrap/>
            <w:vAlign w:val="center"/>
            <w:hideMark/>
          </w:tcPr>
          <w:p w14:paraId="15B607CB"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50%, Rete: 344%</w:t>
            </w:r>
          </w:p>
        </w:tc>
        <w:tc>
          <w:tcPr>
            <w:tcW w:w="1267" w:type="pct"/>
            <w:tcBorders>
              <w:top w:val="nil"/>
              <w:left w:val="nil"/>
              <w:bottom w:val="nil"/>
              <w:right w:val="single" w:sz="4" w:space="0" w:color="auto"/>
            </w:tcBorders>
            <w:shd w:val="clear" w:color="000000" w:fill="FFFFFF"/>
            <w:noWrap/>
            <w:vAlign w:val="center"/>
            <w:hideMark/>
          </w:tcPr>
          <w:p w14:paraId="0355B038"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50%, Rete: 344%, Nalo: 162%</w:t>
            </w:r>
          </w:p>
        </w:tc>
      </w:tr>
      <w:tr w:rsidR="00D24603" w:rsidRPr="00622422" w14:paraId="0CE7308B" w14:textId="77777777" w:rsidTr="00435936">
        <w:trPr>
          <w:trHeight w:val="20"/>
        </w:trPr>
        <w:tc>
          <w:tcPr>
            <w:tcW w:w="492" w:type="pct"/>
            <w:vMerge/>
            <w:tcBorders>
              <w:top w:val="nil"/>
              <w:left w:val="single" w:sz="4" w:space="0" w:color="auto"/>
              <w:bottom w:val="single" w:sz="4" w:space="0" w:color="000000"/>
              <w:right w:val="single" w:sz="4" w:space="0" w:color="auto"/>
            </w:tcBorders>
            <w:vAlign w:val="center"/>
            <w:hideMark/>
          </w:tcPr>
          <w:p w14:paraId="464B5FE1"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4" w:type="pct"/>
            <w:tcBorders>
              <w:top w:val="nil"/>
              <w:left w:val="nil"/>
              <w:bottom w:val="single" w:sz="4" w:space="0" w:color="auto"/>
              <w:right w:val="single" w:sz="4" w:space="0" w:color="auto"/>
            </w:tcBorders>
            <w:shd w:val="clear" w:color="000000" w:fill="FFFFFF"/>
            <w:noWrap/>
            <w:vAlign w:val="center"/>
            <w:hideMark/>
          </w:tcPr>
          <w:p w14:paraId="54AA26EF"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552</w:t>
            </w:r>
          </w:p>
        </w:tc>
        <w:tc>
          <w:tcPr>
            <w:tcW w:w="564" w:type="pct"/>
            <w:tcBorders>
              <w:top w:val="nil"/>
              <w:left w:val="nil"/>
              <w:bottom w:val="single" w:sz="4" w:space="0" w:color="auto"/>
              <w:right w:val="single" w:sz="4" w:space="0" w:color="auto"/>
            </w:tcBorders>
            <w:shd w:val="clear" w:color="000000" w:fill="FFFFFF"/>
            <w:noWrap/>
            <w:vAlign w:val="center"/>
            <w:hideMark/>
          </w:tcPr>
          <w:p w14:paraId="1EA483C1"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-17 [-3%]</w:t>
            </w:r>
          </w:p>
        </w:tc>
        <w:tc>
          <w:tcPr>
            <w:tcW w:w="564" w:type="pct"/>
            <w:tcBorders>
              <w:top w:val="nil"/>
              <w:left w:val="nil"/>
              <w:bottom w:val="single" w:sz="4" w:space="0" w:color="auto"/>
              <w:right w:val="single" w:sz="4" w:space="0" w:color="auto"/>
            </w:tcBorders>
            <w:shd w:val="clear" w:color="000000" w:fill="FFFFFF"/>
            <w:noWrap/>
            <w:vAlign w:val="center"/>
            <w:hideMark/>
          </w:tcPr>
          <w:p w14:paraId="285F504B"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-34 [-6%]</w:t>
            </w:r>
          </w:p>
        </w:tc>
        <w:tc>
          <w:tcPr>
            <w:tcW w:w="564" w:type="pct"/>
            <w:tcBorders>
              <w:top w:val="nil"/>
              <w:left w:val="nil"/>
              <w:bottom w:val="single" w:sz="4" w:space="0" w:color="auto"/>
              <w:right w:val="single" w:sz="4" w:space="0" w:color="auto"/>
            </w:tcBorders>
            <w:shd w:val="clear" w:color="000000" w:fill="FFFFFF"/>
            <w:noWrap/>
            <w:vAlign w:val="center"/>
            <w:hideMark/>
          </w:tcPr>
          <w:p w14:paraId="6B98042B"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-57 [-10%]</w:t>
            </w:r>
          </w:p>
        </w:tc>
        <w:tc>
          <w:tcPr>
            <w:tcW w:w="916" w:type="pct"/>
            <w:tcBorders>
              <w:top w:val="nil"/>
              <w:left w:val="nil"/>
              <w:bottom w:val="single" w:sz="4" w:space="0" w:color="auto"/>
              <w:right w:val="single" w:sz="4" w:space="0" w:color="auto"/>
            </w:tcBorders>
            <w:shd w:val="clear" w:color="000000" w:fill="FFFFFF"/>
            <w:noWrap/>
            <w:vAlign w:val="center"/>
            <w:hideMark/>
          </w:tcPr>
          <w:p w14:paraId="41E4C4EE"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-101 [-18%]</w:t>
            </w:r>
          </w:p>
        </w:tc>
        <w:tc>
          <w:tcPr>
            <w:tcW w:w="1267" w:type="pct"/>
            <w:tcBorders>
              <w:top w:val="nil"/>
              <w:left w:val="nil"/>
              <w:bottom w:val="single" w:sz="4" w:space="0" w:color="auto"/>
              <w:right w:val="single" w:sz="4" w:space="0" w:color="auto"/>
            </w:tcBorders>
            <w:shd w:val="clear" w:color="000000" w:fill="FFFFFF"/>
            <w:noWrap/>
            <w:vAlign w:val="center"/>
            <w:hideMark/>
          </w:tcPr>
          <w:p w14:paraId="0063BA1A"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-114 [-21%]</w:t>
            </w:r>
          </w:p>
        </w:tc>
      </w:tr>
      <w:tr w:rsidR="00D24603" w:rsidRPr="00622422" w14:paraId="2CFE4EBD" w14:textId="77777777" w:rsidTr="00435936">
        <w:trPr>
          <w:trHeight w:val="20"/>
        </w:trPr>
        <w:tc>
          <w:tcPr>
            <w:tcW w:w="4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C3E07B6"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21</w:t>
            </w:r>
          </w:p>
        </w:tc>
        <w:tc>
          <w:tcPr>
            <w:tcW w:w="634" w:type="pct"/>
            <w:tcBorders>
              <w:top w:val="nil"/>
              <w:left w:val="nil"/>
              <w:bottom w:val="nil"/>
              <w:right w:val="single" w:sz="4" w:space="0" w:color="auto"/>
            </w:tcBorders>
            <w:shd w:val="clear" w:color="000000" w:fill="FFFFFF"/>
            <w:noWrap/>
            <w:vAlign w:val="center"/>
            <w:hideMark/>
          </w:tcPr>
          <w:p w14:paraId="12BA905A"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w:t>
            </w:r>
          </w:p>
        </w:tc>
        <w:tc>
          <w:tcPr>
            <w:tcW w:w="564" w:type="pct"/>
            <w:tcBorders>
              <w:top w:val="nil"/>
              <w:left w:val="nil"/>
              <w:bottom w:val="nil"/>
              <w:right w:val="single" w:sz="4" w:space="0" w:color="auto"/>
            </w:tcBorders>
            <w:shd w:val="clear" w:color="000000" w:fill="FFFFFF"/>
            <w:noWrap/>
            <w:vAlign w:val="center"/>
            <w:hideMark/>
          </w:tcPr>
          <w:p w14:paraId="1A407C9D"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Nalo: 0%</w:t>
            </w:r>
          </w:p>
        </w:tc>
        <w:tc>
          <w:tcPr>
            <w:tcW w:w="564" w:type="pct"/>
            <w:tcBorders>
              <w:top w:val="nil"/>
              <w:left w:val="nil"/>
              <w:bottom w:val="nil"/>
              <w:right w:val="single" w:sz="4" w:space="0" w:color="auto"/>
            </w:tcBorders>
            <w:shd w:val="clear" w:color="000000" w:fill="FFFFFF"/>
            <w:noWrap/>
            <w:vAlign w:val="center"/>
            <w:hideMark/>
          </w:tcPr>
          <w:p w14:paraId="36F95FCD"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Rete: 84%</w:t>
            </w:r>
          </w:p>
        </w:tc>
        <w:tc>
          <w:tcPr>
            <w:tcW w:w="564" w:type="pct"/>
            <w:tcBorders>
              <w:top w:val="nil"/>
              <w:left w:val="nil"/>
              <w:bottom w:val="nil"/>
              <w:right w:val="single" w:sz="4" w:space="0" w:color="auto"/>
            </w:tcBorders>
            <w:shd w:val="clear" w:color="000000" w:fill="FFFFFF"/>
            <w:noWrap/>
            <w:vAlign w:val="center"/>
            <w:hideMark/>
          </w:tcPr>
          <w:p w14:paraId="17DD059E"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377%</w:t>
            </w:r>
          </w:p>
        </w:tc>
        <w:tc>
          <w:tcPr>
            <w:tcW w:w="916" w:type="pct"/>
            <w:tcBorders>
              <w:top w:val="nil"/>
              <w:left w:val="nil"/>
              <w:bottom w:val="nil"/>
              <w:right w:val="single" w:sz="4" w:space="0" w:color="auto"/>
            </w:tcBorders>
            <w:shd w:val="clear" w:color="000000" w:fill="FFFFFF"/>
            <w:noWrap/>
            <w:vAlign w:val="center"/>
            <w:hideMark/>
          </w:tcPr>
          <w:p w14:paraId="152D3ACB"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216%, Rete: 546%</w:t>
            </w:r>
          </w:p>
        </w:tc>
        <w:tc>
          <w:tcPr>
            <w:tcW w:w="1267" w:type="pct"/>
            <w:tcBorders>
              <w:top w:val="nil"/>
              <w:left w:val="nil"/>
              <w:bottom w:val="nil"/>
              <w:right w:val="single" w:sz="4" w:space="0" w:color="auto"/>
            </w:tcBorders>
            <w:shd w:val="clear" w:color="000000" w:fill="FFFFFF"/>
            <w:noWrap/>
            <w:vAlign w:val="center"/>
            <w:hideMark/>
          </w:tcPr>
          <w:p w14:paraId="033540A9"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216%, Rete: 546%, Nalo: 0%</w:t>
            </w:r>
          </w:p>
        </w:tc>
      </w:tr>
      <w:tr w:rsidR="00D24603" w:rsidRPr="00622422" w14:paraId="02452EDD" w14:textId="77777777" w:rsidTr="00435936">
        <w:trPr>
          <w:trHeight w:val="20"/>
        </w:trPr>
        <w:tc>
          <w:tcPr>
            <w:tcW w:w="492" w:type="pct"/>
            <w:vMerge/>
            <w:tcBorders>
              <w:top w:val="nil"/>
              <w:left w:val="single" w:sz="4" w:space="0" w:color="auto"/>
              <w:bottom w:val="single" w:sz="4" w:space="0" w:color="000000"/>
              <w:right w:val="single" w:sz="4" w:space="0" w:color="auto"/>
            </w:tcBorders>
            <w:vAlign w:val="center"/>
            <w:hideMark/>
          </w:tcPr>
          <w:p w14:paraId="331F7D1C"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4" w:type="pct"/>
            <w:tcBorders>
              <w:top w:val="nil"/>
              <w:left w:val="nil"/>
              <w:bottom w:val="single" w:sz="4" w:space="0" w:color="auto"/>
              <w:right w:val="single" w:sz="4" w:space="0" w:color="auto"/>
            </w:tcBorders>
            <w:shd w:val="clear" w:color="000000" w:fill="FFFFFF"/>
            <w:noWrap/>
            <w:vAlign w:val="center"/>
            <w:hideMark/>
          </w:tcPr>
          <w:p w14:paraId="5A0F5A7C"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495</w:t>
            </w:r>
          </w:p>
        </w:tc>
        <w:tc>
          <w:tcPr>
            <w:tcW w:w="564" w:type="pct"/>
            <w:tcBorders>
              <w:top w:val="nil"/>
              <w:left w:val="nil"/>
              <w:bottom w:val="single" w:sz="4" w:space="0" w:color="auto"/>
              <w:right w:val="single" w:sz="4" w:space="0" w:color="auto"/>
            </w:tcBorders>
            <w:shd w:val="clear" w:color="000000" w:fill="FFFFFF"/>
            <w:noWrap/>
            <w:vAlign w:val="center"/>
            <w:hideMark/>
          </w:tcPr>
          <w:p w14:paraId="1A0F338C"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0 [0%]</w:t>
            </w:r>
          </w:p>
        </w:tc>
        <w:tc>
          <w:tcPr>
            <w:tcW w:w="564" w:type="pct"/>
            <w:tcBorders>
              <w:top w:val="nil"/>
              <w:left w:val="nil"/>
              <w:bottom w:val="single" w:sz="4" w:space="0" w:color="auto"/>
              <w:right w:val="single" w:sz="4" w:space="0" w:color="auto"/>
            </w:tcBorders>
            <w:shd w:val="clear" w:color="000000" w:fill="FFFFFF"/>
            <w:noWrap/>
            <w:vAlign w:val="center"/>
            <w:hideMark/>
          </w:tcPr>
          <w:p w14:paraId="543935EF"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-9 [-2%]</w:t>
            </w:r>
          </w:p>
        </w:tc>
        <w:tc>
          <w:tcPr>
            <w:tcW w:w="564" w:type="pct"/>
            <w:tcBorders>
              <w:top w:val="nil"/>
              <w:left w:val="nil"/>
              <w:bottom w:val="single" w:sz="4" w:space="0" w:color="auto"/>
              <w:right w:val="single" w:sz="4" w:space="0" w:color="auto"/>
            </w:tcBorders>
            <w:shd w:val="clear" w:color="000000" w:fill="FFFFFF"/>
            <w:noWrap/>
            <w:vAlign w:val="center"/>
            <w:hideMark/>
          </w:tcPr>
          <w:p w14:paraId="31D6F4E1"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-50 [-10%]</w:t>
            </w:r>
          </w:p>
        </w:tc>
        <w:tc>
          <w:tcPr>
            <w:tcW w:w="916" w:type="pct"/>
            <w:tcBorders>
              <w:top w:val="nil"/>
              <w:left w:val="nil"/>
              <w:bottom w:val="single" w:sz="4" w:space="0" w:color="auto"/>
              <w:right w:val="single" w:sz="4" w:space="0" w:color="auto"/>
            </w:tcBorders>
            <w:shd w:val="clear" w:color="000000" w:fill="FFFFFF"/>
            <w:noWrap/>
            <w:vAlign w:val="center"/>
            <w:hideMark/>
          </w:tcPr>
          <w:p w14:paraId="1E7D3A86"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-71 [-14%]</w:t>
            </w:r>
          </w:p>
        </w:tc>
        <w:tc>
          <w:tcPr>
            <w:tcW w:w="1267" w:type="pct"/>
            <w:tcBorders>
              <w:top w:val="nil"/>
              <w:left w:val="nil"/>
              <w:bottom w:val="single" w:sz="4" w:space="0" w:color="auto"/>
              <w:right w:val="single" w:sz="4" w:space="0" w:color="auto"/>
            </w:tcBorders>
            <w:shd w:val="clear" w:color="000000" w:fill="FFFFFF"/>
            <w:noWrap/>
            <w:vAlign w:val="center"/>
            <w:hideMark/>
          </w:tcPr>
          <w:p w14:paraId="453AF7E7"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-71 [-14%]</w:t>
            </w:r>
          </w:p>
        </w:tc>
      </w:tr>
      <w:tr w:rsidR="00D24603" w:rsidRPr="00622422" w14:paraId="4839C697" w14:textId="77777777" w:rsidTr="00435936">
        <w:trPr>
          <w:trHeight w:val="20"/>
        </w:trPr>
        <w:tc>
          <w:tcPr>
            <w:tcW w:w="4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32394E0"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22</w:t>
            </w:r>
          </w:p>
        </w:tc>
        <w:tc>
          <w:tcPr>
            <w:tcW w:w="634" w:type="pct"/>
            <w:tcBorders>
              <w:top w:val="nil"/>
              <w:left w:val="nil"/>
              <w:bottom w:val="nil"/>
              <w:right w:val="single" w:sz="4" w:space="0" w:color="auto"/>
            </w:tcBorders>
            <w:shd w:val="clear" w:color="000000" w:fill="FFFFFF"/>
            <w:noWrap/>
            <w:vAlign w:val="center"/>
            <w:hideMark/>
          </w:tcPr>
          <w:p w14:paraId="77131EE1"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w:t>
            </w:r>
          </w:p>
        </w:tc>
        <w:tc>
          <w:tcPr>
            <w:tcW w:w="564" w:type="pct"/>
            <w:tcBorders>
              <w:top w:val="nil"/>
              <w:left w:val="nil"/>
              <w:bottom w:val="nil"/>
              <w:right w:val="single" w:sz="4" w:space="0" w:color="auto"/>
            </w:tcBorders>
            <w:shd w:val="clear" w:color="000000" w:fill="FFFFFF"/>
            <w:noWrap/>
            <w:vAlign w:val="center"/>
            <w:hideMark/>
          </w:tcPr>
          <w:p w14:paraId="339495D9"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Nalo: 0%</w:t>
            </w:r>
          </w:p>
        </w:tc>
        <w:tc>
          <w:tcPr>
            <w:tcW w:w="564" w:type="pct"/>
            <w:tcBorders>
              <w:top w:val="nil"/>
              <w:left w:val="nil"/>
              <w:bottom w:val="nil"/>
              <w:right w:val="single" w:sz="4" w:space="0" w:color="auto"/>
            </w:tcBorders>
            <w:shd w:val="clear" w:color="000000" w:fill="FFFFFF"/>
            <w:noWrap/>
            <w:vAlign w:val="center"/>
            <w:hideMark/>
          </w:tcPr>
          <w:p w14:paraId="66458643"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Rete: 170%</w:t>
            </w:r>
          </w:p>
        </w:tc>
        <w:tc>
          <w:tcPr>
            <w:tcW w:w="564" w:type="pct"/>
            <w:tcBorders>
              <w:top w:val="nil"/>
              <w:left w:val="nil"/>
              <w:bottom w:val="nil"/>
              <w:right w:val="single" w:sz="4" w:space="0" w:color="auto"/>
            </w:tcBorders>
            <w:shd w:val="clear" w:color="000000" w:fill="FFFFFF"/>
            <w:noWrap/>
            <w:vAlign w:val="center"/>
            <w:hideMark/>
          </w:tcPr>
          <w:p w14:paraId="143CAFC7"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226%</w:t>
            </w:r>
          </w:p>
        </w:tc>
        <w:tc>
          <w:tcPr>
            <w:tcW w:w="916" w:type="pct"/>
            <w:tcBorders>
              <w:top w:val="nil"/>
              <w:left w:val="nil"/>
              <w:bottom w:val="nil"/>
              <w:right w:val="single" w:sz="4" w:space="0" w:color="auto"/>
            </w:tcBorders>
            <w:shd w:val="clear" w:color="000000" w:fill="FFFFFF"/>
            <w:noWrap/>
            <w:vAlign w:val="center"/>
            <w:hideMark/>
          </w:tcPr>
          <w:p w14:paraId="77302D4C"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63%, Rete: 478%</w:t>
            </w:r>
          </w:p>
        </w:tc>
        <w:tc>
          <w:tcPr>
            <w:tcW w:w="1267" w:type="pct"/>
            <w:tcBorders>
              <w:top w:val="nil"/>
              <w:left w:val="nil"/>
              <w:bottom w:val="nil"/>
              <w:right w:val="single" w:sz="4" w:space="0" w:color="auto"/>
            </w:tcBorders>
            <w:shd w:val="clear" w:color="000000" w:fill="FFFFFF"/>
            <w:noWrap/>
            <w:vAlign w:val="center"/>
            <w:hideMark/>
          </w:tcPr>
          <w:p w14:paraId="0E46ABCE"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63%, Rete: 478%, Nalo: 0%</w:t>
            </w:r>
          </w:p>
        </w:tc>
      </w:tr>
      <w:tr w:rsidR="00D24603" w:rsidRPr="00622422" w14:paraId="1A7A631F" w14:textId="77777777" w:rsidTr="00435936">
        <w:trPr>
          <w:trHeight w:val="20"/>
        </w:trPr>
        <w:tc>
          <w:tcPr>
            <w:tcW w:w="492" w:type="pct"/>
            <w:vMerge/>
            <w:tcBorders>
              <w:top w:val="nil"/>
              <w:left w:val="single" w:sz="4" w:space="0" w:color="auto"/>
              <w:bottom w:val="single" w:sz="4" w:space="0" w:color="000000"/>
              <w:right w:val="single" w:sz="4" w:space="0" w:color="auto"/>
            </w:tcBorders>
            <w:vAlign w:val="center"/>
            <w:hideMark/>
          </w:tcPr>
          <w:p w14:paraId="6B847701"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4" w:type="pct"/>
            <w:tcBorders>
              <w:top w:val="nil"/>
              <w:left w:val="nil"/>
              <w:bottom w:val="single" w:sz="4" w:space="0" w:color="auto"/>
              <w:right w:val="single" w:sz="4" w:space="0" w:color="auto"/>
            </w:tcBorders>
            <w:shd w:val="clear" w:color="000000" w:fill="FFFFFF"/>
            <w:noWrap/>
            <w:vAlign w:val="center"/>
            <w:hideMark/>
          </w:tcPr>
          <w:p w14:paraId="53D64DA2"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476</w:t>
            </w:r>
          </w:p>
        </w:tc>
        <w:tc>
          <w:tcPr>
            <w:tcW w:w="564" w:type="pct"/>
            <w:tcBorders>
              <w:top w:val="nil"/>
              <w:left w:val="nil"/>
              <w:bottom w:val="single" w:sz="4" w:space="0" w:color="auto"/>
              <w:right w:val="single" w:sz="4" w:space="0" w:color="auto"/>
            </w:tcBorders>
            <w:shd w:val="clear" w:color="000000" w:fill="FFFFFF"/>
            <w:noWrap/>
            <w:vAlign w:val="center"/>
            <w:hideMark/>
          </w:tcPr>
          <w:p w14:paraId="5F6D2BD2"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0 [0%]</w:t>
            </w:r>
          </w:p>
        </w:tc>
        <w:tc>
          <w:tcPr>
            <w:tcW w:w="564" w:type="pct"/>
            <w:tcBorders>
              <w:top w:val="nil"/>
              <w:left w:val="nil"/>
              <w:bottom w:val="single" w:sz="4" w:space="0" w:color="auto"/>
              <w:right w:val="single" w:sz="4" w:space="0" w:color="auto"/>
            </w:tcBorders>
            <w:shd w:val="clear" w:color="000000" w:fill="FFFFFF"/>
            <w:noWrap/>
            <w:vAlign w:val="center"/>
            <w:hideMark/>
          </w:tcPr>
          <w:p w14:paraId="7A370DAC"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-29 [-6%]</w:t>
            </w:r>
          </w:p>
        </w:tc>
        <w:tc>
          <w:tcPr>
            <w:tcW w:w="564" w:type="pct"/>
            <w:tcBorders>
              <w:top w:val="nil"/>
              <w:left w:val="nil"/>
              <w:bottom w:val="single" w:sz="4" w:space="0" w:color="auto"/>
              <w:right w:val="single" w:sz="4" w:space="0" w:color="auto"/>
            </w:tcBorders>
            <w:shd w:val="clear" w:color="000000" w:fill="FFFFFF"/>
            <w:noWrap/>
            <w:vAlign w:val="center"/>
            <w:hideMark/>
          </w:tcPr>
          <w:p w14:paraId="2D147F63"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-46 [-10%]</w:t>
            </w:r>
          </w:p>
        </w:tc>
        <w:tc>
          <w:tcPr>
            <w:tcW w:w="916" w:type="pct"/>
            <w:tcBorders>
              <w:top w:val="nil"/>
              <w:left w:val="nil"/>
              <w:bottom w:val="single" w:sz="4" w:space="0" w:color="auto"/>
              <w:right w:val="single" w:sz="4" w:space="0" w:color="auto"/>
            </w:tcBorders>
            <w:shd w:val="clear" w:color="000000" w:fill="FFFFFF"/>
            <w:noWrap/>
            <w:vAlign w:val="center"/>
            <w:hideMark/>
          </w:tcPr>
          <w:p w14:paraId="0667D535"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-89 [-19%]</w:t>
            </w:r>
          </w:p>
        </w:tc>
        <w:tc>
          <w:tcPr>
            <w:tcW w:w="1267" w:type="pct"/>
            <w:tcBorders>
              <w:top w:val="nil"/>
              <w:left w:val="nil"/>
              <w:bottom w:val="single" w:sz="4" w:space="0" w:color="auto"/>
              <w:right w:val="single" w:sz="4" w:space="0" w:color="auto"/>
            </w:tcBorders>
            <w:shd w:val="clear" w:color="000000" w:fill="FFFFFF"/>
            <w:noWrap/>
            <w:vAlign w:val="center"/>
            <w:hideMark/>
          </w:tcPr>
          <w:p w14:paraId="586AF65E"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-89 [-19%]</w:t>
            </w:r>
          </w:p>
        </w:tc>
      </w:tr>
      <w:tr w:rsidR="00D24603" w:rsidRPr="00622422" w14:paraId="5D0D6B86" w14:textId="77777777" w:rsidTr="00435936">
        <w:trPr>
          <w:trHeight w:val="20"/>
        </w:trPr>
        <w:tc>
          <w:tcPr>
            <w:tcW w:w="4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439501C"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23</w:t>
            </w:r>
          </w:p>
        </w:tc>
        <w:tc>
          <w:tcPr>
            <w:tcW w:w="634" w:type="pct"/>
            <w:tcBorders>
              <w:top w:val="nil"/>
              <w:left w:val="nil"/>
              <w:bottom w:val="nil"/>
              <w:right w:val="single" w:sz="4" w:space="0" w:color="auto"/>
            </w:tcBorders>
            <w:shd w:val="clear" w:color="000000" w:fill="FFFFFF"/>
            <w:noWrap/>
            <w:vAlign w:val="center"/>
            <w:hideMark/>
          </w:tcPr>
          <w:p w14:paraId="05C336B0"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w:t>
            </w:r>
          </w:p>
        </w:tc>
        <w:tc>
          <w:tcPr>
            <w:tcW w:w="564" w:type="pct"/>
            <w:tcBorders>
              <w:top w:val="nil"/>
              <w:left w:val="nil"/>
              <w:bottom w:val="nil"/>
              <w:right w:val="single" w:sz="4" w:space="0" w:color="auto"/>
            </w:tcBorders>
            <w:shd w:val="clear" w:color="000000" w:fill="FFFFFF"/>
            <w:noWrap/>
            <w:vAlign w:val="center"/>
            <w:hideMark/>
          </w:tcPr>
          <w:p w14:paraId="2D15C2B9"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Nalo: 0%</w:t>
            </w:r>
          </w:p>
        </w:tc>
        <w:tc>
          <w:tcPr>
            <w:tcW w:w="564" w:type="pct"/>
            <w:tcBorders>
              <w:top w:val="nil"/>
              <w:left w:val="nil"/>
              <w:bottom w:val="nil"/>
              <w:right w:val="single" w:sz="4" w:space="0" w:color="auto"/>
            </w:tcBorders>
            <w:shd w:val="clear" w:color="000000" w:fill="FFFFFF"/>
            <w:noWrap/>
            <w:vAlign w:val="center"/>
            <w:hideMark/>
          </w:tcPr>
          <w:p w14:paraId="36DC034E"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Rete: 226%</w:t>
            </w:r>
          </w:p>
        </w:tc>
        <w:tc>
          <w:tcPr>
            <w:tcW w:w="564" w:type="pct"/>
            <w:tcBorders>
              <w:top w:val="nil"/>
              <w:left w:val="nil"/>
              <w:bottom w:val="nil"/>
              <w:right w:val="single" w:sz="4" w:space="0" w:color="auto"/>
            </w:tcBorders>
            <w:shd w:val="clear" w:color="000000" w:fill="FFFFFF"/>
            <w:noWrap/>
            <w:vAlign w:val="center"/>
            <w:hideMark/>
          </w:tcPr>
          <w:p w14:paraId="3177A7D8"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435%</w:t>
            </w:r>
          </w:p>
        </w:tc>
        <w:tc>
          <w:tcPr>
            <w:tcW w:w="916" w:type="pct"/>
            <w:tcBorders>
              <w:top w:val="nil"/>
              <w:left w:val="nil"/>
              <w:bottom w:val="nil"/>
              <w:right w:val="single" w:sz="4" w:space="0" w:color="auto"/>
            </w:tcBorders>
            <w:shd w:val="clear" w:color="000000" w:fill="FFFFFF"/>
            <w:noWrap/>
            <w:vAlign w:val="center"/>
            <w:hideMark/>
          </w:tcPr>
          <w:p w14:paraId="566EE182"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150%, Rete: 892%</w:t>
            </w:r>
          </w:p>
        </w:tc>
        <w:tc>
          <w:tcPr>
            <w:tcW w:w="1267" w:type="pct"/>
            <w:tcBorders>
              <w:top w:val="nil"/>
              <w:left w:val="nil"/>
              <w:bottom w:val="nil"/>
              <w:right w:val="single" w:sz="4" w:space="0" w:color="auto"/>
            </w:tcBorders>
            <w:shd w:val="clear" w:color="000000" w:fill="FFFFFF"/>
            <w:noWrap/>
            <w:vAlign w:val="center"/>
            <w:hideMark/>
          </w:tcPr>
          <w:p w14:paraId="76CE2279"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150%, Rete: 892%, Nalo: 0%</w:t>
            </w:r>
          </w:p>
        </w:tc>
      </w:tr>
      <w:tr w:rsidR="00D24603" w:rsidRPr="00622422" w14:paraId="2009D817" w14:textId="77777777" w:rsidTr="00435936">
        <w:trPr>
          <w:trHeight w:val="20"/>
        </w:trPr>
        <w:tc>
          <w:tcPr>
            <w:tcW w:w="492" w:type="pct"/>
            <w:vMerge/>
            <w:tcBorders>
              <w:top w:val="nil"/>
              <w:left w:val="single" w:sz="4" w:space="0" w:color="auto"/>
              <w:bottom w:val="single" w:sz="4" w:space="0" w:color="000000"/>
              <w:right w:val="single" w:sz="4" w:space="0" w:color="auto"/>
            </w:tcBorders>
            <w:vAlign w:val="center"/>
            <w:hideMark/>
          </w:tcPr>
          <w:p w14:paraId="66E2DF59"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4" w:type="pct"/>
            <w:tcBorders>
              <w:top w:val="nil"/>
              <w:left w:val="nil"/>
              <w:bottom w:val="single" w:sz="4" w:space="0" w:color="auto"/>
              <w:right w:val="single" w:sz="4" w:space="0" w:color="auto"/>
            </w:tcBorders>
            <w:shd w:val="clear" w:color="000000" w:fill="FFFFFF"/>
            <w:noWrap/>
            <w:vAlign w:val="center"/>
            <w:hideMark/>
          </w:tcPr>
          <w:p w14:paraId="289F5A36"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399</w:t>
            </w:r>
          </w:p>
        </w:tc>
        <w:tc>
          <w:tcPr>
            <w:tcW w:w="564" w:type="pct"/>
            <w:tcBorders>
              <w:top w:val="nil"/>
              <w:left w:val="nil"/>
              <w:bottom w:val="single" w:sz="4" w:space="0" w:color="auto"/>
              <w:right w:val="single" w:sz="4" w:space="0" w:color="auto"/>
            </w:tcBorders>
            <w:shd w:val="clear" w:color="000000" w:fill="FFFFFF"/>
            <w:noWrap/>
            <w:vAlign w:val="center"/>
            <w:hideMark/>
          </w:tcPr>
          <w:p w14:paraId="04548D48"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0 [0%]</w:t>
            </w:r>
          </w:p>
        </w:tc>
        <w:tc>
          <w:tcPr>
            <w:tcW w:w="564" w:type="pct"/>
            <w:tcBorders>
              <w:top w:val="nil"/>
              <w:left w:val="nil"/>
              <w:bottom w:val="single" w:sz="4" w:space="0" w:color="auto"/>
              <w:right w:val="single" w:sz="4" w:space="0" w:color="auto"/>
            </w:tcBorders>
            <w:shd w:val="clear" w:color="000000" w:fill="FFFFFF"/>
            <w:noWrap/>
            <w:vAlign w:val="center"/>
            <w:hideMark/>
          </w:tcPr>
          <w:p w14:paraId="3ABCB775"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-17 [-4%]</w:t>
            </w:r>
          </w:p>
        </w:tc>
        <w:tc>
          <w:tcPr>
            <w:tcW w:w="564" w:type="pct"/>
            <w:tcBorders>
              <w:top w:val="nil"/>
              <w:left w:val="nil"/>
              <w:bottom w:val="single" w:sz="4" w:space="0" w:color="auto"/>
              <w:right w:val="single" w:sz="4" w:space="0" w:color="auto"/>
            </w:tcBorders>
            <w:shd w:val="clear" w:color="000000" w:fill="FFFFFF"/>
            <w:noWrap/>
            <w:vAlign w:val="center"/>
            <w:hideMark/>
          </w:tcPr>
          <w:p w14:paraId="74D6D519"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-47 [-12%]</w:t>
            </w:r>
          </w:p>
        </w:tc>
        <w:tc>
          <w:tcPr>
            <w:tcW w:w="916" w:type="pct"/>
            <w:tcBorders>
              <w:top w:val="nil"/>
              <w:left w:val="nil"/>
              <w:bottom w:val="single" w:sz="4" w:space="0" w:color="auto"/>
              <w:right w:val="single" w:sz="4" w:space="0" w:color="auto"/>
            </w:tcBorders>
            <w:shd w:val="clear" w:color="000000" w:fill="FFFFFF"/>
            <w:noWrap/>
            <w:vAlign w:val="center"/>
            <w:hideMark/>
          </w:tcPr>
          <w:p w14:paraId="70BA18DD"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-81 [-20%]</w:t>
            </w:r>
          </w:p>
        </w:tc>
        <w:tc>
          <w:tcPr>
            <w:tcW w:w="1267" w:type="pct"/>
            <w:tcBorders>
              <w:top w:val="nil"/>
              <w:left w:val="nil"/>
              <w:bottom w:val="single" w:sz="4" w:space="0" w:color="auto"/>
              <w:right w:val="single" w:sz="4" w:space="0" w:color="auto"/>
            </w:tcBorders>
            <w:shd w:val="clear" w:color="000000" w:fill="FFFFFF"/>
            <w:noWrap/>
            <w:vAlign w:val="center"/>
            <w:hideMark/>
          </w:tcPr>
          <w:p w14:paraId="2E58CEFF"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-81 [-20%]</w:t>
            </w:r>
          </w:p>
        </w:tc>
      </w:tr>
      <w:tr w:rsidR="00D24603" w:rsidRPr="00622422" w14:paraId="0F794DF9" w14:textId="77777777" w:rsidTr="00435936">
        <w:trPr>
          <w:trHeight w:val="20"/>
        </w:trPr>
        <w:tc>
          <w:tcPr>
            <w:tcW w:w="4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4B3C0D3"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24</w:t>
            </w:r>
          </w:p>
        </w:tc>
        <w:tc>
          <w:tcPr>
            <w:tcW w:w="634" w:type="pct"/>
            <w:tcBorders>
              <w:top w:val="nil"/>
              <w:left w:val="nil"/>
              <w:bottom w:val="nil"/>
              <w:right w:val="single" w:sz="4" w:space="0" w:color="auto"/>
            </w:tcBorders>
            <w:shd w:val="clear" w:color="000000" w:fill="FFFFFF"/>
            <w:noWrap/>
            <w:vAlign w:val="center"/>
            <w:hideMark/>
          </w:tcPr>
          <w:p w14:paraId="6EF929A7"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w:t>
            </w:r>
          </w:p>
        </w:tc>
        <w:tc>
          <w:tcPr>
            <w:tcW w:w="564" w:type="pct"/>
            <w:tcBorders>
              <w:top w:val="nil"/>
              <w:left w:val="nil"/>
              <w:bottom w:val="nil"/>
              <w:right w:val="single" w:sz="4" w:space="0" w:color="auto"/>
            </w:tcBorders>
            <w:shd w:val="clear" w:color="000000" w:fill="FFFFFF"/>
            <w:noWrap/>
            <w:vAlign w:val="center"/>
            <w:hideMark/>
          </w:tcPr>
          <w:p w14:paraId="67BFE50D"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Nalo: 35%</w:t>
            </w:r>
          </w:p>
        </w:tc>
        <w:tc>
          <w:tcPr>
            <w:tcW w:w="564" w:type="pct"/>
            <w:tcBorders>
              <w:top w:val="nil"/>
              <w:left w:val="nil"/>
              <w:bottom w:val="nil"/>
              <w:right w:val="single" w:sz="4" w:space="0" w:color="auto"/>
            </w:tcBorders>
            <w:shd w:val="clear" w:color="000000" w:fill="FFFFFF"/>
            <w:noWrap/>
            <w:vAlign w:val="center"/>
            <w:hideMark/>
          </w:tcPr>
          <w:p w14:paraId="47C30774"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Rete: 86%</w:t>
            </w:r>
          </w:p>
        </w:tc>
        <w:tc>
          <w:tcPr>
            <w:tcW w:w="564" w:type="pct"/>
            <w:tcBorders>
              <w:top w:val="nil"/>
              <w:left w:val="nil"/>
              <w:bottom w:val="nil"/>
              <w:right w:val="single" w:sz="4" w:space="0" w:color="auto"/>
            </w:tcBorders>
            <w:shd w:val="clear" w:color="000000" w:fill="FFFFFF"/>
            <w:noWrap/>
            <w:vAlign w:val="center"/>
            <w:hideMark/>
          </w:tcPr>
          <w:p w14:paraId="2001BDEA"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149%</w:t>
            </w:r>
          </w:p>
        </w:tc>
        <w:tc>
          <w:tcPr>
            <w:tcW w:w="916" w:type="pct"/>
            <w:tcBorders>
              <w:top w:val="nil"/>
              <w:left w:val="nil"/>
              <w:bottom w:val="nil"/>
              <w:right w:val="single" w:sz="4" w:space="0" w:color="auto"/>
            </w:tcBorders>
            <w:shd w:val="clear" w:color="000000" w:fill="FFFFFF"/>
            <w:noWrap/>
            <w:vAlign w:val="center"/>
            <w:hideMark/>
          </w:tcPr>
          <w:p w14:paraId="7DDF8C80"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46%, Rete: 250%</w:t>
            </w:r>
          </w:p>
        </w:tc>
        <w:tc>
          <w:tcPr>
            <w:tcW w:w="1267" w:type="pct"/>
            <w:tcBorders>
              <w:top w:val="nil"/>
              <w:left w:val="nil"/>
              <w:bottom w:val="nil"/>
              <w:right w:val="single" w:sz="4" w:space="0" w:color="auto"/>
            </w:tcBorders>
            <w:shd w:val="clear" w:color="000000" w:fill="FFFFFF"/>
            <w:noWrap/>
            <w:vAlign w:val="center"/>
            <w:hideMark/>
          </w:tcPr>
          <w:p w14:paraId="041E0A2F"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46%, Rete: 250%, Nalo: 35%</w:t>
            </w:r>
          </w:p>
        </w:tc>
      </w:tr>
      <w:tr w:rsidR="00D24603" w:rsidRPr="00622422" w14:paraId="202A2772" w14:textId="77777777" w:rsidTr="00435936">
        <w:trPr>
          <w:trHeight w:val="20"/>
        </w:trPr>
        <w:tc>
          <w:tcPr>
            <w:tcW w:w="492" w:type="pct"/>
            <w:vMerge/>
            <w:tcBorders>
              <w:top w:val="nil"/>
              <w:left w:val="single" w:sz="4" w:space="0" w:color="auto"/>
              <w:bottom w:val="single" w:sz="4" w:space="0" w:color="000000"/>
              <w:right w:val="single" w:sz="4" w:space="0" w:color="auto"/>
            </w:tcBorders>
            <w:vAlign w:val="center"/>
            <w:hideMark/>
          </w:tcPr>
          <w:p w14:paraId="3BB0F2F8"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4" w:type="pct"/>
            <w:tcBorders>
              <w:top w:val="nil"/>
              <w:left w:val="nil"/>
              <w:bottom w:val="single" w:sz="4" w:space="0" w:color="auto"/>
              <w:right w:val="single" w:sz="4" w:space="0" w:color="auto"/>
            </w:tcBorders>
            <w:shd w:val="clear" w:color="000000" w:fill="FFFFFF"/>
            <w:noWrap/>
            <w:vAlign w:val="center"/>
            <w:hideMark/>
          </w:tcPr>
          <w:p w14:paraId="0E65DFB3"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455</w:t>
            </w:r>
          </w:p>
        </w:tc>
        <w:tc>
          <w:tcPr>
            <w:tcW w:w="564" w:type="pct"/>
            <w:tcBorders>
              <w:top w:val="nil"/>
              <w:left w:val="nil"/>
              <w:bottom w:val="single" w:sz="4" w:space="0" w:color="auto"/>
              <w:right w:val="single" w:sz="4" w:space="0" w:color="auto"/>
            </w:tcBorders>
            <w:shd w:val="clear" w:color="000000" w:fill="FFFFFF"/>
            <w:noWrap/>
            <w:vAlign w:val="center"/>
            <w:hideMark/>
          </w:tcPr>
          <w:p w14:paraId="75439411"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-6 [-1%]</w:t>
            </w:r>
          </w:p>
        </w:tc>
        <w:tc>
          <w:tcPr>
            <w:tcW w:w="564" w:type="pct"/>
            <w:tcBorders>
              <w:top w:val="nil"/>
              <w:left w:val="nil"/>
              <w:bottom w:val="single" w:sz="4" w:space="0" w:color="auto"/>
              <w:right w:val="single" w:sz="4" w:space="0" w:color="auto"/>
            </w:tcBorders>
            <w:shd w:val="clear" w:color="000000" w:fill="FFFFFF"/>
            <w:noWrap/>
            <w:vAlign w:val="center"/>
            <w:hideMark/>
          </w:tcPr>
          <w:p w14:paraId="3C94394D"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-23 [-5%]</w:t>
            </w:r>
          </w:p>
        </w:tc>
        <w:tc>
          <w:tcPr>
            <w:tcW w:w="564" w:type="pct"/>
            <w:tcBorders>
              <w:top w:val="nil"/>
              <w:left w:val="nil"/>
              <w:bottom w:val="single" w:sz="4" w:space="0" w:color="auto"/>
              <w:right w:val="single" w:sz="4" w:space="0" w:color="auto"/>
            </w:tcBorders>
            <w:shd w:val="clear" w:color="000000" w:fill="FFFFFF"/>
            <w:noWrap/>
            <w:vAlign w:val="center"/>
            <w:hideMark/>
          </w:tcPr>
          <w:p w14:paraId="1D6712D2"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-37 [-8%]</w:t>
            </w:r>
          </w:p>
        </w:tc>
        <w:tc>
          <w:tcPr>
            <w:tcW w:w="916" w:type="pct"/>
            <w:tcBorders>
              <w:top w:val="nil"/>
              <w:left w:val="nil"/>
              <w:bottom w:val="single" w:sz="4" w:space="0" w:color="auto"/>
              <w:right w:val="single" w:sz="4" w:space="0" w:color="auto"/>
            </w:tcBorders>
            <w:shd w:val="clear" w:color="000000" w:fill="FFFFFF"/>
            <w:noWrap/>
            <w:vAlign w:val="center"/>
            <w:hideMark/>
          </w:tcPr>
          <w:p w14:paraId="1649BF95"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-68 [-15%]</w:t>
            </w:r>
          </w:p>
        </w:tc>
        <w:tc>
          <w:tcPr>
            <w:tcW w:w="1267" w:type="pct"/>
            <w:tcBorders>
              <w:top w:val="nil"/>
              <w:left w:val="nil"/>
              <w:bottom w:val="single" w:sz="4" w:space="0" w:color="auto"/>
              <w:right w:val="single" w:sz="4" w:space="0" w:color="auto"/>
            </w:tcBorders>
            <w:shd w:val="clear" w:color="000000" w:fill="FFFFFF"/>
            <w:noWrap/>
            <w:vAlign w:val="center"/>
            <w:hideMark/>
          </w:tcPr>
          <w:p w14:paraId="264780EF"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-73 [-16%]</w:t>
            </w:r>
          </w:p>
        </w:tc>
      </w:tr>
      <w:tr w:rsidR="00D24603" w:rsidRPr="00622422" w14:paraId="100E7009" w14:textId="77777777" w:rsidTr="00435936">
        <w:trPr>
          <w:trHeight w:val="20"/>
        </w:trPr>
        <w:tc>
          <w:tcPr>
            <w:tcW w:w="4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C37F2FF"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C2</w:t>
            </w:r>
            <w:r w:rsidRPr="00622422">
              <w:rPr>
                <w:rFonts w:ascii="Calibri" w:eastAsia="Times New Roman" w:hAnsi="Calibri" w:cs="Calibri"/>
                <w:color w:val="000000"/>
                <w:kern w:val="0"/>
                <w:sz w:val="16"/>
                <w:szCs w:val="16"/>
                <w14:ligatures w14:val="none"/>
              </w:rPr>
              <w:t>5</w:t>
            </w:r>
          </w:p>
        </w:tc>
        <w:tc>
          <w:tcPr>
            <w:tcW w:w="634" w:type="pct"/>
            <w:tcBorders>
              <w:top w:val="nil"/>
              <w:left w:val="nil"/>
              <w:bottom w:val="nil"/>
              <w:right w:val="single" w:sz="4" w:space="0" w:color="auto"/>
            </w:tcBorders>
            <w:shd w:val="clear" w:color="000000" w:fill="FFFFFF"/>
            <w:noWrap/>
            <w:vAlign w:val="center"/>
            <w:hideMark/>
          </w:tcPr>
          <w:p w14:paraId="5971C50D"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w:t>
            </w:r>
          </w:p>
        </w:tc>
        <w:tc>
          <w:tcPr>
            <w:tcW w:w="564" w:type="pct"/>
            <w:tcBorders>
              <w:top w:val="nil"/>
              <w:left w:val="nil"/>
              <w:bottom w:val="nil"/>
              <w:right w:val="single" w:sz="4" w:space="0" w:color="auto"/>
            </w:tcBorders>
            <w:shd w:val="clear" w:color="000000" w:fill="FFFFFF"/>
            <w:noWrap/>
            <w:vAlign w:val="center"/>
            <w:hideMark/>
          </w:tcPr>
          <w:p w14:paraId="7CA16833"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Nalo: 14%</w:t>
            </w:r>
          </w:p>
        </w:tc>
        <w:tc>
          <w:tcPr>
            <w:tcW w:w="564" w:type="pct"/>
            <w:tcBorders>
              <w:top w:val="nil"/>
              <w:left w:val="nil"/>
              <w:bottom w:val="nil"/>
              <w:right w:val="single" w:sz="4" w:space="0" w:color="auto"/>
            </w:tcBorders>
            <w:shd w:val="clear" w:color="000000" w:fill="FFFFFF"/>
            <w:noWrap/>
            <w:vAlign w:val="center"/>
            <w:hideMark/>
          </w:tcPr>
          <w:p w14:paraId="57275C9E"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Rete: 259%</w:t>
            </w:r>
          </w:p>
        </w:tc>
        <w:tc>
          <w:tcPr>
            <w:tcW w:w="564" w:type="pct"/>
            <w:tcBorders>
              <w:top w:val="nil"/>
              <w:left w:val="nil"/>
              <w:bottom w:val="nil"/>
              <w:right w:val="single" w:sz="4" w:space="0" w:color="auto"/>
            </w:tcBorders>
            <w:shd w:val="clear" w:color="000000" w:fill="FFFFFF"/>
            <w:noWrap/>
            <w:vAlign w:val="center"/>
            <w:hideMark/>
          </w:tcPr>
          <w:p w14:paraId="1C190F6A"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555%</w:t>
            </w:r>
          </w:p>
        </w:tc>
        <w:tc>
          <w:tcPr>
            <w:tcW w:w="916" w:type="pct"/>
            <w:tcBorders>
              <w:top w:val="nil"/>
              <w:left w:val="nil"/>
              <w:bottom w:val="nil"/>
              <w:right w:val="single" w:sz="4" w:space="0" w:color="auto"/>
            </w:tcBorders>
            <w:shd w:val="clear" w:color="000000" w:fill="FFFFFF"/>
            <w:noWrap/>
            <w:vAlign w:val="center"/>
            <w:hideMark/>
          </w:tcPr>
          <w:p w14:paraId="08710C36"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217%, Rete: 1234%</w:t>
            </w:r>
          </w:p>
        </w:tc>
        <w:tc>
          <w:tcPr>
            <w:tcW w:w="1267" w:type="pct"/>
            <w:tcBorders>
              <w:top w:val="nil"/>
              <w:left w:val="nil"/>
              <w:bottom w:val="nil"/>
              <w:right w:val="single" w:sz="4" w:space="0" w:color="auto"/>
            </w:tcBorders>
            <w:shd w:val="clear" w:color="000000" w:fill="FFFFFF"/>
            <w:noWrap/>
            <w:vAlign w:val="center"/>
            <w:hideMark/>
          </w:tcPr>
          <w:p w14:paraId="73EE17A8"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217%, Rete: 1234%, Nalo: 14%</w:t>
            </w:r>
          </w:p>
        </w:tc>
      </w:tr>
      <w:tr w:rsidR="00D24603" w:rsidRPr="00622422" w14:paraId="1C0D8B5A" w14:textId="77777777" w:rsidTr="00435936">
        <w:trPr>
          <w:trHeight w:val="20"/>
        </w:trPr>
        <w:tc>
          <w:tcPr>
            <w:tcW w:w="492" w:type="pct"/>
            <w:vMerge/>
            <w:tcBorders>
              <w:top w:val="nil"/>
              <w:left w:val="single" w:sz="4" w:space="0" w:color="auto"/>
              <w:bottom w:val="single" w:sz="4" w:space="0" w:color="000000"/>
              <w:right w:val="single" w:sz="4" w:space="0" w:color="auto"/>
            </w:tcBorders>
            <w:vAlign w:val="center"/>
            <w:hideMark/>
          </w:tcPr>
          <w:p w14:paraId="14ECC13E"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4" w:type="pct"/>
            <w:tcBorders>
              <w:top w:val="nil"/>
              <w:left w:val="nil"/>
              <w:bottom w:val="single" w:sz="4" w:space="0" w:color="auto"/>
              <w:right w:val="single" w:sz="4" w:space="0" w:color="auto"/>
            </w:tcBorders>
            <w:shd w:val="clear" w:color="000000" w:fill="FFFFFF"/>
            <w:noWrap/>
            <w:vAlign w:val="center"/>
            <w:hideMark/>
          </w:tcPr>
          <w:p w14:paraId="59BE354C"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390</w:t>
            </w:r>
          </w:p>
        </w:tc>
        <w:tc>
          <w:tcPr>
            <w:tcW w:w="564" w:type="pct"/>
            <w:tcBorders>
              <w:top w:val="nil"/>
              <w:left w:val="nil"/>
              <w:bottom w:val="single" w:sz="4" w:space="0" w:color="auto"/>
              <w:right w:val="single" w:sz="4" w:space="0" w:color="auto"/>
            </w:tcBorders>
            <w:shd w:val="clear" w:color="000000" w:fill="FFFFFF"/>
            <w:noWrap/>
            <w:vAlign w:val="center"/>
            <w:hideMark/>
          </w:tcPr>
          <w:p w14:paraId="710F9347"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-2 [-1%]</w:t>
            </w:r>
          </w:p>
        </w:tc>
        <w:tc>
          <w:tcPr>
            <w:tcW w:w="564" w:type="pct"/>
            <w:tcBorders>
              <w:top w:val="nil"/>
              <w:left w:val="nil"/>
              <w:bottom w:val="single" w:sz="4" w:space="0" w:color="auto"/>
              <w:right w:val="single" w:sz="4" w:space="0" w:color="auto"/>
            </w:tcBorders>
            <w:shd w:val="clear" w:color="000000" w:fill="FFFFFF"/>
            <w:noWrap/>
            <w:vAlign w:val="center"/>
            <w:hideMark/>
          </w:tcPr>
          <w:p w14:paraId="7D91EF7E"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-13 [-3%]</w:t>
            </w:r>
          </w:p>
        </w:tc>
        <w:tc>
          <w:tcPr>
            <w:tcW w:w="564" w:type="pct"/>
            <w:tcBorders>
              <w:top w:val="nil"/>
              <w:left w:val="nil"/>
              <w:bottom w:val="single" w:sz="4" w:space="0" w:color="auto"/>
              <w:right w:val="single" w:sz="4" w:space="0" w:color="auto"/>
            </w:tcBorders>
            <w:shd w:val="clear" w:color="000000" w:fill="FFFFFF"/>
            <w:noWrap/>
            <w:vAlign w:val="center"/>
            <w:hideMark/>
          </w:tcPr>
          <w:p w14:paraId="629DB9C5"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-41 [-11%]</w:t>
            </w:r>
          </w:p>
        </w:tc>
        <w:tc>
          <w:tcPr>
            <w:tcW w:w="916" w:type="pct"/>
            <w:tcBorders>
              <w:top w:val="nil"/>
              <w:left w:val="nil"/>
              <w:bottom w:val="single" w:sz="4" w:space="0" w:color="auto"/>
              <w:right w:val="single" w:sz="4" w:space="0" w:color="auto"/>
            </w:tcBorders>
            <w:shd w:val="clear" w:color="000000" w:fill="FFFFFF"/>
            <w:noWrap/>
            <w:vAlign w:val="center"/>
            <w:hideMark/>
          </w:tcPr>
          <w:p w14:paraId="57ECA44A"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-73 [-19%]</w:t>
            </w:r>
          </w:p>
        </w:tc>
        <w:tc>
          <w:tcPr>
            <w:tcW w:w="1267" w:type="pct"/>
            <w:tcBorders>
              <w:top w:val="nil"/>
              <w:left w:val="nil"/>
              <w:bottom w:val="single" w:sz="4" w:space="0" w:color="auto"/>
              <w:right w:val="single" w:sz="4" w:space="0" w:color="auto"/>
            </w:tcBorders>
            <w:shd w:val="clear" w:color="000000" w:fill="FFFFFF"/>
            <w:noWrap/>
            <w:vAlign w:val="center"/>
            <w:hideMark/>
          </w:tcPr>
          <w:p w14:paraId="2C67900A"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-74 [-19%]</w:t>
            </w:r>
          </w:p>
        </w:tc>
      </w:tr>
      <w:tr w:rsidR="00D24603" w:rsidRPr="00622422" w14:paraId="69D096CB" w14:textId="77777777" w:rsidTr="00435936">
        <w:trPr>
          <w:trHeight w:val="20"/>
        </w:trPr>
        <w:tc>
          <w:tcPr>
            <w:tcW w:w="49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EA7CC9E"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26</w:t>
            </w:r>
          </w:p>
        </w:tc>
        <w:tc>
          <w:tcPr>
            <w:tcW w:w="634" w:type="pct"/>
            <w:tcBorders>
              <w:top w:val="nil"/>
              <w:left w:val="nil"/>
              <w:bottom w:val="nil"/>
              <w:right w:val="single" w:sz="4" w:space="0" w:color="auto"/>
            </w:tcBorders>
            <w:shd w:val="clear" w:color="000000" w:fill="FFFFFF"/>
            <w:noWrap/>
            <w:vAlign w:val="center"/>
            <w:hideMark/>
          </w:tcPr>
          <w:p w14:paraId="1661A9D6"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w:t>
            </w:r>
          </w:p>
        </w:tc>
        <w:tc>
          <w:tcPr>
            <w:tcW w:w="564" w:type="pct"/>
            <w:tcBorders>
              <w:top w:val="nil"/>
              <w:left w:val="nil"/>
              <w:bottom w:val="nil"/>
              <w:right w:val="single" w:sz="4" w:space="0" w:color="auto"/>
            </w:tcBorders>
            <w:shd w:val="clear" w:color="000000" w:fill="FFFFFF"/>
            <w:noWrap/>
            <w:vAlign w:val="center"/>
            <w:hideMark/>
          </w:tcPr>
          <w:p w14:paraId="3BBD2174"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Nalo: 0%</w:t>
            </w:r>
          </w:p>
        </w:tc>
        <w:tc>
          <w:tcPr>
            <w:tcW w:w="564" w:type="pct"/>
            <w:tcBorders>
              <w:top w:val="nil"/>
              <w:left w:val="nil"/>
              <w:bottom w:val="nil"/>
              <w:right w:val="single" w:sz="4" w:space="0" w:color="auto"/>
            </w:tcBorders>
            <w:shd w:val="clear" w:color="000000" w:fill="FFFFFF"/>
            <w:noWrap/>
            <w:vAlign w:val="center"/>
            <w:hideMark/>
          </w:tcPr>
          <w:p w14:paraId="61B92725"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Rete: 62%</w:t>
            </w:r>
          </w:p>
        </w:tc>
        <w:tc>
          <w:tcPr>
            <w:tcW w:w="564" w:type="pct"/>
            <w:tcBorders>
              <w:top w:val="nil"/>
              <w:left w:val="nil"/>
              <w:bottom w:val="nil"/>
              <w:right w:val="single" w:sz="4" w:space="0" w:color="auto"/>
            </w:tcBorders>
            <w:shd w:val="clear" w:color="000000" w:fill="FFFFFF"/>
            <w:noWrap/>
            <w:vAlign w:val="center"/>
            <w:hideMark/>
          </w:tcPr>
          <w:p w14:paraId="171FA5A3"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184%</w:t>
            </w:r>
          </w:p>
        </w:tc>
        <w:tc>
          <w:tcPr>
            <w:tcW w:w="916" w:type="pct"/>
            <w:tcBorders>
              <w:top w:val="nil"/>
              <w:left w:val="nil"/>
              <w:bottom w:val="nil"/>
              <w:right w:val="single" w:sz="4" w:space="0" w:color="auto"/>
            </w:tcBorders>
            <w:shd w:val="clear" w:color="000000" w:fill="FFFFFF"/>
            <w:noWrap/>
            <w:vAlign w:val="center"/>
            <w:hideMark/>
          </w:tcPr>
          <w:p w14:paraId="342226F9"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92%, Rete: 265%</w:t>
            </w:r>
          </w:p>
        </w:tc>
        <w:tc>
          <w:tcPr>
            <w:tcW w:w="1267" w:type="pct"/>
            <w:tcBorders>
              <w:top w:val="nil"/>
              <w:left w:val="nil"/>
              <w:bottom w:val="nil"/>
              <w:right w:val="single" w:sz="4" w:space="0" w:color="auto"/>
            </w:tcBorders>
            <w:shd w:val="clear" w:color="000000" w:fill="FFFFFF"/>
            <w:noWrap/>
            <w:vAlign w:val="center"/>
            <w:hideMark/>
          </w:tcPr>
          <w:p w14:paraId="1D3DE03F" w14:textId="77777777" w:rsidR="00D24603" w:rsidRPr="00F00D76" w:rsidRDefault="00D24603" w:rsidP="00CE3D62">
            <w:pPr>
              <w:spacing w:after="0"/>
              <w:jc w:val="center"/>
              <w:rPr>
                <w:rFonts w:ascii="Calibri" w:eastAsia="Times New Roman" w:hAnsi="Calibri" w:cs="Calibri"/>
                <w:i/>
                <w:iCs/>
                <w:color w:val="000000"/>
                <w:kern w:val="0"/>
                <w:sz w:val="16"/>
                <w:szCs w:val="16"/>
                <w14:ligatures w14:val="none"/>
              </w:rPr>
            </w:pPr>
            <w:r w:rsidRPr="00F00D76">
              <w:rPr>
                <w:rFonts w:ascii="Calibri" w:hAnsi="Calibri" w:cs="Calibri"/>
                <w:i/>
                <w:iCs/>
                <w:color w:val="000000"/>
                <w:sz w:val="16"/>
                <w:szCs w:val="16"/>
              </w:rPr>
              <w:t>Init: 92%, Rete: 265%, Nalo: 0%</w:t>
            </w:r>
          </w:p>
        </w:tc>
      </w:tr>
      <w:tr w:rsidR="00D24603" w:rsidRPr="00622422" w14:paraId="0D589377" w14:textId="77777777" w:rsidTr="00435936">
        <w:trPr>
          <w:trHeight w:val="20"/>
        </w:trPr>
        <w:tc>
          <w:tcPr>
            <w:tcW w:w="492" w:type="pct"/>
            <w:vMerge/>
            <w:tcBorders>
              <w:top w:val="nil"/>
              <w:left w:val="single" w:sz="4" w:space="0" w:color="auto"/>
              <w:bottom w:val="single" w:sz="4" w:space="0" w:color="000000"/>
              <w:right w:val="single" w:sz="4" w:space="0" w:color="auto"/>
            </w:tcBorders>
            <w:vAlign w:val="center"/>
            <w:hideMark/>
          </w:tcPr>
          <w:p w14:paraId="0235D5A6"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4" w:type="pct"/>
            <w:tcBorders>
              <w:top w:val="nil"/>
              <w:left w:val="nil"/>
              <w:bottom w:val="single" w:sz="4" w:space="0" w:color="auto"/>
              <w:right w:val="single" w:sz="4" w:space="0" w:color="auto"/>
            </w:tcBorders>
            <w:shd w:val="clear" w:color="000000" w:fill="FFFFFF"/>
            <w:noWrap/>
            <w:vAlign w:val="center"/>
            <w:hideMark/>
          </w:tcPr>
          <w:p w14:paraId="6651E3FF"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347</w:t>
            </w:r>
          </w:p>
        </w:tc>
        <w:tc>
          <w:tcPr>
            <w:tcW w:w="564" w:type="pct"/>
            <w:tcBorders>
              <w:top w:val="nil"/>
              <w:left w:val="nil"/>
              <w:bottom w:val="single" w:sz="4" w:space="0" w:color="auto"/>
              <w:right w:val="single" w:sz="4" w:space="0" w:color="auto"/>
            </w:tcBorders>
            <w:shd w:val="clear" w:color="000000" w:fill="FFFFFF"/>
            <w:noWrap/>
            <w:vAlign w:val="center"/>
            <w:hideMark/>
          </w:tcPr>
          <w:p w14:paraId="6EA48B4C"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0 [0%]</w:t>
            </w:r>
          </w:p>
        </w:tc>
        <w:tc>
          <w:tcPr>
            <w:tcW w:w="564" w:type="pct"/>
            <w:tcBorders>
              <w:top w:val="nil"/>
              <w:left w:val="nil"/>
              <w:bottom w:val="single" w:sz="4" w:space="0" w:color="auto"/>
              <w:right w:val="single" w:sz="4" w:space="0" w:color="auto"/>
            </w:tcBorders>
            <w:shd w:val="clear" w:color="000000" w:fill="FFFFFF"/>
            <w:noWrap/>
            <w:vAlign w:val="center"/>
            <w:hideMark/>
          </w:tcPr>
          <w:p w14:paraId="3980D566"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-8 [-2%]</w:t>
            </w:r>
          </w:p>
        </w:tc>
        <w:tc>
          <w:tcPr>
            <w:tcW w:w="564" w:type="pct"/>
            <w:tcBorders>
              <w:top w:val="nil"/>
              <w:left w:val="nil"/>
              <w:bottom w:val="single" w:sz="4" w:space="0" w:color="auto"/>
              <w:right w:val="single" w:sz="4" w:space="0" w:color="auto"/>
            </w:tcBorders>
            <w:shd w:val="clear" w:color="000000" w:fill="FFFFFF"/>
            <w:noWrap/>
            <w:vAlign w:val="center"/>
            <w:hideMark/>
          </w:tcPr>
          <w:p w14:paraId="1E878E63"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-22 [-6%]</w:t>
            </w:r>
          </w:p>
        </w:tc>
        <w:tc>
          <w:tcPr>
            <w:tcW w:w="916" w:type="pct"/>
            <w:tcBorders>
              <w:top w:val="nil"/>
              <w:left w:val="nil"/>
              <w:bottom w:val="single" w:sz="4" w:space="0" w:color="auto"/>
              <w:right w:val="single" w:sz="4" w:space="0" w:color="auto"/>
            </w:tcBorders>
            <w:shd w:val="clear" w:color="000000" w:fill="FFFFFF"/>
            <w:noWrap/>
            <w:vAlign w:val="center"/>
            <w:hideMark/>
          </w:tcPr>
          <w:p w14:paraId="516E27C2"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-34 [-10%]</w:t>
            </w:r>
          </w:p>
        </w:tc>
        <w:tc>
          <w:tcPr>
            <w:tcW w:w="1267" w:type="pct"/>
            <w:tcBorders>
              <w:top w:val="nil"/>
              <w:left w:val="nil"/>
              <w:bottom w:val="single" w:sz="4" w:space="0" w:color="auto"/>
              <w:right w:val="single" w:sz="4" w:space="0" w:color="auto"/>
            </w:tcBorders>
            <w:shd w:val="clear" w:color="000000" w:fill="FFFFFF"/>
            <w:noWrap/>
            <w:vAlign w:val="center"/>
            <w:hideMark/>
          </w:tcPr>
          <w:p w14:paraId="09F8155F" w14:textId="77777777" w:rsidR="00D24603" w:rsidRPr="00F00D76" w:rsidRDefault="00D24603" w:rsidP="00CE3D62">
            <w:pPr>
              <w:spacing w:after="0"/>
              <w:jc w:val="center"/>
              <w:rPr>
                <w:rFonts w:ascii="Calibri" w:eastAsia="Times New Roman" w:hAnsi="Calibri" w:cs="Calibri"/>
                <w:b/>
                <w:bCs/>
                <w:color w:val="000000"/>
                <w:kern w:val="0"/>
                <w:sz w:val="16"/>
                <w:szCs w:val="16"/>
                <w14:ligatures w14:val="none"/>
              </w:rPr>
            </w:pPr>
            <w:r w:rsidRPr="00F00D76">
              <w:rPr>
                <w:rFonts w:ascii="Calibri" w:hAnsi="Calibri" w:cs="Calibri"/>
                <w:b/>
                <w:bCs/>
                <w:color w:val="000000"/>
                <w:sz w:val="16"/>
                <w:szCs w:val="16"/>
              </w:rPr>
              <w:t>-34 [-10%]</w:t>
            </w:r>
          </w:p>
        </w:tc>
      </w:tr>
    </w:tbl>
    <w:p w14:paraId="1A1DE751" w14:textId="77777777" w:rsidR="00D24603" w:rsidRPr="00F06B14" w:rsidRDefault="00D24603" w:rsidP="00CE3D62">
      <w:pPr>
        <w:spacing w:after="0"/>
        <w:rPr>
          <w:szCs w:val="20"/>
        </w:rPr>
      </w:pPr>
      <w:r w:rsidRPr="00F06B14">
        <w:rPr>
          <w:szCs w:val="20"/>
        </w:rPr>
        <w:lastRenderedPageBreak/>
        <w:t xml:space="preserve">Abbreviations: </w:t>
      </w:r>
      <w:r>
        <w:rPr>
          <w:szCs w:val="20"/>
        </w:rPr>
        <w:t xml:space="preserve">C = Community, EBP = Evidence-Based Practice; </w:t>
      </w:r>
      <w:r w:rsidRPr="00F06B14">
        <w:rPr>
          <w:szCs w:val="20"/>
        </w:rPr>
        <w:t>Init = Improved Initiation</w:t>
      </w:r>
      <w:r>
        <w:rPr>
          <w:szCs w:val="20"/>
        </w:rPr>
        <w:t>;</w:t>
      </w:r>
      <w:r w:rsidRPr="00F06B14">
        <w:rPr>
          <w:szCs w:val="20"/>
        </w:rPr>
        <w:t xml:space="preserve"> Nalo = Improved Naloxone Distribution;</w:t>
      </w:r>
      <w:r>
        <w:rPr>
          <w:szCs w:val="20"/>
        </w:rPr>
        <w:t xml:space="preserve"> </w:t>
      </w:r>
      <w:r w:rsidRPr="00F06B14">
        <w:rPr>
          <w:szCs w:val="20"/>
        </w:rPr>
        <w:t>Rete = Improved Retention.</w:t>
      </w:r>
    </w:p>
    <w:p w14:paraId="083FD2EA" w14:textId="77777777" w:rsidR="00D24603" w:rsidRPr="00F06B14" w:rsidRDefault="00D24603" w:rsidP="00CE3D62">
      <w:pPr>
        <w:spacing w:after="0"/>
        <w:rPr>
          <w:szCs w:val="20"/>
        </w:rPr>
      </w:pPr>
      <w:r w:rsidRPr="00F06B14">
        <w:rPr>
          <w:szCs w:val="20"/>
        </w:rPr>
        <w:t xml:space="preserve">Percentages in brackets represent the relative change compared to the "Maintain </w:t>
      </w:r>
      <w:r>
        <w:rPr>
          <w:szCs w:val="20"/>
        </w:rPr>
        <w:t>2024</w:t>
      </w:r>
      <w:r w:rsidRPr="00F06B14">
        <w:rPr>
          <w:szCs w:val="20"/>
        </w:rPr>
        <w:t xml:space="preserve"> EBP Levels" scenario. Negative percentages indicate a reduction in deaths, while positive percentages indicate an increase.</w:t>
      </w:r>
      <w:r>
        <w:rPr>
          <w:szCs w:val="20"/>
        </w:rPr>
        <w:t xml:space="preserve"> </w:t>
      </w:r>
    </w:p>
    <w:p w14:paraId="138B0F3C" w14:textId="77777777" w:rsidR="00D24603" w:rsidRDefault="00D24603" w:rsidP="00D24603"/>
    <w:p w14:paraId="58D43B6D" w14:textId="36FFBEDE" w:rsidR="00D24603" w:rsidRDefault="00D24603" w:rsidP="00CE3D62">
      <w:pPr>
        <w:spacing w:after="0"/>
      </w:pPr>
      <w:r>
        <w:br w:type="page"/>
      </w:r>
      <w:r w:rsidR="00CE3D62">
        <w:rPr>
          <w:b/>
          <w:bCs/>
        </w:rPr>
        <w:lastRenderedPageBreak/>
        <w:t xml:space="preserve">Supplementary </w:t>
      </w:r>
      <w:r w:rsidRPr="00A55A1D">
        <w:rPr>
          <w:b/>
          <w:bCs/>
        </w:rPr>
        <w:t xml:space="preserve">Table </w:t>
      </w:r>
      <w:r w:rsidR="00A87FBF">
        <w:rPr>
          <w:b/>
          <w:bCs/>
        </w:rPr>
        <w:t>2</w:t>
      </w:r>
      <w:r w:rsidRPr="00A55A1D">
        <w:rPr>
          <w:b/>
          <w:bCs/>
        </w:rPr>
        <w:t>2.</w:t>
      </w:r>
      <w:r>
        <w:t xml:space="preserve"> </w:t>
      </w:r>
      <w:r w:rsidRPr="00F83943">
        <w:t xml:space="preserve">Total (Scenario 1) and incremental (Scenarios 2-6) healthcare costs (million </w:t>
      </w:r>
      <w:r w:rsidR="00A87FBF">
        <w:t>US</w:t>
      </w:r>
      <w:r w:rsidRPr="00F83943">
        <w:t xml:space="preserve">$) associated with opioid misuse between </w:t>
      </w:r>
      <w:r>
        <w:t>2025</w:t>
      </w:r>
      <w:r w:rsidRPr="00F83943">
        <w:t xml:space="preserve"> and 20</w:t>
      </w:r>
      <w:r>
        <w:t>30</w:t>
      </w:r>
      <w:r w:rsidRPr="00F83943">
        <w:t>.</w:t>
      </w:r>
    </w:p>
    <w:tbl>
      <w:tblPr>
        <w:tblW w:w="4737" w:type="pct"/>
        <w:tblLook w:val="04A0" w:firstRow="1" w:lastRow="0" w:firstColumn="1" w:lastColumn="0" w:noHBand="0" w:noVBand="1"/>
      </w:tblPr>
      <w:tblGrid>
        <w:gridCol w:w="998"/>
        <w:gridCol w:w="1300"/>
        <w:gridCol w:w="1155"/>
        <w:gridCol w:w="1153"/>
        <w:gridCol w:w="1153"/>
        <w:gridCol w:w="1873"/>
        <w:gridCol w:w="2590"/>
      </w:tblGrid>
      <w:tr w:rsidR="00D24603" w:rsidRPr="00622422" w14:paraId="250D69C2" w14:textId="77777777" w:rsidTr="00CE3D62">
        <w:trPr>
          <w:trHeight w:val="439"/>
        </w:trPr>
        <w:tc>
          <w:tcPr>
            <w:tcW w:w="488" w:type="pct"/>
            <w:tcBorders>
              <w:top w:val="single" w:sz="4" w:space="0" w:color="auto"/>
              <w:left w:val="single" w:sz="4" w:space="0" w:color="auto"/>
              <w:bottom w:val="single" w:sz="4" w:space="0" w:color="auto"/>
              <w:right w:val="single" w:sz="4" w:space="0" w:color="auto"/>
            </w:tcBorders>
            <w:noWrap/>
            <w:vAlign w:val="center"/>
            <w:hideMark/>
          </w:tcPr>
          <w:p w14:paraId="60F89B23" w14:textId="77777777" w:rsidR="00D24603" w:rsidRPr="00622422" w:rsidRDefault="00D24603" w:rsidP="00CE3D62">
            <w:pPr>
              <w:spacing w:after="0"/>
              <w:jc w:val="center"/>
              <w:rPr>
                <w:rFonts w:ascii="Calibri" w:eastAsia="Times New Roman" w:hAnsi="Calibri" w:cs="Calibri"/>
                <w:b/>
                <w:bCs/>
                <w:color w:val="000000"/>
                <w:kern w:val="0"/>
                <w:sz w:val="16"/>
                <w:szCs w:val="16"/>
                <w14:ligatures w14:val="none"/>
              </w:rPr>
            </w:pPr>
            <w:r w:rsidRPr="00622422">
              <w:rPr>
                <w:rFonts w:ascii="Calibri" w:eastAsia="Times New Roman" w:hAnsi="Calibri" w:cs="Calibri"/>
                <w:b/>
                <w:bCs/>
                <w:color w:val="000000"/>
                <w:kern w:val="0"/>
                <w:sz w:val="16"/>
                <w:szCs w:val="16"/>
                <w14:ligatures w14:val="none"/>
              </w:rPr>
              <w:t>Community</w:t>
            </w:r>
          </w:p>
        </w:tc>
        <w:tc>
          <w:tcPr>
            <w:tcW w:w="636" w:type="pct"/>
            <w:tcBorders>
              <w:top w:val="single" w:sz="4" w:space="0" w:color="auto"/>
              <w:left w:val="nil"/>
              <w:bottom w:val="nil"/>
              <w:right w:val="single" w:sz="4" w:space="0" w:color="auto"/>
            </w:tcBorders>
            <w:vAlign w:val="center"/>
            <w:hideMark/>
          </w:tcPr>
          <w:p w14:paraId="3C64860D" w14:textId="77777777" w:rsidR="00D24603" w:rsidRPr="00622422" w:rsidRDefault="00D24603" w:rsidP="00CE3D62">
            <w:pPr>
              <w:spacing w:after="0"/>
              <w:jc w:val="center"/>
              <w:rPr>
                <w:rFonts w:ascii="Calibri" w:eastAsia="Times New Roman" w:hAnsi="Calibri" w:cs="Calibri"/>
                <w:b/>
                <w:bCs/>
                <w:color w:val="000000"/>
                <w:kern w:val="0"/>
                <w:sz w:val="16"/>
                <w:szCs w:val="16"/>
                <w14:ligatures w14:val="none"/>
              </w:rPr>
            </w:pPr>
            <w:r w:rsidRPr="00622422">
              <w:rPr>
                <w:rFonts w:ascii="Calibri" w:eastAsia="Times New Roman" w:hAnsi="Calibri" w:cs="Calibri"/>
                <w:b/>
                <w:bCs/>
                <w:color w:val="000000"/>
                <w:kern w:val="0"/>
                <w:sz w:val="16"/>
                <w:szCs w:val="16"/>
                <w14:ligatures w14:val="none"/>
              </w:rPr>
              <w:t>Maintain</w:t>
            </w:r>
            <w:r w:rsidRPr="00622422">
              <w:rPr>
                <w:rFonts w:ascii="Calibri" w:eastAsia="Times New Roman" w:hAnsi="Calibri" w:cs="Calibri"/>
                <w:b/>
                <w:bCs/>
                <w:color w:val="000000"/>
                <w:kern w:val="0"/>
                <w:sz w:val="16"/>
                <w:szCs w:val="16"/>
                <w14:ligatures w14:val="none"/>
              </w:rPr>
              <w:br/>
              <w:t>20</w:t>
            </w:r>
            <w:r>
              <w:rPr>
                <w:rFonts w:ascii="Calibri" w:eastAsia="Times New Roman" w:hAnsi="Calibri" w:cs="Calibri"/>
                <w:b/>
                <w:bCs/>
                <w:color w:val="000000"/>
                <w:kern w:val="0"/>
                <w:sz w:val="16"/>
                <w:szCs w:val="16"/>
                <w14:ligatures w14:val="none"/>
              </w:rPr>
              <w:t>24</w:t>
            </w:r>
            <w:r w:rsidRPr="00622422">
              <w:rPr>
                <w:rFonts w:ascii="Calibri" w:eastAsia="Times New Roman" w:hAnsi="Calibri" w:cs="Calibri"/>
                <w:b/>
                <w:bCs/>
                <w:color w:val="000000"/>
                <w:kern w:val="0"/>
                <w:sz w:val="16"/>
                <w:szCs w:val="16"/>
                <w14:ligatures w14:val="none"/>
              </w:rPr>
              <w:t xml:space="preserve"> EBP Levels</w:t>
            </w:r>
            <w:r>
              <w:rPr>
                <w:rFonts w:ascii="Calibri" w:eastAsia="Times New Roman" w:hAnsi="Calibri" w:cs="Calibri"/>
                <w:b/>
                <w:bCs/>
                <w:color w:val="000000"/>
                <w:kern w:val="0"/>
                <w:sz w:val="16"/>
                <w:szCs w:val="16"/>
                <w14:ligatures w14:val="none"/>
              </w:rPr>
              <w:t xml:space="preserve"> (Scenario 1)</w:t>
            </w:r>
          </w:p>
        </w:tc>
        <w:tc>
          <w:tcPr>
            <w:tcW w:w="565" w:type="pct"/>
            <w:tcBorders>
              <w:top w:val="single" w:sz="4" w:space="0" w:color="auto"/>
              <w:left w:val="nil"/>
              <w:bottom w:val="nil"/>
              <w:right w:val="single" w:sz="4" w:space="0" w:color="auto"/>
            </w:tcBorders>
            <w:vAlign w:val="center"/>
            <w:hideMark/>
          </w:tcPr>
          <w:p w14:paraId="77776F9E" w14:textId="77777777" w:rsidR="00D24603" w:rsidRPr="00622422" w:rsidRDefault="00D24603" w:rsidP="00CE3D62">
            <w:pPr>
              <w:spacing w:after="0"/>
              <w:jc w:val="center"/>
              <w:rPr>
                <w:rFonts w:ascii="Calibri" w:eastAsia="Times New Roman" w:hAnsi="Calibri" w:cs="Calibri"/>
                <w:b/>
                <w:bCs/>
                <w:color w:val="000000"/>
                <w:kern w:val="0"/>
                <w:sz w:val="16"/>
                <w:szCs w:val="16"/>
                <w14:ligatures w14:val="none"/>
              </w:rPr>
            </w:pPr>
            <w:r w:rsidRPr="00622422">
              <w:rPr>
                <w:rFonts w:ascii="Calibri" w:eastAsia="Times New Roman" w:hAnsi="Calibri" w:cs="Calibri"/>
                <w:b/>
                <w:bCs/>
                <w:color w:val="000000"/>
                <w:kern w:val="0"/>
                <w:sz w:val="16"/>
                <w:szCs w:val="16"/>
                <w14:ligatures w14:val="none"/>
              </w:rPr>
              <w:t>Improved</w:t>
            </w:r>
            <w:r w:rsidRPr="00622422">
              <w:rPr>
                <w:rFonts w:ascii="Calibri" w:eastAsia="Times New Roman" w:hAnsi="Calibri" w:cs="Calibri"/>
                <w:b/>
                <w:bCs/>
                <w:color w:val="000000"/>
                <w:kern w:val="0"/>
                <w:sz w:val="16"/>
                <w:szCs w:val="16"/>
                <w14:ligatures w14:val="none"/>
              </w:rPr>
              <w:br/>
              <w:t>Naloxone</w:t>
            </w:r>
            <w:r>
              <w:rPr>
                <w:rFonts w:ascii="Calibri" w:eastAsia="Times New Roman" w:hAnsi="Calibri" w:cs="Calibri"/>
                <w:b/>
                <w:bCs/>
                <w:color w:val="000000"/>
                <w:kern w:val="0"/>
                <w:sz w:val="16"/>
                <w:szCs w:val="16"/>
                <w14:ligatures w14:val="none"/>
              </w:rPr>
              <w:t xml:space="preserve"> (Scenario 2)</w:t>
            </w:r>
          </w:p>
        </w:tc>
        <w:tc>
          <w:tcPr>
            <w:tcW w:w="564" w:type="pct"/>
            <w:tcBorders>
              <w:top w:val="single" w:sz="4" w:space="0" w:color="auto"/>
              <w:left w:val="nil"/>
              <w:bottom w:val="single" w:sz="4" w:space="0" w:color="auto"/>
              <w:right w:val="single" w:sz="4" w:space="0" w:color="auto"/>
            </w:tcBorders>
            <w:vAlign w:val="center"/>
            <w:hideMark/>
          </w:tcPr>
          <w:p w14:paraId="3C020ADE" w14:textId="77777777" w:rsidR="00D24603" w:rsidRPr="00622422" w:rsidRDefault="00D24603" w:rsidP="00CE3D62">
            <w:pPr>
              <w:spacing w:after="0"/>
              <w:jc w:val="center"/>
              <w:rPr>
                <w:rFonts w:ascii="Calibri" w:eastAsia="Times New Roman" w:hAnsi="Calibri" w:cs="Calibri"/>
                <w:b/>
                <w:bCs/>
                <w:color w:val="000000"/>
                <w:kern w:val="0"/>
                <w:sz w:val="16"/>
                <w:szCs w:val="16"/>
                <w14:ligatures w14:val="none"/>
              </w:rPr>
            </w:pPr>
            <w:r w:rsidRPr="00622422">
              <w:rPr>
                <w:rFonts w:ascii="Calibri" w:eastAsia="Times New Roman" w:hAnsi="Calibri" w:cs="Calibri"/>
                <w:b/>
                <w:bCs/>
                <w:color w:val="000000"/>
                <w:kern w:val="0"/>
                <w:sz w:val="16"/>
                <w:szCs w:val="16"/>
                <w14:ligatures w14:val="none"/>
              </w:rPr>
              <w:t>Improved</w:t>
            </w:r>
            <w:r w:rsidRPr="00622422">
              <w:rPr>
                <w:rFonts w:ascii="Calibri" w:eastAsia="Times New Roman" w:hAnsi="Calibri" w:cs="Calibri"/>
                <w:b/>
                <w:bCs/>
                <w:color w:val="000000"/>
                <w:kern w:val="0"/>
                <w:sz w:val="16"/>
                <w:szCs w:val="16"/>
                <w14:ligatures w14:val="none"/>
              </w:rPr>
              <w:br/>
              <w:t>Retention</w:t>
            </w:r>
            <w:r>
              <w:rPr>
                <w:rFonts w:ascii="Calibri" w:eastAsia="Times New Roman" w:hAnsi="Calibri" w:cs="Calibri"/>
                <w:b/>
                <w:bCs/>
                <w:color w:val="000000"/>
                <w:kern w:val="0"/>
                <w:sz w:val="16"/>
                <w:szCs w:val="16"/>
                <w14:ligatures w14:val="none"/>
              </w:rPr>
              <w:t xml:space="preserve"> (Scenario 3)</w:t>
            </w:r>
          </w:p>
        </w:tc>
        <w:tc>
          <w:tcPr>
            <w:tcW w:w="564" w:type="pct"/>
            <w:tcBorders>
              <w:top w:val="single" w:sz="4" w:space="0" w:color="auto"/>
              <w:left w:val="nil"/>
              <w:bottom w:val="single" w:sz="4" w:space="0" w:color="auto"/>
              <w:right w:val="single" w:sz="4" w:space="0" w:color="auto"/>
            </w:tcBorders>
            <w:vAlign w:val="center"/>
            <w:hideMark/>
          </w:tcPr>
          <w:p w14:paraId="3567B3E7" w14:textId="77777777" w:rsidR="00D24603" w:rsidRPr="00622422" w:rsidRDefault="00D24603" w:rsidP="00CE3D62">
            <w:pPr>
              <w:spacing w:after="0"/>
              <w:jc w:val="center"/>
              <w:rPr>
                <w:rFonts w:ascii="Calibri" w:eastAsia="Times New Roman" w:hAnsi="Calibri" w:cs="Calibri"/>
                <w:b/>
                <w:bCs/>
                <w:color w:val="000000"/>
                <w:kern w:val="0"/>
                <w:sz w:val="16"/>
                <w:szCs w:val="16"/>
                <w14:ligatures w14:val="none"/>
              </w:rPr>
            </w:pPr>
            <w:r w:rsidRPr="00622422">
              <w:rPr>
                <w:rFonts w:ascii="Calibri" w:eastAsia="Times New Roman" w:hAnsi="Calibri" w:cs="Calibri"/>
                <w:b/>
                <w:bCs/>
                <w:color w:val="000000"/>
                <w:kern w:val="0"/>
                <w:sz w:val="16"/>
                <w:szCs w:val="16"/>
                <w14:ligatures w14:val="none"/>
              </w:rPr>
              <w:t>Improved</w:t>
            </w:r>
            <w:r w:rsidRPr="00622422">
              <w:rPr>
                <w:rFonts w:ascii="Calibri" w:eastAsia="Times New Roman" w:hAnsi="Calibri" w:cs="Calibri"/>
                <w:b/>
                <w:bCs/>
                <w:color w:val="000000"/>
                <w:kern w:val="0"/>
                <w:sz w:val="16"/>
                <w:szCs w:val="16"/>
                <w14:ligatures w14:val="none"/>
              </w:rPr>
              <w:br/>
              <w:t>Initiation</w:t>
            </w:r>
            <w:r>
              <w:rPr>
                <w:rFonts w:ascii="Calibri" w:eastAsia="Times New Roman" w:hAnsi="Calibri" w:cs="Calibri"/>
                <w:b/>
                <w:bCs/>
                <w:color w:val="000000"/>
                <w:kern w:val="0"/>
                <w:sz w:val="16"/>
                <w:szCs w:val="16"/>
                <w14:ligatures w14:val="none"/>
              </w:rPr>
              <w:t xml:space="preserve"> (Scenario 4)</w:t>
            </w:r>
          </w:p>
        </w:tc>
        <w:tc>
          <w:tcPr>
            <w:tcW w:w="916" w:type="pct"/>
            <w:tcBorders>
              <w:top w:val="single" w:sz="4" w:space="0" w:color="auto"/>
              <w:left w:val="nil"/>
              <w:bottom w:val="single" w:sz="4" w:space="0" w:color="auto"/>
              <w:right w:val="single" w:sz="4" w:space="0" w:color="auto"/>
            </w:tcBorders>
            <w:vAlign w:val="center"/>
            <w:hideMark/>
          </w:tcPr>
          <w:p w14:paraId="666D62CF" w14:textId="77777777" w:rsidR="00D24603" w:rsidRPr="00622422" w:rsidRDefault="00D24603" w:rsidP="00CE3D62">
            <w:pPr>
              <w:spacing w:after="0"/>
              <w:jc w:val="center"/>
              <w:rPr>
                <w:rFonts w:ascii="Calibri" w:eastAsia="Times New Roman" w:hAnsi="Calibri" w:cs="Calibri"/>
                <w:b/>
                <w:bCs/>
                <w:color w:val="000000"/>
                <w:kern w:val="0"/>
                <w:sz w:val="16"/>
                <w:szCs w:val="16"/>
                <w14:ligatures w14:val="none"/>
              </w:rPr>
            </w:pPr>
            <w:r w:rsidRPr="00622422">
              <w:rPr>
                <w:rFonts w:ascii="Calibri" w:eastAsia="Times New Roman" w:hAnsi="Calibri" w:cs="Calibri"/>
                <w:b/>
                <w:bCs/>
                <w:color w:val="000000"/>
                <w:kern w:val="0"/>
                <w:sz w:val="16"/>
                <w:szCs w:val="16"/>
                <w14:ligatures w14:val="none"/>
              </w:rPr>
              <w:t>Improved</w:t>
            </w:r>
            <w:r w:rsidRPr="00622422">
              <w:rPr>
                <w:rFonts w:ascii="Calibri" w:eastAsia="Times New Roman" w:hAnsi="Calibri" w:cs="Calibri"/>
                <w:b/>
                <w:bCs/>
                <w:color w:val="000000"/>
                <w:kern w:val="0"/>
                <w:sz w:val="16"/>
                <w:szCs w:val="16"/>
                <w14:ligatures w14:val="none"/>
              </w:rPr>
              <w:br/>
              <w:t>Initiation &amp; Retention</w:t>
            </w:r>
            <w:r>
              <w:rPr>
                <w:rFonts w:ascii="Calibri" w:eastAsia="Times New Roman" w:hAnsi="Calibri" w:cs="Calibri"/>
                <w:b/>
                <w:bCs/>
                <w:color w:val="000000"/>
                <w:kern w:val="0"/>
                <w:sz w:val="16"/>
                <w:szCs w:val="16"/>
                <w14:ligatures w14:val="none"/>
              </w:rPr>
              <w:t xml:space="preserve"> (Scenario 5)</w:t>
            </w:r>
          </w:p>
        </w:tc>
        <w:tc>
          <w:tcPr>
            <w:tcW w:w="1268" w:type="pct"/>
            <w:tcBorders>
              <w:top w:val="single" w:sz="4" w:space="0" w:color="auto"/>
              <w:left w:val="nil"/>
              <w:bottom w:val="single" w:sz="4" w:space="0" w:color="auto"/>
              <w:right w:val="single" w:sz="4" w:space="0" w:color="auto"/>
            </w:tcBorders>
            <w:vAlign w:val="center"/>
            <w:hideMark/>
          </w:tcPr>
          <w:p w14:paraId="0D747A64" w14:textId="77777777" w:rsidR="00D24603" w:rsidRDefault="00D24603" w:rsidP="00CE3D62">
            <w:pPr>
              <w:spacing w:after="0"/>
              <w:jc w:val="center"/>
              <w:rPr>
                <w:rFonts w:ascii="Calibri" w:eastAsia="Times New Roman" w:hAnsi="Calibri" w:cs="Calibri"/>
                <w:b/>
                <w:bCs/>
                <w:color w:val="000000"/>
                <w:kern w:val="0"/>
                <w:sz w:val="16"/>
                <w:szCs w:val="16"/>
                <w14:ligatures w14:val="none"/>
              </w:rPr>
            </w:pPr>
            <w:r w:rsidRPr="00622422">
              <w:rPr>
                <w:rFonts w:ascii="Calibri" w:eastAsia="Times New Roman" w:hAnsi="Calibri" w:cs="Calibri"/>
                <w:b/>
                <w:bCs/>
                <w:color w:val="000000"/>
                <w:kern w:val="0"/>
                <w:sz w:val="16"/>
                <w:szCs w:val="16"/>
                <w14:ligatures w14:val="none"/>
              </w:rPr>
              <w:t>Improved</w:t>
            </w:r>
            <w:r w:rsidRPr="00622422">
              <w:rPr>
                <w:rFonts w:ascii="Calibri" w:eastAsia="Times New Roman" w:hAnsi="Calibri" w:cs="Calibri"/>
                <w:b/>
                <w:bCs/>
                <w:color w:val="000000"/>
                <w:kern w:val="0"/>
                <w:sz w:val="16"/>
                <w:szCs w:val="16"/>
                <w14:ligatures w14:val="none"/>
              </w:rPr>
              <w:br/>
              <w:t>All</w:t>
            </w:r>
          </w:p>
          <w:p w14:paraId="488803FA" w14:textId="77777777" w:rsidR="00D24603" w:rsidRPr="00622422" w:rsidRDefault="00D24603" w:rsidP="00CE3D62">
            <w:pPr>
              <w:spacing w:after="0"/>
              <w:jc w:val="center"/>
              <w:rPr>
                <w:rFonts w:ascii="Calibri" w:eastAsia="Times New Roman" w:hAnsi="Calibri" w:cs="Calibri"/>
                <w:b/>
                <w:bCs/>
                <w:color w:val="000000"/>
                <w:kern w:val="0"/>
                <w:sz w:val="16"/>
                <w:szCs w:val="16"/>
                <w14:ligatures w14:val="none"/>
              </w:rPr>
            </w:pPr>
            <w:r>
              <w:rPr>
                <w:rFonts w:ascii="Calibri" w:eastAsia="Times New Roman" w:hAnsi="Calibri" w:cs="Calibri"/>
                <w:b/>
                <w:bCs/>
                <w:color w:val="000000"/>
                <w:kern w:val="0"/>
                <w:sz w:val="16"/>
                <w:szCs w:val="16"/>
                <w14:ligatures w14:val="none"/>
              </w:rPr>
              <w:t>(Scenario 6)</w:t>
            </w:r>
          </w:p>
        </w:tc>
      </w:tr>
      <w:tr w:rsidR="00D24603" w:rsidRPr="00622422" w14:paraId="35D9B00D" w14:textId="77777777" w:rsidTr="00435936">
        <w:trPr>
          <w:trHeight w:val="20"/>
        </w:trPr>
        <w:tc>
          <w:tcPr>
            <w:tcW w:w="488" w:type="pct"/>
            <w:vMerge w:val="restart"/>
            <w:tcBorders>
              <w:top w:val="nil"/>
              <w:left w:val="single" w:sz="4" w:space="0" w:color="auto"/>
              <w:bottom w:val="single" w:sz="4" w:space="0" w:color="000000"/>
              <w:right w:val="nil"/>
            </w:tcBorders>
            <w:shd w:val="clear" w:color="000000" w:fill="FFFFFF"/>
            <w:noWrap/>
            <w:vAlign w:val="center"/>
            <w:hideMark/>
          </w:tcPr>
          <w:p w14:paraId="0E9F0C73"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C1</w:t>
            </w:r>
          </w:p>
        </w:tc>
        <w:tc>
          <w:tcPr>
            <w:tcW w:w="636" w:type="pct"/>
            <w:tcBorders>
              <w:top w:val="single" w:sz="4" w:space="0" w:color="auto"/>
              <w:left w:val="single" w:sz="4" w:space="0" w:color="auto"/>
              <w:bottom w:val="nil"/>
              <w:right w:val="nil"/>
            </w:tcBorders>
            <w:shd w:val="clear" w:color="000000" w:fill="FFFFFF"/>
            <w:noWrap/>
            <w:vAlign w:val="center"/>
            <w:hideMark/>
          </w:tcPr>
          <w:p w14:paraId="06AD4A82"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w:t>
            </w:r>
          </w:p>
        </w:tc>
        <w:tc>
          <w:tcPr>
            <w:tcW w:w="565" w:type="pct"/>
            <w:tcBorders>
              <w:top w:val="single" w:sz="4" w:space="0" w:color="auto"/>
              <w:left w:val="single" w:sz="4" w:space="0" w:color="auto"/>
              <w:bottom w:val="nil"/>
              <w:right w:val="single" w:sz="4" w:space="0" w:color="auto"/>
            </w:tcBorders>
            <w:shd w:val="clear" w:color="000000" w:fill="FFFFFF"/>
            <w:noWrap/>
            <w:vAlign w:val="center"/>
            <w:hideMark/>
          </w:tcPr>
          <w:p w14:paraId="41100F94"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Nalo: 0%</w:t>
            </w:r>
          </w:p>
        </w:tc>
        <w:tc>
          <w:tcPr>
            <w:tcW w:w="564" w:type="pct"/>
            <w:tcBorders>
              <w:top w:val="nil"/>
              <w:left w:val="nil"/>
              <w:bottom w:val="nil"/>
              <w:right w:val="single" w:sz="4" w:space="0" w:color="auto"/>
            </w:tcBorders>
            <w:shd w:val="clear" w:color="000000" w:fill="FFFFFF"/>
            <w:noWrap/>
            <w:vAlign w:val="center"/>
            <w:hideMark/>
          </w:tcPr>
          <w:p w14:paraId="20327D01"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Rete: 28%</w:t>
            </w:r>
          </w:p>
        </w:tc>
        <w:tc>
          <w:tcPr>
            <w:tcW w:w="564" w:type="pct"/>
            <w:tcBorders>
              <w:top w:val="nil"/>
              <w:left w:val="nil"/>
              <w:bottom w:val="nil"/>
              <w:right w:val="single" w:sz="4" w:space="0" w:color="auto"/>
            </w:tcBorders>
            <w:shd w:val="clear" w:color="000000" w:fill="FFFFFF"/>
            <w:noWrap/>
            <w:vAlign w:val="center"/>
            <w:hideMark/>
          </w:tcPr>
          <w:p w14:paraId="4BF259D7"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184%</w:t>
            </w:r>
          </w:p>
        </w:tc>
        <w:tc>
          <w:tcPr>
            <w:tcW w:w="916" w:type="pct"/>
            <w:tcBorders>
              <w:top w:val="nil"/>
              <w:left w:val="nil"/>
              <w:bottom w:val="nil"/>
              <w:right w:val="single" w:sz="4" w:space="0" w:color="auto"/>
            </w:tcBorders>
            <w:shd w:val="clear" w:color="000000" w:fill="FFFFFF"/>
            <w:noWrap/>
            <w:vAlign w:val="center"/>
            <w:hideMark/>
          </w:tcPr>
          <w:p w14:paraId="2B6D7C13"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116%, Rete: 210%</w:t>
            </w:r>
          </w:p>
        </w:tc>
        <w:tc>
          <w:tcPr>
            <w:tcW w:w="1268" w:type="pct"/>
            <w:tcBorders>
              <w:top w:val="nil"/>
              <w:left w:val="nil"/>
              <w:bottom w:val="nil"/>
              <w:right w:val="single" w:sz="4" w:space="0" w:color="auto"/>
            </w:tcBorders>
            <w:shd w:val="clear" w:color="000000" w:fill="FFFFFF"/>
            <w:noWrap/>
            <w:vAlign w:val="center"/>
            <w:hideMark/>
          </w:tcPr>
          <w:p w14:paraId="223DBF1E"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116%, Rete: 210%, Nalo: 0%</w:t>
            </w:r>
          </w:p>
        </w:tc>
      </w:tr>
      <w:tr w:rsidR="00D24603" w:rsidRPr="00622422" w14:paraId="20816041" w14:textId="77777777" w:rsidTr="00435936">
        <w:trPr>
          <w:trHeight w:val="20"/>
        </w:trPr>
        <w:tc>
          <w:tcPr>
            <w:tcW w:w="488" w:type="pct"/>
            <w:vMerge/>
            <w:tcBorders>
              <w:top w:val="nil"/>
              <w:left w:val="single" w:sz="4" w:space="0" w:color="auto"/>
              <w:bottom w:val="single" w:sz="4" w:space="0" w:color="000000"/>
              <w:right w:val="nil"/>
            </w:tcBorders>
            <w:vAlign w:val="center"/>
            <w:hideMark/>
          </w:tcPr>
          <w:p w14:paraId="7B43A781"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6" w:type="pct"/>
            <w:tcBorders>
              <w:top w:val="nil"/>
              <w:left w:val="single" w:sz="4" w:space="0" w:color="auto"/>
              <w:bottom w:val="single" w:sz="4" w:space="0" w:color="auto"/>
              <w:right w:val="nil"/>
            </w:tcBorders>
            <w:shd w:val="clear" w:color="000000" w:fill="FFFFFF"/>
            <w:noWrap/>
            <w:vAlign w:val="center"/>
            <w:hideMark/>
          </w:tcPr>
          <w:p w14:paraId="6D7DF653"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146</w:t>
            </w:r>
          </w:p>
        </w:tc>
        <w:tc>
          <w:tcPr>
            <w:tcW w:w="565" w:type="pct"/>
            <w:tcBorders>
              <w:top w:val="nil"/>
              <w:left w:val="single" w:sz="4" w:space="0" w:color="auto"/>
              <w:bottom w:val="single" w:sz="4" w:space="0" w:color="auto"/>
              <w:right w:val="single" w:sz="4" w:space="0" w:color="auto"/>
            </w:tcBorders>
            <w:shd w:val="clear" w:color="000000" w:fill="FFFFFF"/>
            <w:noWrap/>
            <w:vAlign w:val="center"/>
            <w:hideMark/>
          </w:tcPr>
          <w:p w14:paraId="145FAEBD"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+0 [0%]</w:t>
            </w:r>
          </w:p>
        </w:tc>
        <w:tc>
          <w:tcPr>
            <w:tcW w:w="564" w:type="pct"/>
            <w:tcBorders>
              <w:top w:val="nil"/>
              <w:left w:val="nil"/>
              <w:bottom w:val="single" w:sz="4" w:space="0" w:color="auto"/>
              <w:right w:val="single" w:sz="4" w:space="0" w:color="auto"/>
            </w:tcBorders>
            <w:shd w:val="clear" w:color="000000" w:fill="FFFFFF"/>
            <w:noWrap/>
            <w:vAlign w:val="center"/>
            <w:hideMark/>
          </w:tcPr>
          <w:p w14:paraId="35BF4162"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+21 [14%]</w:t>
            </w:r>
          </w:p>
        </w:tc>
        <w:tc>
          <w:tcPr>
            <w:tcW w:w="564" w:type="pct"/>
            <w:tcBorders>
              <w:top w:val="nil"/>
              <w:left w:val="nil"/>
              <w:bottom w:val="single" w:sz="4" w:space="0" w:color="auto"/>
              <w:right w:val="single" w:sz="4" w:space="0" w:color="auto"/>
            </w:tcBorders>
            <w:shd w:val="clear" w:color="000000" w:fill="FFFFFF"/>
            <w:noWrap/>
            <w:vAlign w:val="center"/>
            <w:hideMark/>
          </w:tcPr>
          <w:p w14:paraId="053C1356"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+44 [30%]</w:t>
            </w:r>
          </w:p>
        </w:tc>
        <w:tc>
          <w:tcPr>
            <w:tcW w:w="916" w:type="pct"/>
            <w:tcBorders>
              <w:top w:val="nil"/>
              <w:left w:val="nil"/>
              <w:bottom w:val="single" w:sz="4" w:space="0" w:color="auto"/>
              <w:right w:val="single" w:sz="4" w:space="0" w:color="auto"/>
            </w:tcBorders>
            <w:shd w:val="clear" w:color="000000" w:fill="FFFFFF"/>
            <w:noWrap/>
            <w:vAlign w:val="center"/>
            <w:hideMark/>
          </w:tcPr>
          <w:p w14:paraId="6CBE8FB3"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+82 [56%]</w:t>
            </w:r>
          </w:p>
        </w:tc>
        <w:tc>
          <w:tcPr>
            <w:tcW w:w="1268" w:type="pct"/>
            <w:tcBorders>
              <w:top w:val="nil"/>
              <w:left w:val="nil"/>
              <w:bottom w:val="single" w:sz="4" w:space="0" w:color="auto"/>
              <w:right w:val="single" w:sz="4" w:space="0" w:color="auto"/>
            </w:tcBorders>
            <w:shd w:val="clear" w:color="000000" w:fill="FFFFFF"/>
            <w:noWrap/>
            <w:vAlign w:val="center"/>
            <w:hideMark/>
          </w:tcPr>
          <w:p w14:paraId="659BAE7A"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+82 [56%]</w:t>
            </w:r>
          </w:p>
        </w:tc>
      </w:tr>
      <w:tr w:rsidR="00D24603" w:rsidRPr="00622422" w14:paraId="57CA7A78" w14:textId="77777777" w:rsidTr="00435936">
        <w:trPr>
          <w:trHeight w:val="20"/>
        </w:trPr>
        <w:tc>
          <w:tcPr>
            <w:tcW w:w="4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E56609A"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2</w:t>
            </w:r>
          </w:p>
        </w:tc>
        <w:tc>
          <w:tcPr>
            <w:tcW w:w="636" w:type="pct"/>
            <w:tcBorders>
              <w:top w:val="nil"/>
              <w:left w:val="nil"/>
              <w:bottom w:val="nil"/>
              <w:right w:val="single" w:sz="4" w:space="0" w:color="auto"/>
            </w:tcBorders>
            <w:shd w:val="clear" w:color="000000" w:fill="FFFFFF"/>
            <w:noWrap/>
            <w:vAlign w:val="center"/>
            <w:hideMark/>
          </w:tcPr>
          <w:p w14:paraId="72C4B641"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w:t>
            </w:r>
          </w:p>
        </w:tc>
        <w:tc>
          <w:tcPr>
            <w:tcW w:w="565" w:type="pct"/>
            <w:tcBorders>
              <w:top w:val="nil"/>
              <w:left w:val="nil"/>
              <w:bottom w:val="nil"/>
              <w:right w:val="single" w:sz="4" w:space="0" w:color="auto"/>
            </w:tcBorders>
            <w:shd w:val="clear" w:color="000000" w:fill="FFFFFF"/>
            <w:noWrap/>
            <w:vAlign w:val="center"/>
            <w:hideMark/>
          </w:tcPr>
          <w:p w14:paraId="7F90D24C"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Nalo: 23%</w:t>
            </w:r>
          </w:p>
        </w:tc>
        <w:tc>
          <w:tcPr>
            <w:tcW w:w="564" w:type="pct"/>
            <w:tcBorders>
              <w:top w:val="nil"/>
              <w:left w:val="nil"/>
              <w:bottom w:val="nil"/>
              <w:right w:val="single" w:sz="4" w:space="0" w:color="auto"/>
            </w:tcBorders>
            <w:shd w:val="clear" w:color="000000" w:fill="FFFFFF"/>
            <w:noWrap/>
            <w:vAlign w:val="center"/>
            <w:hideMark/>
          </w:tcPr>
          <w:p w14:paraId="71E0A305"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Rete: 229%</w:t>
            </w:r>
          </w:p>
        </w:tc>
        <w:tc>
          <w:tcPr>
            <w:tcW w:w="564" w:type="pct"/>
            <w:tcBorders>
              <w:top w:val="nil"/>
              <w:left w:val="nil"/>
              <w:bottom w:val="nil"/>
              <w:right w:val="single" w:sz="4" w:space="0" w:color="auto"/>
            </w:tcBorders>
            <w:shd w:val="clear" w:color="000000" w:fill="FFFFFF"/>
            <w:noWrap/>
            <w:vAlign w:val="center"/>
            <w:hideMark/>
          </w:tcPr>
          <w:p w14:paraId="51DAE8EE"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202%</w:t>
            </w:r>
          </w:p>
        </w:tc>
        <w:tc>
          <w:tcPr>
            <w:tcW w:w="916" w:type="pct"/>
            <w:tcBorders>
              <w:top w:val="nil"/>
              <w:left w:val="nil"/>
              <w:bottom w:val="nil"/>
              <w:right w:val="single" w:sz="4" w:space="0" w:color="auto"/>
            </w:tcBorders>
            <w:shd w:val="clear" w:color="000000" w:fill="FFFFFF"/>
            <w:noWrap/>
            <w:vAlign w:val="center"/>
            <w:hideMark/>
          </w:tcPr>
          <w:p w14:paraId="5626E4E0"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29%, Rete: 511%</w:t>
            </w:r>
          </w:p>
        </w:tc>
        <w:tc>
          <w:tcPr>
            <w:tcW w:w="1268" w:type="pct"/>
            <w:tcBorders>
              <w:top w:val="nil"/>
              <w:left w:val="nil"/>
              <w:bottom w:val="nil"/>
              <w:right w:val="single" w:sz="4" w:space="0" w:color="auto"/>
            </w:tcBorders>
            <w:shd w:val="clear" w:color="000000" w:fill="FFFFFF"/>
            <w:noWrap/>
            <w:vAlign w:val="center"/>
            <w:hideMark/>
          </w:tcPr>
          <w:p w14:paraId="2D274D3A"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29%, Rete: 511%, Nalo: 23%</w:t>
            </w:r>
          </w:p>
        </w:tc>
      </w:tr>
      <w:tr w:rsidR="00D24603" w:rsidRPr="00622422" w14:paraId="263DE62C" w14:textId="77777777" w:rsidTr="00435936">
        <w:trPr>
          <w:trHeight w:val="20"/>
        </w:trPr>
        <w:tc>
          <w:tcPr>
            <w:tcW w:w="488" w:type="pct"/>
            <w:vMerge/>
            <w:tcBorders>
              <w:top w:val="nil"/>
              <w:left w:val="single" w:sz="4" w:space="0" w:color="auto"/>
              <w:bottom w:val="single" w:sz="4" w:space="0" w:color="000000"/>
              <w:right w:val="single" w:sz="4" w:space="0" w:color="auto"/>
            </w:tcBorders>
            <w:vAlign w:val="center"/>
            <w:hideMark/>
          </w:tcPr>
          <w:p w14:paraId="0DC9239D"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6" w:type="pct"/>
            <w:tcBorders>
              <w:top w:val="nil"/>
              <w:left w:val="nil"/>
              <w:bottom w:val="single" w:sz="4" w:space="0" w:color="auto"/>
              <w:right w:val="single" w:sz="4" w:space="0" w:color="auto"/>
            </w:tcBorders>
            <w:shd w:val="clear" w:color="000000" w:fill="FFFFFF"/>
            <w:noWrap/>
            <w:vAlign w:val="center"/>
            <w:hideMark/>
          </w:tcPr>
          <w:p w14:paraId="78680597"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197</w:t>
            </w:r>
          </w:p>
        </w:tc>
        <w:tc>
          <w:tcPr>
            <w:tcW w:w="565" w:type="pct"/>
            <w:tcBorders>
              <w:top w:val="nil"/>
              <w:left w:val="nil"/>
              <w:bottom w:val="single" w:sz="4" w:space="0" w:color="auto"/>
              <w:right w:val="single" w:sz="4" w:space="0" w:color="auto"/>
            </w:tcBorders>
            <w:shd w:val="clear" w:color="000000" w:fill="FFFFFF"/>
            <w:noWrap/>
            <w:vAlign w:val="center"/>
            <w:hideMark/>
          </w:tcPr>
          <w:p w14:paraId="49AB5D9A"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 [0%]</w:t>
            </w:r>
          </w:p>
        </w:tc>
        <w:tc>
          <w:tcPr>
            <w:tcW w:w="564" w:type="pct"/>
            <w:tcBorders>
              <w:top w:val="nil"/>
              <w:left w:val="nil"/>
              <w:bottom w:val="single" w:sz="4" w:space="0" w:color="auto"/>
              <w:right w:val="single" w:sz="4" w:space="0" w:color="auto"/>
            </w:tcBorders>
            <w:shd w:val="clear" w:color="000000" w:fill="FFFFFF"/>
            <w:noWrap/>
            <w:vAlign w:val="center"/>
            <w:hideMark/>
          </w:tcPr>
          <w:p w14:paraId="4E32BE94"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+36 [18%]</w:t>
            </w:r>
          </w:p>
        </w:tc>
        <w:tc>
          <w:tcPr>
            <w:tcW w:w="564" w:type="pct"/>
            <w:tcBorders>
              <w:top w:val="nil"/>
              <w:left w:val="nil"/>
              <w:bottom w:val="single" w:sz="4" w:space="0" w:color="auto"/>
              <w:right w:val="single" w:sz="4" w:space="0" w:color="auto"/>
            </w:tcBorders>
            <w:shd w:val="clear" w:color="000000" w:fill="FFFFFF"/>
            <w:noWrap/>
            <w:vAlign w:val="center"/>
            <w:hideMark/>
          </w:tcPr>
          <w:p w14:paraId="0BC6013F"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+64 [33%]</w:t>
            </w:r>
          </w:p>
        </w:tc>
        <w:tc>
          <w:tcPr>
            <w:tcW w:w="916" w:type="pct"/>
            <w:tcBorders>
              <w:top w:val="nil"/>
              <w:left w:val="nil"/>
              <w:bottom w:val="single" w:sz="4" w:space="0" w:color="auto"/>
              <w:right w:val="single" w:sz="4" w:space="0" w:color="auto"/>
            </w:tcBorders>
            <w:shd w:val="clear" w:color="000000" w:fill="FFFFFF"/>
            <w:noWrap/>
            <w:vAlign w:val="center"/>
            <w:hideMark/>
          </w:tcPr>
          <w:p w14:paraId="462A7A52"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+95 [48%]</w:t>
            </w:r>
          </w:p>
        </w:tc>
        <w:tc>
          <w:tcPr>
            <w:tcW w:w="1268" w:type="pct"/>
            <w:tcBorders>
              <w:top w:val="nil"/>
              <w:left w:val="nil"/>
              <w:bottom w:val="single" w:sz="4" w:space="0" w:color="auto"/>
              <w:right w:val="single" w:sz="4" w:space="0" w:color="auto"/>
            </w:tcBorders>
            <w:shd w:val="clear" w:color="000000" w:fill="FFFFFF"/>
            <w:noWrap/>
            <w:vAlign w:val="center"/>
            <w:hideMark/>
          </w:tcPr>
          <w:p w14:paraId="66A36A9D"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+96 [49%]</w:t>
            </w:r>
          </w:p>
        </w:tc>
      </w:tr>
      <w:tr w:rsidR="00D24603" w:rsidRPr="00622422" w14:paraId="6587429B" w14:textId="77777777" w:rsidTr="00435936">
        <w:trPr>
          <w:trHeight w:val="20"/>
        </w:trPr>
        <w:tc>
          <w:tcPr>
            <w:tcW w:w="4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FB3F75C"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3</w:t>
            </w:r>
          </w:p>
        </w:tc>
        <w:tc>
          <w:tcPr>
            <w:tcW w:w="636" w:type="pct"/>
            <w:tcBorders>
              <w:top w:val="nil"/>
              <w:left w:val="nil"/>
              <w:bottom w:val="nil"/>
              <w:right w:val="single" w:sz="4" w:space="0" w:color="auto"/>
            </w:tcBorders>
            <w:shd w:val="clear" w:color="000000" w:fill="FFFFFF"/>
            <w:noWrap/>
            <w:vAlign w:val="center"/>
            <w:hideMark/>
          </w:tcPr>
          <w:p w14:paraId="262541F1"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w:t>
            </w:r>
          </w:p>
        </w:tc>
        <w:tc>
          <w:tcPr>
            <w:tcW w:w="565" w:type="pct"/>
            <w:tcBorders>
              <w:top w:val="nil"/>
              <w:left w:val="nil"/>
              <w:bottom w:val="nil"/>
              <w:right w:val="single" w:sz="4" w:space="0" w:color="auto"/>
            </w:tcBorders>
            <w:shd w:val="clear" w:color="000000" w:fill="FFFFFF"/>
            <w:noWrap/>
            <w:vAlign w:val="center"/>
            <w:hideMark/>
          </w:tcPr>
          <w:p w14:paraId="7E5F72E5"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Nalo: 165%</w:t>
            </w:r>
          </w:p>
        </w:tc>
        <w:tc>
          <w:tcPr>
            <w:tcW w:w="564" w:type="pct"/>
            <w:tcBorders>
              <w:top w:val="nil"/>
              <w:left w:val="nil"/>
              <w:bottom w:val="nil"/>
              <w:right w:val="single" w:sz="4" w:space="0" w:color="auto"/>
            </w:tcBorders>
            <w:shd w:val="clear" w:color="000000" w:fill="FFFFFF"/>
            <w:noWrap/>
            <w:vAlign w:val="center"/>
            <w:hideMark/>
          </w:tcPr>
          <w:p w14:paraId="2EC7ABCF"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Rete: 139%</w:t>
            </w:r>
          </w:p>
        </w:tc>
        <w:tc>
          <w:tcPr>
            <w:tcW w:w="564" w:type="pct"/>
            <w:tcBorders>
              <w:top w:val="nil"/>
              <w:left w:val="nil"/>
              <w:bottom w:val="nil"/>
              <w:right w:val="single" w:sz="4" w:space="0" w:color="auto"/>
            </w:tcBorders>
            <w:shd w:val="clear" w:color="000000" w:fill="FFFFFF"/>
            <w:noWrap/>
            <w:vAlign w:val="center"/>
            <w:hideMark/>
          </w:tcPr>
          <w:p w14:paraId="3D16FE57"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781%</w:t>
            </w:r>
          </w:p>
        </w:tc>
        <w:tc>
          <w:tcPr>
            <w:tcW w:w="916" w:type="pct"/>
            <w:tcBorders>
              <w:top w:val="nil"/>
              <w:left w:val="nil"/>
              <w:bottom w:val="nil"/>
              <w:right w:val="single" w:sz="4" w:space="0" w:color="auto"/>
            </w:tcBorders>
            <w:shd w:val="clear" w:color="000000" w:fill="FFFFFF"/>
            <w:noWrap/>
            <w:vAlign w:val="center"/>
            <w:hideMark/>
          </w:tcPr>
          <w:p w14:paraId="362816CA"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365%, Rete: 1131%</w:t>
            </w:r>
          </w:p>
        </w:tc>
        <w:tc>
          <w:tcPr>
            <w:tcW w:w="1268" w:type="pct"/>
            <w:tcBorders>
              <w:top w:val="nil"/>
              <w:left w:val="nil"/>
              <w:bottom w:val="nil"/>
              <w:right w:val="single" w:sz="4" w:space="0" w:color="auto"/>
            </w:tcBorders>
            <w:shd w:val="clear" w:color="000000" w:fill="FFFFFF"/>
            <w:noWrap/>
            <w:vAlign w:val="center"/>
            <w:hideMark/>
          </w:tcPr>
          <w:p w14:paraId="3AFF0C4A"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365%, Rete: 1131%, Nalo: 165%</w:t>
            </w:r>
          </w:p>
        </w:tc>
      </w:tr>
      <w:tr w:rsidR="00D24603" w:rsidRPr="00622422" w14:paraId="2B31EE11" w14:textId="77777777" w:rsidTr="00435936">
        <w:trPr>
          <w:trHeight w:val="20"/>
        </w:trPr>
        <w:tc>
          <w:tcPr>
            <w:tcW w:w="488" w:type="pct"/>
            <w:vMerge/>
            <w:tcBorders>
              <w:top w:val="nil"/>
              <w:left w:val="single" w:sz="4" w:space="0" w:color="auto"/>
              <w:bottom w:val="single" w:sz="4" w:space="0" w:color="000000"/>
              <w:right w:val="single" w:sz="4" w:space="0" w:color="auto"/>
            </w:tcBorders>
            <w:vAlign w:val="center"/>
            <w:hideMark/>
          </w:tcPr>
          <w:p w14:paraId="11131857"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6" w:type="pct"/>
            <w:tcBorders>
              <w:top w:val="nil"/>
              <w:left w:val="nil"/>
              <w:bottom w:val="single" w:sz="4" w:space="0" w:color="auto"/>
              <w:right w:val="single" w:sz="4" w:space="0" w:color="auto"/>
            </w:tcBorders>
            <w:shd w:val="clear" w:color="000000" w:fill="FFFFFF"/>
            <w:noWrap/>
            <w:vAlign w:val="center"/>
            <w:hideMark/>
          </w:tcPr>
          <w:p w14:paraId="249987E4"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137</w:t>
            </w:r>
          </w:p>
        </w:tc>
        <w:tc>
          <w:tcPr>
            <w:tcW w:w="565" w:type="pct"/>
            <w:tcBorders>
              <w:top w:val="nil"/>
              <w:left w:val="nil"/>
              <w:bottom w:val="single" w:sz="4" w:space="0" w:color="auto"/>
              <w:right w:val="single" w:sz="4" w:space="0" w:color="auto"/>
            </w:tcBorders>
            <w:shd w:val="clear" w:color="000000" w:fill="FFFFFF"/>
            <w:noWrap/>
            <w:vAlign w:val="center"/>
            <w:hideMark/>
          </w:tcPr>
          <w:p w14:paraId="30FEF7D7"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+2 [2%]</w:t>
            </w:r>
          </w:p>
        </w:tc>
        <w:tc>
          <w:tcPr>
            <w:tcW w:w="564" w:type="pct"/>
            <w:tcBorders>
              <w:top w:val="nil"/>
              <w:left w:val="nil"/>
              <w:bottom w:val="single" w:sz="4" w:space="0" w:color="auto"/>
              <w:right w:val="single" w:sz="4" w:space="0" w:color="auto"/>
            </w:tcBorders>
            <w:shd w:val="clear" w:color="000000" w:fill="FFFFFF"/>
            <w:noWrap/>
            <w:vAlign w:val="center"/>
            <w:hideMark/>
          </w:tcPr>
          <w:p w14:paraId="4076CDEB"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+24 [17%]</w:t>
            </w:r>
          </w:p>
        </w:tc>
        <w:tc>
          <w:tcPr>
            <w:tcW w:w="564" w:type="pct"/>
            <w:tcBorders>
              <w:top w:val="nil"/>
              <w:left w:val="nil"/>
              <w:bottom w:val="single" w:sz="4" w:space="0" w:color="auto"/>
              <w:right w:val="single" w:sz="4" w:space="0" w:color="auto"/>
            </w:tcBorders>
            <w:shd w:val="clear" w:color="000000" w:fill="FFFFFF"/>
            <w:noWrap/>
            <w:vAlign w:val="center"/>
            <w:hideMark/>
          </w:tcPr>
          <w:p w14:paraId="28C68FE8"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+85 [62%]</w:t>
            </w:r>
          </w:p>
        </w:tc>
        <w:tc>
          <w:tcPr>
            <w:tcW w:w="916" w:type="pct"/>
            <w:tcBorders>
              <w:top w:val="nil"/>
              <w:left w:val="nil"/>
              <w:bottom w:val="single" w:sz="4" w:space="0" w:color="auto"/>
              <w:right w:val="single" w:sz="4" w:space="0" w:color="auto"/>
            </w:tcBorders>
            <w:shd w:val="clear" w:color="000000" w:fill="FFFFFF"/>
            <w:noWrap/>
            <w:vAlign w:val="center"/>
            <w:hideMark/>
          </w:tcPr>
          <w:p w14:paraId="648B8175"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+171 [125%]</w:t>
            </w:r>
          </w:p>
        </w:tc>
        <w:tc>
          <w:tcPr>
            <w:tcW w:w="1268" w:type="pct"/>
            <w:tcBorders>
              <w:top w:val="nil"/>
              <w:left w:val="nil"/>
              <w:bottom w:val="single" w:sz="4" w:space="0" w:color="auto"/>
              <w:right w:val="single" w:sz="4" w:space="0" w:color="auto"/>
            </w:tcBorders>
            <w:shd w:val="clear" w:color="000000" w:fill="FFFFFF"/>
            <w:noWrap/>
            <w:vAlign w:val="center"/>
            <w:hideMark/>
          </w:tcPr>
          <w:p w14:paraId="56F25EF6"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+173 [127%]</w:t>
            </w:r>
          </w:p>
        </w:tc>
      </w:tr>
      <w:tr w:rsidR="00D24603" w:rsidRPr="00622422" w14:paraId="68D65F7B" w14:textId="77777777" w:rsidTr="00435936">
        <w:trPr>
          <w:trHeight w:val="20"/>
        </w:trPr>
        <w:tc>
          <w:tcPr>
            <w:tcW w:w="4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586CED4"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4</w:t>
            </w:r>
          </w:p>
        </w:tc>
        <w:tc>
          <w:tcPr>
            <w:tcW w:w="636" w:type="pct"/>
            <w:tcBorders>
              <w:top w:val="nil"/>
              <w:left w:val="nil"/>
              <w:bottom w:val="nil"/>
              <w:right w:val="single" w:sz="4" w:space="0" w:color="auto"/>
            </w:tcBorders>
            <w:shd w:val="clear" w:color="000000" w:fill="FFFFFF"/>
            <w:noWrap/>
            <w:vAlign w:val="center"/>
            <w:hideMark/>
          </w:tcPr>
          <w:p w14:paraId="0FB96DE4"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w:t>
            </w:r>
          </w:p>
        </w:tc>
        <w:tc>
          <w:tcPr>
            <w:tcW w:w="565" w:type="pct"/>
            <w:tcBorders>
              <w:top w:val="nil"/>
              <w:left w:val="nil"/>
              <w:bottom w:val="nil"/>
              <w:right w:val="single" w:sz="4" w:space="0" w:color="auto"/>
            </w:tcBorders>
            <w:shd w:val="clear" w:color="000000" w:fill="FFFFFF"/>
            <w:noWrap/>
            <w:vAlign w:val="center"/>
            <w:hideMark/>
          </w:tcPr>
          <w:p w14:paraId="57B97342"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Nalo: 49%</w:t>
            </w:r>
          </w:p>
        </w:tc>
        <w:tc>
          <w:tcPr>
            <w:tcW w:w="564" w:type="pct"/>
            <w:tcBorders>
              <w:top w:val="nil"/>
              <w:left w:val="nil"/>
              <w:bottom w:val="nil"/>
              <w:right w:val="single" w:sz="4" w:space="0" w:color="auto"/>
            </w:tcBorders>
            <w:shd w:val="clear" w:color="000000" w:fill="FFFFFF"/>
            <w:noWrap/>
            <w:vAlign w:val="center"/>
            <w:hideMark/>
          </w:tcPr>
          <w:p w14:paraId="008783FF"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Rete: 38%</w:t>
            </w:r>
          </w:p>
        </w:tc>
        <w:tc>
          <w:tcPr>
            <w:tcW w:w="564" w:type="pct"/>
            <w:tcBorders>
              <w:top w:val="nil"/>
              <w:left w:val="nil"/>
              <w:bottom w:val="nil"/>
              <w:right w:val="single" w:sz="4" w:space="0" w:color="auto"/>
            </w:tcBorders>
            <w:shd w:val="clear" w:color="000000" w:fill="FFFFFF"/>
            <w:noWrap/>
            <w:vAlign w:val="center"/>
            <w:hideMark/>
          </w:tcPr>
          <w:p w14:paraId="69DF7905"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151%</w:t>
            </w:r>
          </w:p>
        </w:tc>
        <w:tc>
          <w:tcPr>
            <w:tcW w:w="916" w:type="pct"/>
            <w:tcBorders>
              <w:top w:val="nil"/>
              <w:left w:val="nil"/>
              <w:bottom w:val="nil"/>
              <w:right w:val="single" w:sz="4" w:space="0" w:color="auto"/>
            </w:tcBorders>
            <w:shd w:val="clear" w:color="000000" w:fill="FFFFFF"/>
            <w:noWrap/>
            <w:vAlign w:val="center"/>
            <w:hideMark/>
          </w:tcPr>
          <w:p w14:paraId="3D32952D"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73%, Rete: 182%</w:t>
            </w:r>
          </w:p>
        </w:tc>
        <w:tc>
          <w:tcPr>
            <w:tcW w:w="1268" w:type="pct"/>
            <w:tcBorders>
              <w:top w:val="nil"/>
              <w:left w:val="nil"/>
              <w:bottom w:val="nil"/>
              <w:right w:val="single" w:sz="4" w:space="0" w:color="auto"/>
            </w:tcBorders>
            <w:shd w:val="clear" w:color="000000" w:fill="FFFFFF"/>
            <w:noWrap/>
            <w:vAlign w:val="center"/>
            <w:hideMark/>
          </w:tcPr>
          <w:p w14:paraId="5891B4EA"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73%, Rete: 182%, Nalo: 49%</w:t>
            </w:r>
          </w:p>
        </w:tc>
      </w:tr>
      <w:tr w:rsidR="00D24603" w:rsidRPr="00622422" w14:paraId="733C004B" w14:textId="77777777" w:rsidTr="00435936">
        <w:trPr>
          <w:trHeight w:val="20"/>
        </w:trPr>
        <w:tc>
          <w:tcPr>
            <w:tcW w:w="488" w:type="pct"/>
            <w:vMerge/>
            <w:tcBorders>
              <w:top w:val="nil"/>
              <w:left w:val="single" w:sz="4" w:space="0" w:color="auto"/>
              <w:bottom w:val="single" w:sz="4" w:space="0" w:color="000000"/>
              <w:right w:val="single" w:sz="4" w:space="0" w:color="auto"/>
            </w:tcBorders>
            <w:vAlign w:val="center"/>
            <w:hideMark/>
          </w:tcPr>
          <w:p w14:paraId="0319CFCC"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6" w:type="pct"/>
            <w:tcBorders>
              <w:top w:val="nil"/>
              <w:left w:val="nil"/>
              <w:bottom w:val="single" w:sz="4" w:space="0" w:color="auto"/>
              <w:right w:val="single" w:sz="4" w:space="0" w:color="auto"/>
            </w:tcBorders>
            <w:shd w:val="clear" w:color="000000" w:fill="FFFFFF"/>
            <w:noWrap/>
            <w:vAlign w:val="center"/>
            <w:hideMark/>
          </w:tcPr>
          <w:p w14:paraId="10457DFC"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159</w:t>
            </w:r>
          </w:p>
        </w:tc>
        <w:tc>
          <w:tcPr>
            <w:tcW w:w="565" w:type="pct"/>
            <w:tcBorders>
              <w:top w:val="nil"/>
              <w:left w:val="nil"/>
              <w:bottom w:val="single" w:sz="4" w:space="0" w:color="auto"/>
              <w:right w:val="single" w:sz="4" w:space="0" w:color="auto"/>
            </w:tcBorders>
            <w:shd w:val="clear" w:color="000000" w:fill="FFFFFF"/>
            <w:noWrap/>
            <w:vAlign w:val="center"/>
            <w:hideMark/>
          </w:tcPr>
          <w:p w14:paraId="54FEDADB"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+0 [0%]</w:t>
            </w:r>
          </w:p>
        </w:tc>
        <w:tc>
          <w:tcPr>
            <w:tcW w:w="564" w:type="pct"/>
            <w:tcBorders>
              <w:top w:val="nil"/>
              <w:left w:val="nil"/>
              <w:bottom w:val="single" w:sz="4" w:space="0" w:color="auto"/>
              <w:right w:val="single" w:sz="4" w:space="0" w:color="auto"/>
            </w:tcBorders>
            <w:shd w:val="clear" w:color="000000" w:fill="FFFFFF"/>
            <w:noWrap/>
            <w:vAlign w:val="center"/>
            <w:hideMark/>
          </w:tcPr>
          <w:p w14:paraId="501ED7C7"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+25 [15%]</w:t>
            </w:r>
          </w:p>
        </w:tc>
        <w:tc>
          <w:tcPr>
            <w:tcW w:w="564" w:type="pct"/>
            <w:tcBorders>
              <w:top w:val="nil"/>
              <w:left w:val="nil"/>
              <w:bottom w:val="single" w:sz="4" w:space="0" w:color="auto"/>
              <w:right w:val="single" w:sz="4" w:space="0" w:color="auto"/>
            </w:tcBorders>
            <w:shd w:val="clear" w:color="000000" w:fill="FFFFFF"/>
            <w:noWrap/>
            <w:vAlign w:val="center"/>
            <w:hideMark/>
          </w:tcPr>
          <w:p w14:paraId="4A48CD6D"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+26 [16%]</w:t>
            </w:r>
          </w:p>
        </w:tc>
        <w:tc>
          <w:tcPr>
            <w:tcW w:w="916" w:type="pct"/>
            <w:tcBorders>
              <w:top w:val="nil"/>
              <w:left w:val="nil"/>
              <w:bottom w:val="single" w:sz="4" w:space="0" w:color="auto"/>
              <w:right w:val="single" w:sz="4" w:space="0" w:color="auto"/>
            </w:tcBorders>
            <w:shd w:val="clear" w:color="000000" w:fill="FFFFFF"/>
            <w:noWrap/>
            <w:vAlign w:val="center"/>
            <w:hideMark/>
          </w:tcPr>
          <w:p w14:paraId="65FDAA28"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+67 [42%]</w:t>
            </w:r>
          </w:p>
        </w:tc>
        <w:tc>
          <w:tcPr>
            <w:tcW w:w="1268" w:type="pct"/>
            <w:tcBorders>
              <w:top w:val="nil"/>
              <w:left w:val="nil"/>
              <w:bottom w:val="single" w:sz="4" w:space="0" w:color="auto"/>
              <w:right w:val="single" w:sz="4" w:space="0" w:color="auto"/>
            </w:tcBorders>
            <w:shd w:val="clear" w:color="000000" w:fill="FFFFFF"/>
            <w:noWrap/>
            <w:vAlign w:val="center"/>
            <w:hideMark/>
          </w:tcPr>
          <w:p w14:paraId="4F75BF62"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+67 [42%]</w:t>
            </w:r>
          </w:p>
        </w:tc>
      </w:tr>
      <w:tr w:rsidR="00D24603" w:rsidRPr="00622422" w14:paraId="7D542A29" w14:textId="77777777" w:rsidTr="00435936">
        <w:trPr>
          <w:trHeight w:val="20"/>
        </w:trPr>
        <w:tc>
          <w:tcPr>
            <w:tcW w:w="4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FE43A73"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5</w:t>
            </w:r>
          </w:p>
        </w:tc>
        <w:tc>
          <w:tcPr>
            <w:tcW w:w="636" w:type="pct"/>
            <w:tcBorders>
              <w:top w:val="nil"/>
              <w:left w:val="nil"/>
              <w:bottom w:val="nil"/>
              <w:right w:val="single" w:sz="4" w:space="0" w:color="auto"/>
            </w:tcBorders>
            <w:shd w:val="clear" w:color="000000" w:fill="FFFFFF"/>
            <w:noWrap/>
            <w:vAlign w:val="center"/>
            <w:hideMark/>
          </w:tcPr>
          <w:p w14:paraId="51A33BB2"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w:t>
            </w:r>
          </w:p>
        </w:tc>
        <w:tc>
          <w:tcPr>
            <w:tcW w:w="565" w:type="pct"/>
            <w:tcBorders>
              <w:top w:val="nil"/>
              <w:left w:val="nil"/>
              <w:bottom w:val="nil"/>
              <w:right w:val="single" w:sz="4" w:space="0" w:color="auto"/>
            </w:tcBorders>
            <w:shd w:val="clear" w:color="000000" w:fill="FFFFFF"/>
            <w:noWrap/>
            <w:vAlign w:val="center"/>
            <w:hideMark/>
          </w:tcPr>
          <w:p w14:paraId="7E360768"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Nalo: 0%</w:t>
            </w:r>
          </w:p>
        </w:tc>
        <w:tc>
          <w:tcPr>
            <w:tcW w:w="564" w:type="pct"/>
            <w:tcBorders>
              <w:top w:val="nil"/>
              <w:left w:val="nil"/>
              <w:bottom w:val="nil"/>
              <w:right w:val="single" w:sz="4" w:space="0" w:color="auto"/>
            </w:tcBorders>
            <w:shd w:val="clear" w:color="000000" w:fill="FFFFFF"/>
            <w:noWrap/>
            <w:vAlign w:val="center"/>
            <w:hideMark/>
          </w:tcPr>
          <w:p w14:paraId="79C7289F"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Rete: 55%</w:t>
            </w:r>
          </w:p>
        </w:tc>
        <w:tc>
          <w:tcPr>
            <w:tcW w:w="564" w:type="pct"/>
            <w:tcBorders>
              <w:top w:val="nil"/>
              <w:left w:val="nil"/>
              <w:bottom w:val="nil"/>
              <w:right w:val="single" w:sz="4" w:space="0" w:color="auto"/>
            </w:tcBorders>
            <w:shd w:val="clear" w:color="000000" w:fill="FFFFFF"/>
            <w:noWrap/>
            <w:vAlign w:val="center"/>
            <w:hideMark/>
          </w:tcPr>
          <w:p w14:paraId="686E681A"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145%</w:t>
            </w:r>
          </w:p>
        </w:tc>
        <w:tc>
          <w:tcPr>
            <w:tcW w:w="916" w:type="pct"/>
            <w:tcBorders>
              <w:top w:val="nil"/>
              <w:left w:val="nil"/>
              <w:bottom w:val="nil"/>
              <w:right w:val="single" w:sz="4" w:space="0" w:color="auto"/>
            </w:tcBorders>
            <w:shd w:val="clear" w:color="000000" w:fill="FFFFFF"/>
            <w:noWrap/>
            <w:vAlign w:val="center"/>
            <w:hideMark/>
          </w:tcPr>
          <w:p w14:paraId="6E9C8F86"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41%, Rete: 186%</w:t>
            </w:r>
          </w:p>
        </w:tc>
        <w:tc>
          <w:tcPr>
            <w:tcW w:w="1268" w:type="pct"/>
            <w:tcBorders>
              <w:top w:val="nil"/>
              <w:left w:val="nil"/>
              <w:bottom w:val="nil"/>
              <w:right w:val="single" w:sz="4" w:space="0" w:color="auto"/>
            </w:tcBorders>
            <w:shd w:val="clear" w:color="000000" w:fill="FFFFFF"/>
            <w:noWrap/>
            <w:vAlign w:val="center"/>
            <w:hideMark/>
          </w:tcPr>
          <w:p w14:paraId="073AFEF8"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41%, Rete: 186%, Nalo: 0%</w:t>
            </w:r>
          </w:p>
        </w:tc>
      </w:tr>
      <w:tr w:rsidR="00D24603" w:rsidRPr="00622422" w14:paraId="1FD2D1EA" w14:textId="77777777" w:rsidTr="00435936">
        <w:trPr>
          <w:trHeight w:val="20"/>
        </w:trPr>
        <w:tc>
          <w:tcPr>
            <w:tcW w:w="488" w:type="pct"/>
            <w:vMerge/>
            <w:tcBorders>
              <w:top w:val="nil"/>
              <w:left w:val="single" w:sz="4" w:space="0" w:color="auto"/>
              <w:bottom w:val="single" w:sz="4" w:space="0" w:color="000000"/>
              <w:right w:val="single" w:sz="4" w:space="0" w:color="auto"/>
            </w:tcBorders>
            <w:vAlign w:val="center"/>
            <w:hideMark/>
          </w:tcPr>
          <w:p w14:paraId="20E25E55"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6" w:type="pct"/>
            <w:tcBorders>
              <w:top w:val="nil"/>
              <w:left w:val="nil"/>
              <w:bottom w:val="single" w:sz="4" w:space="0" w:color="auto"/>
              <w:right w:val="single" w:sz="4" w:space="0" w:color="auto"/>
            </w:tcBorders>
            <w:shd w:val="clear" w:color="000000" w:fill="FFFFFF"/>
            <w:noWrap/>
            <w:vAlign w:val="center"/>
            <w:hideMark/>
          </w:tcPr>
          <w:p w14:paraId="2749AB09"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111</w:t>
            </w:r>
          </w:p>
        </w:tc>
        <w:tc>
          <w:tcPr>
            <w:tcW w:w="565" w:type="pct"/>
            <w:tcBorders>
              <w:top w:val="nil"/>
              <w:left w:val="nil"/>
              <w:bottom w:val="single" w:sz="4" w:space="0" w:color="auto"/>
              <w:right w:val="single" w:sz="4" w:space="0" w:color="auto"/>
            </w:tcBorders>
            <w:shd w:val="clear" w:color="000000" w:fill="FFFFFF"/>
            <w:noWrap/>
            <w:vAlign w:val="center"/>
            <w:hideMark/>
          </w:tcPr>
          <w:p w14:paraId="50334F09"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+0 [0%]</w:t>
            </w:r>
          </w:p>
        </w:tc>
        <w:tc>
          <w:tcPr>
            <w:tcW w:w="564" w:type="pct"/>
            <w:tcBorders>
              <w:top w:val="nil"/>
              <w:left w:val="nil"/>
              <w:bottom w:val="single" w:sz="4" w:space="0" w:color="auto"/>
              <w:right w:val="single" w:sz="4" w:space="0" w:color="auto"/>
            </w:tcBorders>
            <w:shd w:val="clear" w:color="000000" w:fill="FFFFFF"/>
            <w:noWrap/>
            <w:vAlign w:val="center"/>
            <w:hideMark/>
          </w:tcPr>
          <w:p w14:paraId="5B6BF325"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+27 [24%]</w:t>
            </w:r>
          </w:p>
        </w:tc>
        <w:tc>
          <w:tcPr>
            <w:tcW w:w="564" w:type="pct"/>
            <w:tcBorders>
              <w:top w:val="nil"/>
              <w:left w:val="nil"/>
              <w:bottom w:val="single" w:sz="4" w:space="0" w:color="auto"/>
              <w:right w:val="single" w:sz="4" w:space="0" w:color="auto"/>
            </w:tcBorders>
            <w:shd w:val="clear" w:color="000000" w:fill="FFFFFF"/>
            <w:noWrap/>
            <w:vAlign w:val="center"/>
            <w:hideMark/>
          </w:tcPr>
          <w:p w14:paraId="575BBB57"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+21 [19%]</w:t>
            </w:r>
          </w:p>
        </w:tc>
        <w:tc>
          <w:tcPr>
            <w:tcW w:w="916" w:type="pct"/>
            <w:tcBorders>
              <w:top w:val="nil"/>
              <w:left w:val="nil"/>
              <w:bottom w:val="single" w:sz="4" w:space="0" w:color="auto"/>
              <w:right w:val="single" w:sz="4" w:space="0" w:color="auto"/>
            </w:tcBorders>
            <w:shd w:val="clear" w:color="000000" w:fill="FFFFFF"/>
            <w:noWrap/>
            <w:vAlign w:val="center"/>
            <w:hideMark/>
          </w:tcPr>
          <w:p w14:paraId="752EDDD5"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+62 [56%]</w:t>
            </w:r>
          </w:p>
        </w:tc>
        <w:tc>
          <w:tcPr>
            <w:tcW w:w="1268" w:type="pct"/>
            <w:tcBorders>
              <w:top w:val="nil"/>
              <w:left w:val="nil"/>
              <w:bottom w:val="single" w:sz="4" w:space="0" w:color="auto"/>
              <w:right w:val="single" w:sz="4" w:space="0" w:color="auto"/>
            </w:tcBorders>
            <w:shd w:val="clear" w:color="000000" w:fill="FFFFFF"/>
            <w:noWrap/>
            <w:vAlign w:val="center"/>
            <w:hideMark/>
          </w:tcPr>
          <w:p w14:paraId="22011D6E"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+62 [56%]</w:t>
            </w:r>
          </w:p>
        </w:tc>
      </w:tr>
      <w:tr w:rsidR="00D24603" w:rsidRPr="00622422" w14:paraId="7E3002CA" w14:textId="77777777" w:rsidTr="00435936">
        <w:trPr>
          <w:trHeight w:val="20"/>
        </w:trPr>
        <w:tc>
          <w:tcPr>
            <w:tcW w:w="4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5CBC663"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6</w:t>
            </w:r>
          </w:p>
        </w:tc>
        <w:tc>
          <w:tcPr>
            <w:tcW w:w="636" w:type="pct"/>
            <w:tcBorders>
              <w:top w:val="nil"/>
              <w:left w:val="nil"/>
              <w:bottom w:val="nil"/>
              <w:right w:val="single" w:sz="4" w:space="0" w:color="auto"/>
            </w:tcBorders>
            <w:shd w:val="clear" w:color="000000" w:fill="FFFFFF"/>
            <w:noWrap/>
            <w:vAlign w:val="center"/>
            <w:hideMark/>
          </w:tcPr>
          <w:p w14:paraId="2586AFA4"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w:t>
            </w:r>
          </w:p>
        </w:tc>
        <w:tc>
          <w:tcPr>
            <w:tcW w:w="565" w:type="pct"/>
            <w:tcBorders>
              <w:top w:val="nil"/>
              <w:left w:val="nil"/>
              <w:bottom w:val="nil"/>
              <w:right w:val="single" w:sz="4" w:space="0" w:color="auto"/>
            </w:tcBorders>
            <w:shd w:val="clear" w:color="000000" w:fill="FFFFFF"/>
            <w:noWrap/>
            <w:vAlign w:val="center"/>
            <w:hideMark/>
          </w:tcPr>
          <w:p w14:paraId="3B0CDACE"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Nalo: 20%</w:t>
            </w:r>
          </w:p>
        </w:tc>
        <w:tc>
          <w:tcPr>
            <w:tcW w:w="564" w:type="pct"/>
            <w:tcBorders>
              <w:top w:val="nil"/>
              <w:left w:val="nil"/>
              <w:bottom w:val="nil"/>
              <w:right w:val="single" w:sz="4" w:space="0" w:color="auto"/>
            </w:tcBorders>
            <w:shd w:val="clear" w:color="000000" w:fill="FFFFFF"/>
            <w:noWrap/>
            <w:vAlign w:val="center"/>
            <w:hideMark/>
          </w:tcPr>
          <w:p w14:paraId="7732DB76"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Rete: 47%</w:t>
            </w:r>
          </w:p>
        </w:tc>
        <w:tc>
          <w:tcPr>
            <w:tcW w:w="564" w:type="pct"/>
            <w:tcBorders>
              <w:top w:val="nil"/>
              <w:left w:val="nil"/>
              <w:bottom w:val="nil"/>
              <w:right w:val="single" w:sz="4" w:space="0" w:color="auto"/>
            </w:tcBorders>
            <w:shd w:val="clear" w:color="000000" w:fill="FFFFFF"/>
            <w:noWrap/>
            <w:vAlign w:val="center"/>
            <w:hideMark/>
          </w:tcPr>
          <w:p w14:paraId="751A3AC5"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149%</w:t>
            </w:r>
          </w:p>
        </w:tc>
        <w:tc>
          <w:tcPr>
            <w:tcW w:w="916" w:type="pct"/>
            <w:tcBorders>
              <w:top w:val="nil"/>
              <w:left w:val="nil"/>
              <w:bottom w:val="nil"/>
              <w:right w:val="single" w:sz="4" w:space="0" w:color="auto"/>
            </w:tcBorders>
            <w:shd w:val="clear" w:color="000000" w:fill="FFFFFF"/>
            <w:noWrap/>
            <w:vAlign w:val="center"/>
            <w:hideMark/>
          </w:tcPr>
          <w:p w14:paraId="0A4D8FFB"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54%, Rete: 182%</w:t>
            </w:r>
          </w:p>
        </w:tc>
        <w:tc>
          <w:tcPr>
            <w:tcW w:w="1268" w:type="pct"/>
            <w:tcBorders>
              <w:top w:val="nil"/>
              <w:left w:val="nil"/>
              <w:bottom w:val="nil"/>
              <w:right w:val="single" w:sz="4" w:space="0" w:color="auto"/>
            </w:tcBorders>
            <w:shd w:val="clear" w:color="000000" w:fill="FFFFFF"/>
            <w:noWrap/>
            <w:vAlign w:val="center"/>
            <w:hideMark/>
          </w:tcPr>
          <w:p w14:paraId="5C993FC3"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54%, Rete: 182%, Nalo: 20%</w:t>
            </w:r>
          </w:p>
        </w:tc>
      </w:tr>
      <w:tr w:rsidR="00D24603" w:rsidRPr="00622422" w14:paraId="5F92EDA0" w14:textId="77777777" w:rsidTr="00435936">
        <w:trPr>
          <w:trHeight w:val="20"/>
        </w:trPr>
        <w:tc>
          <w:tcPr>
            <w:tcW w:w="488" w:type="pct"/>
            <w:vMerge/>
            <w:tcBorders>
              <w:top w:val="nil"/>
              <w:left w:val="single" w:sz="4" w:space="0" w:color="auto"/>
              <w:bottom w:val="single" w:sz="4" w:space="0" w:color="000000"/>
              <w:right w:val="single" w:sz="4" w:space="0" w:color="auto"/>
            </w:tcBorders>
            <w:vAlign w:val="center"/>
            <w:hideMark/>
          </w:tcPr>
          <w:p w14:paraId="12E7EF41"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6" w:type="pct"/>
            <w:tcBorders>
              <w:top w:val="nil"/>
              <w:left w:val="nil"/>
              <w:bottom w:val="single" w:sz="4" w:space="0" w:color="auto"/>
              <w:right w:val="single" w:sz="4" w:space="0" w:color="auto"/>
            </w:tcBorders>
            <w:shd w:val="clear" w:color="000000" w:fill="FFFFFF"/>
            <w:noWrap/>
            <w:vAlign w:val="center"/>
            <w:hideMark/>
          </w:tcPr>
          <w:p w14:paraId="66D24B6E"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429</w:t>
            </w:r>
          </w:p>
        </w:tc>
        <w:tc>
          <w:tcPr>
            <w:tcW w:w="565" w:type="pct"/>
            <w:tcBorders>
              <w:top w:val="nil"/>
              <w:left w:val="nil"/>
              <w:bottom w:val="single" w:sz="4" w:space="0" w:color="auto"/>
              <w:right w:val="single" w:sz="4" w:space="0" w:color="auto"/>
            </w:tcBorders>
            <w:shd w:val="clear" w:color="000000" w:fill="FFFFFF"/>
            <w:noWrap/>
            <w:vAlign w:val="center"/>
            <w:hideMark/>
          </w:tcPr>
          <w:p w14:paraId="2CA4AB5B"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 [0%]</w:t>
            </w:r>
          </w:p>
        </w:tc>
        <w:tc>
          <w:tcPr>
            <w:tcW w:w="564" w:type="pct"/>
            <w:tcBorders>
              <w:top w:val="nil"/>
              <w:left w:val="nil"/>
              <w:bottom w:val="single" w:sz="4" w:space="0" w:color="auto"/>
              <w:right w:val="single" w:sz="4" w:space="0" w:color="auto"/>
            </w:tcBorders>
            <w:shd w:val="clear" w:color="000000" w:fill="FFFFFF"/>
            <w:noWrap/>
            <w:vAlign w:val="center"/>
            <w:hideMark/>
          </w:tcPr>
          <w:p w14:paraId="444E8738"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+81 [19%]</w:t>
            </w:r>
          </w:p>
        </w:tc>
        <w:tc>
          <w:tcPr>
            <w:tcW w:w="564" w:type="pct"/>
            <w:tcBorders>
              <w:top w:val="nil"/>
              <w:left w:val="nil"/>
              <w:bottom w:val="single" w:sz="4" w:space="0" w:color="auto"/>
              <w:right w:val="single" w:sz="4" w:space="0" w:color="auto"/>
            </w:tcBorders>
            <w:shd w:val="clear" w:color="000000" w:fill="FFFFFF"/>
            <w:noWrap/>
            <w:vAlign w:val="center"/>
            <w:hideMark/>
          </w:tcPr>
          <w:p w14:paraId="13A63BEC"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+87 [20%]</w:t>
            </w:r>
          </w:p>
        </w:tc>
        <w:tc>
          <w:tcPr>
            <w:tcW w:w="916" w:type="pct"/>
            <w:tcBorders>
              <w:top w:val="nil"/>
              <w:left w:val="nil"/>
              <w:bottom w:val="single" w:sz="4" w:space="0" w:color="auto"/>
              <w:right w:val="single" w:sz="4" w:space="0" w:color="auto"/>
            </w:tcBorders>
            <w:shd w:val="clear" w:color="000000" w:fill="FFFFFF"/>
            <w:noWrap/>
            <w:vAlign w:val="center"/>
            <w:hideMark/>
          </w:tcPr>
          <w:p w14:paraId="6B5598A2"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+210 [49%]</w:t>
            </w:r>
          </w:p>
        </w:tc>
        <w:tc>
          <w:tcPr>
            <w:tcW w:w="1268" w:type="pct"/>
            <w:tcBorders>
              <w:top w:val="nil"/>
              <w:left w:val="nil"/>
              <w:bottom w:val="single" w:sz="4" w:space="0" w:color="auto"/>
              <w:right w:val="single" w:sz="4" w:space="0" w:color="auto"/>
            </w:tcBorders>
            <w:shd w:val="clear" w:color="000000" w:fill="FFFFFF"/>
            <w:noWrap/>
            <w:vAlign w:val="center"/>
            <w:hideMark/>
          </w:tcPr>
          <w:p w14:paraId="4DCD7F21"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+212 [49%]</w:t>
            </w:r>
          </w:p>
        </w:tc>
      </w:tr>
      <w:tr w:rsidR="00D24603" w:rsidRPr="00622422" w14:paraId="0D684EC6" w14:textId="77777777" w:rsidTr="00435936">
        <w:trPr>
          <w:trHeight w:val="20"/>
        </w:trPr>
        <w:tc>
          <w:tcPr>
            <w:tcW w:w="4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2B30EC2"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7</w:t>
            </w:r>
          </w:p>
        </w:tc>
        <w:tc>
          <w:tcPr>
            <w:tcW w:w="636" w:type="pct"/>
            <w:tcBorders>
              <w:top w:val="nil"/>
              <w:left w:val="nil"/>
              <w:bottom w:val="nil"/>
              <w:right w:val="single" w:sz="4" w:space="0" w:color="auto"/>
            </w:tcBorders>
            <w:shd w:val="clear" w:color="000000" w:fill="FFFFFF"/>
            <w:noWrap/>
            <w:vAlign w:val="center"/>
            <w:hideMark/>
          </w:tcPr>
          <w:p w14:paraId="4A49F713"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w:t>
            </w:r>
          </w:p>
        </w:tc>
        <w:tc>
          <w:tcPr>
            <w:tcW w:w="565" w:type="pct"/>
            <w:tcBorders>
              <w:top w:val="nil"/>
              <w:left w:val="nil"/>
              <w:bottom w:val="nil"/>
              <w:right w:val="single" w:sz="4" w:space="0" w:color="auto"/>
            </w:tcBorders>
            <w:shd w:val="clear" w:color="000000" w:fill="FFFFFF"/>
            <w:noWrap/>
            <w:vAlign w:val="center"/>
            <w:hideMark/>
          </w:tcPr>
          <w:p w14:paraId="12988280"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Nalo: 0%</w:t>
            </w:r>
          </w:p>
        </w:tc>
        <w:tc>
          <w:tcPr>
            <w:tcW w:w="564" w:type="pct"/>
            <w:tcBorders>
              <w:top w:val="nil"/>
              <w:left w:val="nil"/>
              <w:bottom w:val="nil"/>
              <w:right w:val="single" w:sz="4" w:space="0" w:color="auto"/>
            </w:tcBorders>
            <w:shd w:val="clear" w:color="000000" w:fill="FFFFFF"/>
            <w:noWrap/>
            <w:vAlign w:val="center"/>
            <w:hideMark/>
          </w:tcPr>
          <w:p w14:paraId="7FD31FDE"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Rete: 44%</w:t>
            </w:r>
          </w:p>
        </w:tc>
        <w:tc>
          <w:tcPr>
            <w:tcW w:w="564" w:type="pct"/>
            <w:tcBorders>
              <w:top w:val="nil"/>
              <w:left w:val="nil"/>
              <w:bottom w:val="nil"/>
              <w:right w:val="single" w:sz="4" w:space="0" w:color="auto"/>
            </w:tcBorders>
            <w:shd w:val="clear" w:color="000000" w:fill="FFFFFF"/>
            <w:noWrap/>
            <w:vAlign w:val="center"/>
            <w:hideMark/>
          </w:tcPr>
          <w:p w14:paraId="617A90C4"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231%</w:t>
            </w:r>
          </w:p>
        </w:tc>
        <w:tc>
          <w:tcPr>
            <w:tcW w:w="916" w:type="pct"/>
            <w:tcBorders>
              <w:top w:val="nil"/>
              <w:left w:val="nil"/>
              <w:bottom w:val="nil"/>
              <w:right w:val="single" w:sz="4" w:space="0" w:color="auto"/>
            </w:tcBorders>
            <w:shd w:val="clear" w:color="000000" w:fill="FFFFFF"/>
            <w:noWrap/>
            <w:vAlign w:val="center"/>
            <w:hideMark/>
          </w:tcPr>
          <w:p w14:paraId="361098A1"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133%, Rete: 280%</w:t>
            </w:r>
          </w:p>
        </w:tc>
        <w:tc>
          <w:tcPr>
            <w:tcW w:w="1268" w:type="pct"/>
            <w:tcBorders>
              <w:top w:val="nil"/>
              <w:left w:val="nil"/>
              <w:bottom w:val="nil"/>
              <w:right w:val="single" w:sz="4" w:space="0" w:color="auto"/>
            </w:tcBorders>
            <w:shd w:val="clear" w:color="000000" w:fill="FFFFFF"/>
            <w:noWrap/>
            <w:vAlign w:val="center"/>
            <w:hideMark/>
          </w:tcPr>
          <w:p w14:paraId="35BC21C5"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133%, Rete: 280%, Nalo: 0%</w:t>
            </w:r>
          </w:p>
        </w:tc>
      </w:tr>
      <w:tr w:rsidR="00D24603" w:rsidRPr="00622422" w14:paraId="1FC85CE7" w14:textId="77777777" w:rsidTr="00435936">
        <w:trPr>
          <w:trHeight w:val="20"/>
        </w:trPr>
        <w:tc>
          <w:tcPr>
            <w:tcW w:w="488" w:type="pct"/>
            <w:vMerge/>
            <w:tcBorders>
              <w:top w:val="nil"/>
              <w:left w:val="single" w:sz="4" w:space="0" w:color="auto"/>
              <w:bottom w:val="single" w:sz="4" w:space="0" w:color="000000"/>
              <w:right w:val="single" w:sz="4" w:space="0" w:color="auto"/>
            </w:tcBorders>
            <w:vAlign w:val="center"/>
            <w:hideMark/>
          </w:tcPr>
          <w:p w14:paraId="75A2AAFD"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6" w:type="pct"/>
            <w:tcBorders>
              <w:top w:val="nil"/>
              <w:left w:val="nil"/>
              <w:bottom w:val="single" w:sz="4" w:space="0" w:color="auto"/>
              <w:right w:val="single" w:sz="4" w:space="0" w:color="auto"/>
            </w:tcBorders>
            <w:shd w:val="clear" w:color="000000" w:fill="FFFFFF"/>
            <w:noWrap/>
            <w:vAlign w:val="center"/>
            <w:hideMark/>
          </w:tcPr>
          <w:p w14:paraId="7C869A6D"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106</w:t>
            </w:r>
          </w:p>
        </w:tc>
        <w:tc>
          <w:tcPr>
            <w:tcW w:w="565" w:type="pct"/>
            <w:tcBorders>
              <w:top w:val="nil"/>
              <w:left w:val="nil"/>
              <w:bottom w:val="single" w:sz="4" w:space="0" w:color="auto"/>
              <w:right w:val="single" w:sz="4" w:space="0" w:color="auto"/>
            </w:tcBorders>
            <w:shd w:val="clear" w:color="000000" w:fill="FFFFFF"/>
            <w:noWrap/>
            <w:vAlign w:val="center"/>
            <w:hideMark/>
          </w:tcPr>
          <w:p w14:paraId="52DF44CD"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+0 [0%]</w:t>
            </w:r>
          </w:p>
        </w:tc>
        <w:tc>
          <w:tcPr>
            <w:tcW w:w="564" w:type="pct"/>
            <w:tcBorders>
              <w:top w:val="nil"/>
              <w:left w:val="nil"/>
              <w:bottom w:val="single" w:sz="4" w:space="0" w:color="auto"/>
              <w:right w:val="single" w:sz="4" w:space="0" w:color="auto"/>
            </w:tcBorders>
            <w:shd w:val="clear" w:color="000000" w:fill="FFFFFF"/>
            <w:noWrap/>
            <w:vAlign w:val="center"/>
            <w:hideMark/>
          </w:tcPr>
          <w:p w14:paraId="5A5F5A64"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+15 [14%]</w:t>
            </w:r>
          </w:p>
        </w:tc>
        <w:tc>
          <w:tcPr>
            <w:tcW w:w="564" w:type="pct"/>
            <w:tcBorders>
              <w:top w:val="nil"/>
              <w:left w:val="nil"/>
              <w:bottom w:val="single" w:sz="4" w:space="0" w:color="auto"/>
              <w:right w:val="single" w:sz="4" w:space="0" w:color="auto"/>
            </w:tcBorders>
            <w:shd w:val="clear" w:color="000000" w:fill="FFFFFF"/>
            <w:noWrap/>
            <w:vAlign w:val="center"/>
            <w:hideMark/>
          </w:tcPr>
          <w:p w14:paraId="171B9A14"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+23 [22%]</w:t>
            </w:r>
          </w:p>
        </w:tc>
        <w:tc>
          <w:tcPr>
            <w:tcW w:w="916" w:type="pct"/>
            <w:tcBorders>
              <w:top w:val="nil"/>
              <w:left w:val="nil"/>
              <w:bottom w:val="single" w:sz="4" w:space="0" w:color="auto"/>
              <w:right w:val="single" w:sz="4" w:space="0" w:color="auto"/>
            </w:tcBorders>
            <w:shd w:val="clear" w:color="000000" w:fill="FFFFFF"/>
            <w:noWrap/>
            <w:vAlign w:val="center"/>
            <w:hideMark/>
          </w:tcPr>
          <w:p w14:paraId="18F2AC63"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+56 [53%]</w:t>
            </w:r>
          </w:p>
        </w:tc>
        <w:tc>
          <w:tcPr>
            <w:tcW w:w="1268" w:type="pct"/>
            <w:tcBorders>
              <w:top w:val="nil"/>
              <w:left w:val="nil"/>
              <w:bottom w:val="single" w:sz="4" w:space="0" w:color="auto"/>
              <w:right w:val="single" w:sz="4" w:space="0" w:color="auto"/>
            </w:tcBorders>
            <w:shd w:val="clear" w:color="000000" w:fill="FFFFFF"/>
            <w:noWrap/>
            <w:vAlign w:val="center"/>
            <w:hideMark/>
          </w:tcPr>
          <w:p w14:paraId="30CC1181"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+56 [53%]</w:t>
            </w:r>
          </w:p>
        </w:tc>
      </w:tr>
      <w:tr w:rsidR="00D24603" w:rsidRPr="00622422" w14:paraId="2BD18D44" w14:textId="77777777" w:rsidTr="00435936">
        <w:trPr>
          <w:trHeight w:val="20"/>
        </w:trPr>
        <w:tc>
          <w:tcPr>
            <w:tcW w:w="4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4A0D7FE"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8</w:t>
            </w:r>
          </w:p>
        </w:tc>
        <w:tc>
          <w:tcPr>
            <w:tcW w:w="636" w:type="pct"/>
            <w:tcBorders>
              <w:top w:val="nil"/>
              <w:left w:val="nil"/>
              <w:bottom w:val="nil"/>
              <w:right w:val="single" w:sz="4" w:space="0" w:color="auto"/>
            </w:tcBorders>
            <w:shd w:val="clear" w:color="000000" w:fill="FFFFFF"/>
            <w:noWrap/>
            <w:vAlign w:val="center"/>
            <w:hideMark/>
          </w:tcPr>
          <w:p w14:paraId="098B0F75"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w:t>
            </w:r>
          </w:p>
        </w:tc>
        <w:tc>
          <w:tcPr>
            <w:tcW w:w="565" w:type="pct"/>
            <w:tcBorders>
              <w:top w:val="nil"/>
              <w:left w:val="nil"/>
              <w:bottom w:val="nil"/>
              <w:right w:val="single" w:sz="4" w:space="0" w:color="auto"/>
            </w:tcBorders>
            <w:shd w:val="clear" w:color="000000" w:fill="FFFFFF"/>
            <w:noWrap/>
            <w:vAlign w:val="center"/>
            <w:hideMark/>
          </w:tcPr>
          <w:p w14:paraId="36DCA95C"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Nalo: 84%</w:t>
            </w:r>
          </w:p>
        </w:tc>
        <w:tc>
          <w:tcPr>
            <w:tcW w:w="564" w:type="pct"/>
            <w:tcBorders>
              <w:top w:val="nil"/>
              <w:left w:val="nil"/>
              <w:bottom w:val="nil"/>
              <w:right w:val="single" w:sz="4" w:space="0" w:color="auto"/>
            </w:tcBorders>
            <w:shd w:val="clear" w:color="000000" w:fill="FFFFFF"/>
            <w:noWrap/>
            <w:vAlign w:val="center"/>
            <w:hideMark/>
          </w:tcPr>
          <w:p w14:paraId="4A5A0E8E"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Rete: 174%</w:t>
            </w:r>
          </w:p>
        </w:tc>
        <w:tc>
          <w:tcPr>
            <w:tcW w:w="564" w:type="pct"/>
            <w:tcBorders>
              <w:top w:val="nil"/>
              <w:left w:val="nil"/>
              <w:bottom w:val="nil"/>
              <w:right w:val="single" w:sz="4" w:space="0" w:color="auto"/>
            </w:tcBorders>
            <w:shd w:val="clear" w:color="000000" w:fill="FFFFFF"/>
            <w:noWrap/>
            <w:vAlign w:val="center"/>
            <w:hideMark/>
          </w:tcPr>
          <w:p w14:paraId="7BED3925"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298%</w:t>
            </w:r>
          </w:p>
        </w:tc>
        <w:tc>
          <w:tcPr>
            <w:tcW w:w="916" w:type="pct"/>
            <w:tcBorders>
              <w:top w:val="nil"/>
              <w:left w:val="nil"/>
              <w:bottom w:val="nil"/>
              <w:right w:val="single" w:sz="4" w:space="0" w:color="auto"/>
            </w:tcBorders>
            <w:shd w:val="clear" w:color="000000" w:fill="FFFFFF"/>
            <w:noWrap/>
            <w:vAlign w:val="center"/>
            <w:hideMark/>
          </w:tcPr>
          <w:p w14:paraId="56B63F4B"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105%, Rete: 600%</w:t>
            </w:r>
          </w:p>
        </w:tc>
        <w:tc>
          <w:tcPr>
            <w:tcW w:w="1268" w:type="pct"/>
            <w:tcBorders>
              <w:top w:val="nil"/>
              <w:left w:val="nil"/>
              <w:bottom w:val="nil"/>
              <w:right w:val="single" w:sz="4" w:space="0" w:color="auto"/>
            </w:tcBorders>
            <w:shd w:val="clear" w:color="000000" w:fill="FFFFFF"/>
            <w:noWrap/>
            <w:vAlign w:val="center"/>
            <w:hideMark/>
          </w:tcPr>
          <w:p w14:paraId="28A70E05"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105%, Rete: 600%, Nalo: 84%</w:t>
            </w:r>
          </w:p>
        </w:tc>
      </w:tr>
      <w:tr w:rsidR="00D24603" w:rsidRPr="00622422" w14:paraId="123E61C5" w14:textId="77777777" w:rsidTr="00435936">
        <w:trPr>
          <w:trHeight w:val="20"/>
        </w:trPr>
        <w:tc>
          <w:tcPr>
            <w:tcW w:w="488" w:type="pct"/>
            <w:vMerge/>
            <w:tcBorders>
              <w:top w:val="nil"/>
              <w:left w:val="single" w:sz="4" w:space="0" w:color="auto"/>
              <w:bottom w:val="single" w:sz="4" w:space="0" w:color="000000"/>
              <w:right w:val="single" w:sz="4" w:space="0" w:color="auto"/>
            </w:tcBorders>
            <w:vAlign w:val="center"/>
            <w:hideMark/>
          </w:tcPr>
          <w:p w14:paraId="21252D11"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6" w:type="pct"/>
            <w:tcBorders>
              <w:top w:val="nil"/>
              <w:left w:val="nil"/>
              <w:bottom w:val="single" w:sz="4" w:space="0" w:color="auto"/>
              <w:right w:val="single" w:sz="4" w:space="0" w:color="auto"/>
            </w:tcBorders>
            <w:shd w:val="clear" w:color="000000" w:fill="FFFFFF"/>
            <w:noWrap/>
            <w:vAlign w:val="center"/>
            <w:hideMark/>
          </w:tcPr>
          <w:p w14:paraId="2A3EA3F8"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114</w:t>
            </w:r>
          </w:p>
        </w:tc>
        <w:tc>
          <w:tcPr>
            <w:tcW w:w="565" w:type="pct"/>
            <w:tcBorders>
              <w:top w:val="nil"/>
              <w:left w:val="nil"/>
              <w:bottom w:val="single" w:sz="4" w:space="0" w:color="auto"/>
              <w:right w:val="single" w:sz="4" w:space="0" w:color="auto"/>
            </w:tcBorders>
            <w:shd w:val="clear" w:color="000000" w:fill="FFFFFF"/>
            <w:noWrap/>
            <w:vAlign w:val="center"/>
            <w:hideMark/>
          </w:tcPr>
          <w:p w14:paraId="40251CD0"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 [1%]</w:t>
            </w:r>
          </w:p>
        </w:tc>
        <w:tc>
          <w:tcPr>
            <w:tcW w:w="564" w:type="pct"/>
            <w:tcBorders>
              <w:top w:val="nil"/>
              <w:left w:val="nil"/>
              <w:bottom w:val="single" w:sz="4" w:space="0" w:color="auto"/>
              <w:right w:val="single" w:sz="4" w:space="0" w:color="auto"/>
            </w:tcBorders>
            <w:shd w:val="clear" w:color="000000" w:fill="FFFFFF"/>
            <w:noWrap/>
            <w:vAlign w:val="center"/>
            <w:hideMark/>
          </w:tcPr>
          <w:p w14:paraId="6ACF287C"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+15 [13%]</w:t>
            </w:r>
          </w:p>
        </w:tc>
        <w:tc>
          <w:tcPr>
            <w:tcW w:w="564" w:type="pct"/>
            <w:tcBorders>
              <w:top w:val="nil"/>
              <w:left w:val="nil"/>
              <w:bottom w:val="single" w:sz="4" w:space="0" w:color="auto"/>
              <w:right w:val="single" w:sz="4" w:space="0" w:color="auto"/>
            </w:tcBorders>
            <w:shd w:val="clear" w:color="000000" w:fill="FFFFFF"/>
            <w:noWrap/>
            <w:vAlign w:val="center"/>
            <w:hideMark/>
          </w:tcPr>
          <w:p w14:paraId="2850FD7B"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+38 [33%]</w:t>
            </w:r>
          </w:p>
        </w:tc>
        <w:tc>
          <w:tcPr>
            <w:tcW w:w="916" w:type="pct"/>
            <w:tcBorders>
              <w:top w:val="nil"/>
              <w:left w:val="nil"/>
              <w:bottom w:val="single" w:sz="4" w:space="0" w:color="auto"/>
              <w:right w:val="single" w:sz="4" w:space="0" w:color="auto"/>
            </w:tcBorders>
            <w:shd w:val="clear" w:color="000000" w:fill="FFFFFF"/>
            <w:noWrap/>
            <w:vAlign w:val="center"/>
            <w:hideMark/>
          </w:tcPr>
          <w:p w14:paraId="461928D5"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+56 [49%]</w:t>
            </w:r>
          </w:p>
        </w:tc>
        <w:tc>
          <w:tcPr>
            <w:tcW w:w="1268" w:type="pct"/>
            <w:tcBorders>
              <w:top w:val="nil"/>
              <w:left w:val="nil"/>
              <w:bottom w:val="single" w:sz="4" w:space="0" w:color="auto"/>
              <w:right w:val="single" w:sz="4" w:space="0" w:color="auto"/>
            </w:tcBorders>
            <w:shd w:val="clear" w:color="000000" w:fill="FFFFFF"/>
            <w:noWrap/>
            <w:vAlign w:val="center"/>
            <w:hideMark/>
          </w:tcPr>
          <w:p w14:paraId="4E40425A"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+57 [50%]</w:t>
            </w:r>
          </w:p>
        </w:tc>
      </w:tr>
      <w:tr w:rsidR="00D24603" w:rsidRPr="00622422" w14:paraId="2F120710" w14:textId="77777777" w:rsidTr="00435936">
        <w:trPr>
          <w:trHeight w:val="20"/>
        </w:trPr>
        <w:tc>
          <w:tcPr>
            <w:tcW w:w="4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E398BB1"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9</w:t>
            </w:r>
          </w:p>
        </w:tc>
        <w:tc>
          <w:tcPr>
            <w:tcW w:w="636" w:type="pct"/>
            <w:tcBorders>
              <w:top w:val="nil"/>
              <w:left w:val="nil"/>
              <w:bottom w:val="nil"/>
              <w:right w:val="single" w:sz="4" w:space="0" w:color="auto"/>
            </w:tcBorders>
            <w:shd w:val="clear" w:color="000000" w:fill="FFFFFF"/>
            <w:noWrap/>
            <w:vAlign w:val="center"/>
            <w:hideMark/>
          </w:tcPr>
          <w:p w14:paraId="00B1104C"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w:t>
            </w:r>
          </w:p>
        </w:tc>
        <w:tc>
          <w:tcPr>
            <w:tcW w:w="565" w:type="pct"/>
            <w:tcBorders>
              <w:top w:val="nil"/>
              <w:left w:val="nil"/>
              <w:bottom w:val="nil"/>
              <w:right w:val="single" w:sz="4" w:space="0" w:color="auto"/>
            </w:tcBorders>
            <w:shd w:val="clear" w:color="000000" w:fill="FFFFFF"/>
            <w:noWrap/>
            <w:vAlign w:val="center"/>
            <w:hideMark/>
          </w:tcPr>
          <w:p w14:paraId="23CAE4FD"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Nalo: 0%</w:t>
            </w:r>
          </w:p>
        </w:tc>
        <w:tc>
          <w:tcPr>
            <w:tcW w:w="564" w:type="pct"/>
            <w:tcBorders>
              <w:top w:val="nil"/>
              <w:left w:val="nil"/>
              <w:bottom w:val="nil"/>
              <w:right w:val="single" w:sz="4" w:space="0" w:color="auto"/>
            </w:tcBorders>
            <w:shd w:val="clear" w:color="000000" w:fill="FFFFFF"/>
            <w:noWrap/>
            <w:vAlign w:val="center"/>
            <w:hideMark/>
          </w:tcPr>
          <w:p w14:paraId="39BF8C49"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Rete: 56%</w:t>
            </w:r>
          </w:p>
        </w:tc>
        <w:tc>
          <w:tcPr>
            <w:tcW w:w="564" w:type="pct"/>
            <w:tcBorders>
              <w:top w:val="nil"/>
              <w:left w:val="nil"/>
              <w:bottom w:val="nil"/>
              <w:right w:val="single" w:sz="4" w:space="0" w:color="auto"/>
            </w:tcBorders>
            <w:shd w:val="clear" w:color="000000" w:fill="FFFFFF"/>
            <w:noWrap/>
            <w:vAlign w:val="center"/>
            <w:hideMark/>
          </w:tcPr>
          <w:p w14:paraId="0475B1B7"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228%</w:t>
            </w:r>
          </w:p>
        </w:tc>
        <w:tc>
          <w:tcPr>
            <w:tcW w:w="916" w:type="pct"/>
            <w:tcBorders>
              <w:top w:val="nil"/>
              <w:left w:val="nil"/>
              <w:bottom w:val="nil"/>
              <w:right w:val="single" w:sz="4" w:space="0" w:color="auto"/>
            </w:tcBorders>
            <w:shd w:val="clear" w:color="000000" w:fill="FFFFFF"/>
            <w:noWrap/>
            <w:vAlign w:val="center"/>
            <w:hideMark/>
          </w:tcPr>
          <w:p w14:paraId="322F658A"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111%, Rete: 287%</w:t>
            </w:r>
          </w:p>
        </w:tc>
        <w:tc>
          <w:tcPr>
            <w:tcW w:w="1268" w:type="pct"/>
            <w:tcBorders>
              <w:top w:val="nil"/>
              <w:left w:val="nil"/>
              <w:bottom w:val="nil"/>
              <w:right w:val="single" w:sz="4" w:space="0" w:color="auto"/>
            </w:tcBorders>
            <w:shd w:val="clear" w:color="000000" w:fill="FFFFFF"/>
            <w:noWrap/>
            <w:vAlign w:val="center"/>
            <w:hideMark/>
          </w:tcPr>
          <w:p w14:paraId="5F57317A"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111%, Rete: 287%, Nalo: 0%</w:t>
            </w:r>
          </w:p>
        </w:tc>
      </w:tr>
      <w:tr w:rsidR="00D24603" w:rsidRPr="00622422" w14:paraId="28B8BF20" w14:textId="77777777" w:rsidTr="00435936">
        <w:trPr>
          <w:trHeight w:val="20"/>
        </w:trPr>
        <w:tc>
          <w:tcPr>
            <w:tcW w:w="488" w:type="pct"/>
            <w:vMerge/>
            <w:tcBorders>
              <w:top w:val="nil"/>
              <w:left w:val="single" w:sz="4" w:space="0" w:color="auto"/>
              <w:bottom w:val="single" w:sz="4" w:space="0" w:color="000000"/>
              <w:right w:val="single" w:sz="4" w:space="0" w:color="auto"/>
            </w:tcBorders>
            <w:vAlign w:val="center"/>
            <w:hideMark/>
          </w:tcPr>
          <w:p w14:paraId="61A5C04F"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6" w:type="pct"/>
            <w:tcBorders>
              <w:top w:val="nil"/>
              <w:left w:val="nil"/>
              <w:bottom w:val="single" w:sz="4" w:space="0" w:color="auto"/>
              <w:right w:val="single" w:sz="4" w:space="0" w:color="auto"/>
            </w:tcBorders>
            <w:shd w:val="clear" w:color="000000" w:fill="FFFFFF"/>
            <w:noWrap/>
            <w:vAlign w:val="center"/>
            <w:hideMark/>
          </w:tcPr>
          <w:p w14:paraId="2ECF8C30"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186</w:t>
            </w:r>
          </w:p>
        </w:tc>
        <w:tc>
          <w:tcPr>
            <w:tcW w:w="565" w:type="pct"/>
            <w:tcBorders>
              <w:top w:val="nil"/>
              <w:left w:val="nil"/>
              <w:bottom w:val="single" w:sz="4" w:space="0" w:color="auto"/>
              <w:right w:val="single" w:sz="4" w:space="0" w:color="auto"/>
            </w:tcBorders>
            <w:shd w:val="clear" w:color="000000" w:fill="FFFFFF"/>
            <w:noWrap/>
            <w:vAlign w:val="center"/>
            <w:hideMark/>
          </w:tcPr>
          <w:p w14:paraId="6B41E015"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+0 [0%]</w:t>
            </w:r>
          </w:p>
        </w:tc>
        <w:tc>
          <w:tcPr>
            <w:tcW w:w="564" w:type="pct"/>
            <w:tcBorders>
              <w:top w:val="nil"/>
              <w:left w:val="nil"/>
              <w:bottom w:val="single" w:sz="4" w:space="0" w:color="auto"/>
              <w:right w:val="single" w:sz="4" w:space="0" w:color="auto"/>
            </w:tcBorders>
            <w:shd w:val="clear" w:color="000000" w:fill="FFFFFF"/>
            <w:noWrap/>
            <w:vAlign w:val="center"/>
            <w:hideMark/>
          </w:tcPr>
          <w:p w14:paraId="593E6CE1"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+33 [17%]</w:t>
            </w:r>
          </w:p>
        </w:tc>
        <w:tc>
          <w:tcPr>
            <w:tcW w:w="564" w:type="pct"/>
            <w:tcBorders>
              <w:top w:val="nil"/>
              <w:left w:val="nil"/>
              <w:bottom w:val="single" w:sz="4" w:space="0" w:color="auto"/>
              <w:right w:val="single" w:sz="4" w:space="0" w:color="auto"/>
            </w:tcBorders>
            <w:shd w:val="clear" w:color="000000" w:fill="FFFFFF"/>
            <w:noWrap/>
            <w:vAlign w:val="center"/>
            <w:hideMark/>
          </w:tcPr>
          <w:p w14:paraId="4AE3D944"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+58 [31%]</w:t>
            </w:r>
          </w:p>
        </w:tc>
        <w:tc>
          <w:tcPr>
            <w:tcW w:w="916" w:type="pct"/>
            <w:tcBorders>
              <w:top w:val="nil"/>
              <w:left w:val="nil"/>
              <w:bottom w:val="single" w:sz="4" w:space="0" w:color="auto"/>
              <w:right w:val="single" w:sz="4" w:space="0" w:color="auto"/>
            </w:tcBorders>
            <w:shd w:val="clear" w:color="000000" w:fill="FFFFFF"/>
            <w:noWrap/>
            <w:vAlign w:val="center"/>
            <w:hideMark/>
          </w:tcPr>
          <w:p w14:paraId="2212E444"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+117 [63%]</w:t>
            </w:r>
          </w:p>
        </w:tc>
        <w:tc>
          <w:tcPr>
            <w:tcW w:w="1268" w:type="pct"/>
            <w:tcBorders>
              <w:top w:val="nil"/>
              <w:left w:val="nil"/>
              <w:bottom w:val="single" w:sz="4" w:space="0" w:color="auto"/>
              <w:right w:val="single" w:sz="4" w:space="0" w:color="auto"/>
            </w:tcBorders>
            <w:shd w:val="clear" w:color="000000" w:fill="FFFFFF"/>
            <w:noWrap/>
            <w:vAlign w:val="center"/>
            <w:hideMark/>
          </w:tcPr>
          <w:p w14:paraId="49CBC105"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+117 [63%]</w:t>
            </w:r>
          </w:p>
        </w:tc>
      </w:tr>
      <w:tr w:rsidR="00D24603" w:rsidRPr="00622422" w14:paraId="7DC292F9" w14:textId="77777777" w:rsidTr="00435936">
        <w:trPr>
          <w:trHeight w:val="20"/>
        </w:trPr>
        <w:tc>
          <w:tcPr>
            <w:tcW w:w="4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288EE17"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C1</w:t>
            </w:r>
            <w:r w:rsidRPr="00622422">
              <w:rPr>
                <w:rFonts w:ascii="Calibri" w:eastAsia="Times New Roman" w:hAnsi="Calibri" w:cs="Calibri"/>
                <w:color w:val="000000"/>
                <w:kern w:val="0"/>
                <w:sz w:val="16"/>
                <w:szCs w:val="16"/>
                <w14:ligatures w14:val="none"/>
              </w:rPr>
              <w:t>0</w:t>
            </w:r>
          </w:p>
        </w:tc>
        <w:tc>
          <w:tcPr>
            <w:tcW w:w="636" w:type="pct"/>
            <w:tcBorders>
              <w:top w:val="nil"/>
              <w:left w:val="nil"/>
              <w:bottom w:val="nil"/>
              <w:right w:val="single" w:sz="4" w:space="0" w:color="auto"/>
            </w:tcBorders>
            <w:shd w:val="clear" w:color="000000" w:fill="FFFFFF"/>
            <w:noWrap/>
            <w:vAlign w:val="center"/>
            <w:hideMark/>
          </w:tcPr>
          <w:p w14:paraId="6A22BC6C"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w:t>
            </w:r>
          </w:p>
        </w:tc>
        <w:tc>
          <w:tcPr>
            <w:tcW w:w="565" w:type="pct"/>
            <w:tcBorders>
              <w:top w:val="nil"/>
              <w:left w:val="nil"/>
              <w:bottom w:val="nil"/>
              <w:right w:val="single" w:sz="4" w:space="0" w:color="auto"/>
            </w:tcBorders>
            <w:shd w:val="clear" w:color="000000" w:fill="FFFFFF"/>
            <w:noWrap/>
            <w:vAlign w:val="center"/>
            <w:hideMark/>
          </w:tcPr>
          <w:p w14:paraId="51A373CB"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Nalo: 84%</w:t>
            </w:r>
          </w:p>
        </w:tc>
        <w:tc>
          <w:tcPr>
            <w:tcW w:w="564" w:type="pct"/>
            <w:tcBorders>
              <w:top w:val="nil"/>
              <w:left w:val="nil"/>
              <w:bottom w:val="nil"/>
              <w:right w:val="single" w:sz="4" w:space="0" w:color="auto"/>
            </w:tcBorders>
            <w:shd w:val="clear" w:color="000000" w:fill="FFFFFF"/>
            <w:noWrap/>
            <w:vAlign w:val="center"/>
            <w:hideMark/>
          </w:tcPr>
          <w:p w14:paraId="069E168E"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Rete: 31%</w:t>
            </w:r>
          </w:p>
        </w:tc>
        <w:tc>
          <w:tcPr>
            <w:tcW w:w="564" w:type="pct"/>
            <w:tcBorders>
              <w:top w:val="nil"/>
              <w:left w:val="nil"/>
              <w:bottom w:val="nil"/>
              <w:right w:val="single" w:sz="4" w:space="0" w:color="auto"/>
            </w:tcBorders>
            <w:shd w:val="clear" w:color="000000" w:fill="FFFFFF"/>
            <w:noWrap/>
            <w:vAlign w:val="center"/>
            <w:hideMark/>
          </w:tcPr>
          <w:p w14:paraId="79D3F6F6"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191%</w:t>
            </w:r>
          </w:p>
        </w:tc>
        <w:tc>
          <w:tcPr>
            <w:tcW w:w="916" w:type="pct"/>
            <w:tcBorders>
              <w:top w:val="nil"/>
              <w:left w:val="nil"/>
              <w:bottom w:val="nil"/>
              <w:right w:val="single" w:sz="4" w:space="0" w:color="auto"/>
            </w:tcBorders>
            <w:shd w:val="clear" w:color="000000" w:fill="FFFFFF"/>
            <w:noWrap/>
            <w:vAlign w:val="center"/>
            <w:hideMark/>
          </w:tcPr>
          <w:p w14:paraId="53B6301B"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131%, Rete: 233%</w:t>
            </w:r>
          </w:p>
        </w:tc>
        <w:tc>
          <w:tcPr>
            <w:tcW w:w="1268" w:type="pct"/>
            <w:tcBorders>
              <w:top w:val="nil"/>
              <w:left w:val="nil"/>
              <w:bottom w:val="nil"/>
              <w:right w:val="single" w:sz="4" w:space="0" w:color="auto"/>
            </w:tcBorders>
            <w:shd w:val="clear" w:color="000000" w:fill="FFFFFF"/>
            <w:noWrap/>
            <w:vAlign w:val="center"/>
            <w:hideMark/>
          </w:tcPr>
          <w:p w14:paraId="0F6055A7"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131%, Rete: 233%, Nalo: 84%</w:t>
            </w:r>
          </w:p>
        </w:tc>
      </w:tr>
      <w:tr w:rsidR="00D24603" w:rsidRPr="00622422" w14:paraId="3EB976E3" w14:textId="77777777" w:rsidTr="00435936">
        <w:trPr>
          <w:trHeight w:val="20"/>
        </w:trPr>
        <w:tc>
          <w:tcPr>
            <w:tcW w:w="488" w:type="pct"/>
            <w:vMerge/>
            <w:tcBorders>
              <w:top w:val="nil"/>
              <w:left w:val="single" w:sz="4" w:space="0" w:color="auto"/>
              <w:bottom w:val="single" w:sz="4" w:space="0" w:color="000000"/>
              <w:right w:val="single" w:sz="4" w:space="0" w:color="auto"/>
            </w:tcBorders>
            <w:vAlign w:val="center"/>
            <w:hideMark/>
          </w:tcPr>
          <w:p w14:paraId="2C8D5A36"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6" w:type="pct"/>
            <w:tcBorders>
              <w:top w:val="nil"/>
              <w:left w:val="nil"/>
              <w:bottom w:val="single" w:sz="4" w:space="0" w:color="auto"/>
              <w:right w:val="single" w:sz="4" w:space="0" w:color="auto"/>
            </w:tcBorders>
            <w:shd w:val="clear" w:color="000000" w:fill="FFFFFF"/>
            <w:noWrap/>
            <w:vAlign w:val="center"/>
            <w:hideMark/>
          </w:tcPr>
          <w:p w14:paraId="45CA97EB"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87</w:t>
            </w:r>
          </w:p>
        </w:tc>
        <w:tc>
          <w:tcPr>
            <w:tcW w:w="565" w:type="pct"/>
            <w:tcBorders>
              <w:top w:val="nil"/>
              <w:left w:val="nil"/>
              <w:bottom w:val="single" w:sz="4" w:space="0" w:color="auto"/>
              <w:right w:val="single" w:sz="4" w:space="0" w:color="auto"/>
            </w:tcBorders>
            <w:shd w:val="clear" w:color="000000" w:fill="FFFFFF"/>
            <w:noWrap/>
            <w:vAlign w:val="center"/>
            <w:hideMark/>
          </w:tcPr>
          <w:p w14:paraId="0832E518"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 [1%]</w:t>
            </w:r>
          </w:p>
        </w:tc>
        <w:tc>
          <w:tcPr>
            <w:tcW w:w="564" w:type="pct"/>
            <w:tcBorders>
              <w:top w:val="nil"/>
              <w:left w:val="nil"/>
              <w:bottom w:val="single" w:sz="4" w:space="0" w:color="auto"/>
              <w:right w:val="single" w:sz="4" w:space="0" w:color="auto"/>
            </w:tcBorders>
            <w:shd w:val="clear" w:color="000000" w:fill="FFFFFF"/>
            <w:noWrap/>
            <w:vAlign w:val="center"/>
            <w:hideMark/>
          </w:tcPr>
          <w:p w14:paraId="238B9194"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+7 [8%]</w:t>
            </w:r>
          </w:p>
        </w:tc>
        <w:tc>
          <w:tcPr>
            <w:tcW w:w="564" w:type="pct"/>
            <w:tcBorders>
              <w:top w:val="nil"/>
              <w:left w:val="nil"/>
              <w:bottom w:val="single" w:sz="4" w:space="0" w:color="auto"/>
              <w:right w:val="single" w:sz="4" w:space="0" w:color="auto"/>
            </w:tcBorders>
            <w:shd w:val="clear" w:color="000000" w:fill="FFFFFF"/>
            <w:noWrap/>
            <w:vAlign w:val="center"/>
            <w:hideMark/>
          </w:tcPr>
          <w:p w14:paraId="3C5C95A9"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+10 [12%]</w:t>
            </w:r>
          </w:p>
        </w:tc>
        <w:tc>
          <w:tcPr>
            <w:tcW w:w="916" w:type="pct"/>
            <w:tcBorders>
              <w:top w:val="nil"/>
              <w:left w:val="nil"/>
              <w:bottom w:val="single" w:sz="4" w:space="0" w:color="auto"/>
              <w:right w:val="single" w:sz="4" w:space="0" w:color="auto"/>
            </w:tcBorders>
            <w:shd w:val="clear" w:color="000000" w:fill="FFFFFF"/>
            <w:noWrap/>
            <w:vAlign w:val="center"/>
            <w:hideMark/>
          </w:tcPr>
          <w:p w14:paraId="46E64564"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+25 [29%]</w:t>
            </w:r>
          </w:p>
        </w:tc>
        <w:tc>
          <w:tcPr>
            <w:tcW w:w="1268" w:type="pct"/>
            <w:tcBorders>
              <w:top w:val="nil"/>
              <w:left w:val="nil"/>
              <w:bottom w:val="single" w:sz="4" w:space="0" w:color="auto"/>
              <w:right w:val="single" w:sz="4" w:space="0" w:color="auto"/>
            </w:tcBorders>
            <w:shd w:val="clear" w:color="000000" w:fill="FFFFFF"/>
            <w:noWrap/>
            <w:vAlign w:val="center"/>
            <w:hideMark/>
          </w:tcPr>
          <w:p w14:paraId="0B00F4BC"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+26 [29%]</w:t>
            </w:r>
          </w:p>
        </w:tc>
      </w:tr>
      <w:tr w:rsidR="00D24603" w:rsidRPr="00622422" w14:paraId="09FDFB86" w14:textId="77777777" w:rsidTr="00435936">
        <w:trPr>
          <w:trHeight w:val="20"/>
        </w:trPr>
        <w:tc>
          <w:tcPr>
            <w:tcW w:w="4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C12AAD8"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11</w:t>
            </w:r>
          </w:p>
        </w:tc>
        <w:tc>
          <w:tcPr>
            <w:tcW w:w="636" w:type="pct"/>
            <w:tcBorders>
              <w:top w:val="nil"/>
              <w:left w:val="nil"/>
              <w:bottom w:val="nil"/>
              <w:right w:val="single" w:sz="4" w:space="0" w:color="auto"/>
            </w:tcBorders>
            <w:shd w:val="clear" w:color="000000" w:fill="FFFFFF"/>
            <w:noWrap/>
            <w:vAlign w:val="center"/>
            <w:hideMark/>
          </w:tcPr>
          <w:p w14:paraId="23310C25"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w:t>
            </w:r>
          </w:p>
        </w:tc>
        <w:tc>
          <w:tcPr>
            <w:tcW w:w="565" w:type="pct"/>
            <w:tcBorders>
              <w:top w:val="nil"/>
              <w:left w:val="nil"/>
              <w:bottom w:val="nil"/>
              <w:right w:val="single" w:sz="4" w:space="0" w:color="auto"/>
            </w:tcBorders>
            <w:shd w:val="clear" w:color="000000" w:fill="FFFFFF"/>
            <w:noWrap/>
            <w:vAlign w:val="center"/>
            <w:hideMark/>
          </w:tcPr>
          <w:p w14:paraId="2BAB9BAB"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Nalo: 19%</w:t>
            </w:r>
          </w:p>
        </w:tc>
        <w:tc>
          <w:tcPr>
            <w:tcW w:w="564" w:type="pct"/>
            <w:tcBorders>
              <w:top w:val="nil"/>
              <w:left w:val="nil"/>
              <w:bottom w:val="nil"/>
              <w:right w:val="single" w:sz="4" w:space="0" w:color="auto"/>
            </w:tcBorders>
            <w:shd w:val="clear" w:color="000000" w:fill="FFFFFF"/>
            <w:noWrap/>
            <w:vAlign w:val="center"/>
            <w:hideMark/>
          </w:tcPr>
          <w:p w14:paraId="717FB9BF"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Rete: 65%</w:t>
            </w:r>
          </w:p>
        </w:tc>
        <w:tc>
          <w:tcPr>
            <w:tcW w:w="564" w:type="pct"/>
            <w:tcBorders>
              <w:top w:val="nil"/>
              <w:left w:val="nil"/>
              <w:bottom w:val="nil"/>
              <w:right w:val="single" w:sz="4" w:space="0" w:color="auto"/>
            </w:tcBorders>
            <w:shd w:val="clear" w:color="000000" w:fill="FFFFFF"/>
            <w:noWrap/>
            <w:vAlign w:val="center"/>
            <w:hideMark/>
          </w:tcPr>
          <w:p w14:paraId="4C05D14B"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274%</w:t>
            </w:r>
          </w:p>
        </w:tc>
        <w:tc>
          <w:tcPr>
            <w:tcW w:w="916" w:type="pct"/>
            <w:tcBorders>
              <w:top w:val="nil"/>
              <w:left w:val="nil"/>
              <w:bottom w:val="nil"/>
              <w:right w:val="single" w:sz="4" w:space="0" w:color="auto"/>
            </w:tcBorders>
            <w:shd w:val="clear" w:color="000000" w:fill="FFFFFF"/>
            <w:noWrap/>
            <w:vAlign w:val="center"/>
            <w:hideMark/>
          </w:tcPr>
          <w:p w14:paraId="163AFC4C"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133%, Rete: 349%</w:t>
            </w:r>
          </w:p>
        </w:tc>
        <w:tc>
          <w:tcPr>
            <w:tcW w:w="1268" w:type="pct"/>
            <w:tcBorders>
              <w:top w:val="nil"/>
              <w:left w:val="nil"/>
              <w:bottom w:val="nil"/>
              <w:right w:val="single" w:sz="4" w:space="0" w:color="auto"/>
            </w:tcBorders>
            <w:shd w:val="clear" w:color="000000" w:fill="FFFFFF"/>
            <w:noWrap/>
            <w:vAlign w:val="center"/>
            <w:hideMark/>
          </w:tcPr>
          <w:p w14:paraId="6FED9F1C"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134%, Rete: 349%, Nalo: 19%</w:t>
            </w:r>
          </w:p>
        </w:tc>
      </w:tr>
      <w:tr w:rsidR="00D24603" w:rsidRPr="00622422" w14:paraId="682CE92A" w14:textId="77777777" w:rsidTr="00435936">
        <w:trPr>
          <w:trHeight w:val="20"/>
        </w:trPr>
        <w:tc>
          <w:tcPr>
            <w:tcW w:w="488" w:type="pct"/>
            <w:vMerge/>
            <w:tcBorders>
              <w:top w:val="nil"/>
              <w:left w:val="single" w:sz="4" w:space="0" w:color="auto"/>
              <w:bottom w:val="single" w:sz="4" w:space="0" w:color="000000"/>
              <w:right w:val="single" w:sz="4" w:space="0" w:color="auto"/>
            </w:tcBorders>
            <w:vAlign w:val="center"/>
            <w:hideMark/>
          </w:tcPr>
          <w:p w14:paraId="6FA6EB04"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6" w:type="pct"/>
            <w:tcBorders>
              <w:top w:val="nil"/>
              <w:left w:val="nil"/>
              <w:bottom w:val="single" w:sz="4" w:space="0" w:color="auto"/>
              <w:right w:val="single" w:sz="4" w:space="0" w:color="auto"/>
            </w:tcBorders>
            <w:shd w:val="clear" w:color="000000" w:fill="FFFFFF"/>
            <w:noWrap/>
            <w:vAlign w:val="center"/>
            <w:hideMark/>
          </w:tcPr>
          <w:p w14:paraId="7192E027"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62</w:t>
            </w:r>
          </w:p>
        </w:tc>
        <w:tc>
          <w:tcPr>
            <w:tcW w:w="565" w:type="pct"/>
            <w:tcBorders>
              <w:top w:val="nil"/>
              <w:left w:val="nil"/>
              <w:bottom w:val="single" w:sz="4" w:space="0" w:color="auto"/>
              <w:right w:val="single" w:sz="4" w:space="0" w:color="auto"/>
            </w:tcBorders>
            <w:shd w:val="clear" w:color="000000" w:fill="FFFFFF"/>
            <w:noWrap/>
            <w:vAlign w:val="center"/>
            <w:hideMark/>
          </w:tcPr>
          <w:p w14:paraId="2AAE20FF"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+0 [0%]</w:t>
            </w:r>
          </w:p>
        </w:tc>
        <w:tc>
          <w:tcPr>
            <w:tcW w:w="564" w:type="pct"/>
            <w:tcBorders>
              <w:top w:val="nil"/>
              <w:left w:val="nil"/>
              <w:bottom w:val="single" w:sz="4" w:space="0" w:color="auto"/>
              <w:right w:val="single" w:sz="4" w:space="0" w:color="auto"/>
            </w:tcBorders>
            <w:shd w:val="clear" w:color="000000" w:fill="FFFFFF"/>
            <w:noWrap/>
            <w:vAlign w:val="center"/>
            <w:hideMark/>
          </w:tcPr>
          <w:p w14:paraId="75348E9B"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+11 [18%]</w:t>
            </w:r>
          </w:p>
        </w:tc>
        <w:tc>
          <w:tcPr>
            <w:tcW w:w="564" w:type="pct"/>
            <w:tcBorders>
              <w:top w:val="nil"/>
              <w:left w:val="nil"/>
              <w:bottom w:val="single" w:sz="4" w:space="0" w:color="auto"/>
              <w:right w:val="single" w:sz="4" w:space="0" w:color="auto"/>
            </w:tcBorders>
            <w:shd w:val="clear" w:color="000000" w:fill="FFFFFF"/>
            <w:noWrap/>
            <w:vAlign w:val="center"/>
            <w:hideMark/>
          </w:tcPr>
          <w:p w14:paraId="7C4FC472"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+15 [24%]</w:t>
            </w:r>
          </w:p>
        </w:tc>
        <w:tc>
          <w:tcPr>
            <w:tcW w:w="916" w:type="pct"/>
            <w:tcBorders>
              <w:top w:val="nil"/>
              <w:left w:val="nil"/>
              <w:bottom w:val="single" w:sz="4" w:space="0" w:color="auto"/>
              <w:right w:val="single" w:sz="4" w:space="0" w:color="auto"/>
            </w:tcBorders>
            <w:shd w:val="clear" w:color="000000" w:fill="FFFFFF"/>
            <w:noWrap/>
            <w:vAlign w:val="center"/>
            <w:hideMark/>
          </w:tcPr>
          <w:p w14:paraId="1B30383C"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+40 [64%]</w:t>
            </w:r>
          </w:p>
        </w:tc>
        <w:tc>
          <w:tcPr>
            <w:tcW w:w="1268" w:type="pct"/>
            <w:tcBorders>
              <w:top w:val="nil"/>
              <w:left w:val="nil"/>
              <w:bottom w:val="single" w:sz="4" w:space="0" w:color="auto"/>
              <w:right w:val="single" w:sz="4" w:space="0" w:color="auto"/>
            </w:tcBorders>
            <w:shd w:val="clear" w:color="000000" w:fill="FFFFFF"/>
            <w:noWrap/>
            <w:vAlign w:val="center"/>
            <w:hideMark/>
          </w:tcPr>
          <w:p w14:paraId="23EA2227"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+40 [64%]</w:t>
            </w:r>
          </w:p>
        </w:tc>
      </w:tr>
      <w:tr w:rsidR="00D24603" w:rsidRPr="00622422" w14:paraId="0CBC0396" w14:textId="77777777" w:rsidTr="00435936">
        <w:trPr>
          <w:trHeight w:val="20"/>
        </w:trPr>
        <w:tc>
          <w:tcPr>
            <w:tcW w:w="4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DF9D68A"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12</w:t>
            </w:r>
          </w:p>
        </w:tc>
        <w:tc>
          <w:tcPr>
            <w:tcW w:w="636" w:type="pct"/>
            <w:tcBorders>
              <w:top w:val="nil"/>
              <w:left w:val="nil"/>
              <w:bottom w:val="nil"/>
              <w:right w:val="single" w:sz="4" w:space="0" w:color="auto"/>
            </w:tcBorders>
            <w:shd w:val="clear" w:color="000000" w:fill="FFFFFF"/>
            <w:noWrap/>
            <w:vAlign w:val="center"/>
            <w:hideMark/>
          </w:tcPr>
          <w:p w14:paraId="14A81D4A"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w:t>
            </w:r>
          </w:p>
        </w:tc>
        <w:tc>
          <w:tcPr>
            <w:tcW w:w="565" w:type="pct"/>
            <w:tcBorders>
              <w:top w:val="nil"/>
              <w:left w:val="nil"/>
              <w:bottom w:val="nil"/>
              <w:right w:val="single" w:sz="4" w:space="0" w:color="auto"/>
            </w:tcBorders>
            <w:shd w:val="clear" w:color="000000" w:fill="FFFFFF"/>
            <w:noWrap/>
            <w:vAlign w:val="center"/>
            <w:hideMark/>
          </w:tcPr>
          <w:p w14:paraId="1078595B"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Nalo: 0%</w:t>
            </w:r>
          </w:p>
        </w:tc>
        <w:tc>
          <w:tcPr>
            <w:tcW w:w="564" w:type="pct"/>
            <w:tcBorders>
              <w:top w:val="nil"/>
              <w:left w:val="nil"/>
              <w:bottom w:val="nil"/>
              <w:right w:val="single" w:sz="4" w:space="0" w:color="auto"/>
            </w:tcBorders>
            <w:shd w:val="clear" w:color="000000" w:fill="FFFFFF"/>
            <w:noWrap/>
            <w:vAlign w:val="center"/>
            <w:hideMark/>
          </w:tcPr>
          <w:p w14:paraId="7408B7BF"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Rete: 54%</w:t>
            </w:r>
          </w:p>
        </w:tc>
        <w:tc>
          <w:tcPr>
            <w:tcW w:w="564" w:type="pct"/>
            <w:tcBorders>
              <w:top w:val="nil"/>
              <w:left w:val="nil"/>
              <w:bottom w:val="nil"/>
              <w:right w:val="single" w:sz="4" w:space="0" w:color="auto"/>
            </w:tcBorders>
            <w:shd w:val="clear" w:color="000000" w:fill="FFFFFF"/>
            <w:noWrap/>
            <w:vAlign w:val="center"/>
            <w:hideMark/>
          </w:tcPr>
          <w:p w14:paraId="0D7E035D"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173%</w:t>
            </w:r>
          </w:p>
        </w:tc>
        <w:tc>
          <w:tcPr>
            <w:tcW w:w="916" w:type="pct"/>
            <w:tcBorders>
              <w:top w:val="nil"/>
              <w:left w:val="nil"/>
              <w:bottom w:val="nil"/>
              <w:right w:val="single" w:sz="4" w:space="0" w:color="auto"/>
            </w:tcBorders>
            <w:shd w:val="clear" w:color="000000" w:fill="FFFFFF"/>
            <w:noWrap/>
            <w:vAlign w:val="center"/>
            <w:hideMark/>
          </w:tcPr>
          <w:p w14:paraId="3653CCB2"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72%, Rete: 223%</w:t>
            </w:r>
          </w:p>
        </w:tc>
        <w:tc>
          <w:tcPr>
            <w:tcW w:w="1268" w:type="pct"/>
            <w:tcBorders>
              <w:top w:val="nil"/>
              <w:left w:val="nil"/>
              <w:bottom w:val="nil"/>
              <w:right w:val="single" w:sz="4" w:space="0" w:color="auto"/>
            </w:tcBorders>
            <w:shd w:val="clear" w:color="000000" w:fill="FFFFFF"/>
            <w:noWrap/>
            <w:vAlign w:val="center"/>
            <w:hideMark/>
          </w:tcPr>
          <w:p w14:paraId="47E08E33"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72%, Rete: 223%, Nalo: 0%</w:t>
            </w:r>
          </w:p>
        </w:tc>
      </w:tr>
      <w:tr w:rsidR="00D24603" w:rsidRPr="00622422" w14:paraId="2374A49C" w14:textId="77777777" w:rsidTr="00435936">
        <w:trPr>
          <w:trHeight w:val="20"/>
        </w:trPr>
        <w:tc>
          <w:tcPr>
            <w:tcW w:w="488" w:type="pct"/>
            <w:vMerge/>
            <w:tcBorders>
              <w:top w:val="nil"/>
              <w:left w:val="single" w:sz="4" w:space="0" w:color="auto"/>
              <w:bottom w:val="single" w:sz="4" w:space="0" w:color="000000"/>
              <w:right w:val="single" w:sz="4" w:space="0" w:color="auto"/>
            </w:tcBorders>
            <w:vAlign w:val="center"/>
            <w:hideMark/>
          </w:tcPr>
          <w:p w14:paraId="23E248CB"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6" w:type="pct"/>
            <w:tcBorders>
              <w:top w:val="nil"/>
              <w:left w:val="nil"/>
              <w:bottom w:val="single" w:sz="4" w:space="0" w:color="auto"/>
              <w:right w:val="single" w:sz="4" w:space="0" w:color="auto"/>
            </w:tcBorders>
            <w:shd w:val="clear" w:color="000000" w:fill="FFFFFF"/>
            <w:noWrap/>
            <w:vAlign w:val="center"/>
            <w:hideMark/>
          </w:tcPr>
          <w:p w14:paraId="3B0F492C"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127</w:t>
            </w:r>
          </w:p>
        </w:tc>
        <w:tc>
          <w:tcPr>
            <w:tcW w:w="565" w:type="pct"/>
            <w:tcBorders>
              <w:top w:val="nil"/>
              <w:left w:val="nil"/>
              <w:bottom w:val="single" w:sz="4" w:space="0" w:color="auto"/>
              <w:right w:val="single" w:sz="4" w:space="0" w:color="auto"/>
            </w:tcBorders>
            <w:shd w:val="clear" w:color="000000" w:fill="FFFFFF"/>
            <w:noWrap/>
            <w:vAlign w:val="center"/>
            <w:hideMark/>
          </w:tcPr>
          <w:p w14:paraId="5476E404"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 [1%]</w:t>
            </w:r>
          </w:p>
        </w:tc>
        <w:tc>
          <w:tcPr>
            <w:tcW w:w="564" w:type="pct"/>
            <w:tcBorders>
              <w:top w:val="nil"/>
              <w:left w:val="nil"/>
              <w:bottom w:val="single" w:sz="4" w:space="0" w:color="auto"/>
              <w:right w:val="single" w:sz="4" w:space="0" w:color="auto"/>
            </w:tcBorders>
            <w:shd w:val="clear" w:color="000000" w:fill="FFFFFF"/>
            <w:noWrap/>
            <w:vAlign w:val="center"/>
            <w:hideMark/>
          </w:tcPr>
          <w:p w14:paraId="70164EC8"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+30 [24%]</w:t>
            </w:r>
          </w:p>
        </w:tc>
        <w:tc>
          <w:tcPr>
            <w:tcW w:w="564" w:type="pct"/>
            <w:tcBorders>
              <w:top w:val="nil"/>
              <w:left w:val="nil"/>
              <w:bottom w:val="single" w:sz="4" w:space="0" w:color="auto"/>
              <w:right w:val="single" w:sz="4" w:space="0" w:color="auto"/>
            </w:tcBorders>
            <w:shd w:val="clear" w:color="000000" w:fill="FFFFFF"/>
            <w:noWrap/>
            <w:vAlign w:val="center"/>
            <w:hideMark/>
          </w:tcPr>
          <w:p w14:paraId="22D94CFD"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+31 [25%]</w:t>
            </w:r>
          </w:p>
        </w:tc>
        <w:tc>
          <w:tcPr>
            <w:tcW w:w="916" w:type="pct"/>
            <w:tcBorders>
              <w:top w:val="nil"/>
              <w:left w:val="nil"/>
              <w:bottom w:val="single" w:sz="4" w:space="0" w:color="auto"/>
              <w:right w:val="single" w:sz="4" w:space="0" w:color="auto"/>
            </w:tcBorders>
            <w:shd w:val="clear" w:color="000000" w:fill="FFFFFF"/>
            <w:noWrap/>
            <w:vAlign w:val="center"/>
            <w:hideMark/>
          </w:tcPr>
          <w:p w14:paraId="056B42FB"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+84 [66%]</w:t>
            </w:r>
          </w:p>
        </w:tc>
        <w:tc>
          <w:tcPr>
            <w:tcW w:w="1268" w:type="pct"/>
            <w:tcBorders>
              <w:top w:val="nil"/>
              <w:left w:val="nil"/>
              <w:bottom w:val="single" w:sz="4" w:space="0" w:color="auto"/>
              <w:right w:val="single" w:sz="4" w:space="0" w:color="auto"/>
            </w:tcBorders>
            <w:shd w:val="clear" w:color="000000" w:fill="FFFFFF"/>
            <w:noWrap/>
            <w:vAlign w:val="center"/>
            <w:hideMark/>
          </w:tcPr>
          <w:p w14:paraId="7EF54C14"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+84 [67%]</w:t>
            </w:r>
          </w:p>
        </w:tc>
      </w:tr>
      <w:tr w:rsidR="00D24603" w:rsidRPr="00622422" w14:paraId="199AFB27" w14:textId="77777777" w:rsidTr="00435936">
        <w:trPr>
          <w:trHeight w:val="20"/>
        </w:trPr>
        <w:tc>
          <w:tcPr>
            <w:tcW w:w="4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CDBCC90"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13</w:t>
            </w:r>
          </w:p>
        </w:tc>
        <w:tc>
          <w:tcPr>
            <w:tcW w:w="636" w:type="pct"/>
            <w:tcBorders>
              <w:top w:val="nil"/>
              <w:left w:val="nil"/>
              <w:bottom w:val="nil"/>
              <w:right w:val="single" w:sz="4" w:space="0" w:color="auto"/>
            </w:tcBorders>
            <w:shd w:val="clear" w:color="000000" w:fill="FFFFFF"/>
            <w:noWrap/>
            <w:vAlign w:val="center"/>
            <w:hideMark/>
          </w:tcPr>
          <w:p w14:paraId="27438CA0"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w:t>
            </w:r>
          </w:p>
        </w:tc>
        <w:tc>
          <w:tcPr>
            <w:tcW w:w="565" w:type="pct"/>
            <w:tcBorders>
              <w:top w:val="nil"/>
              <w:left w:val="nil"/>
              <w:bottom w:val="nil"/>
              <w:right w:val="single" w:sz="4" w:space="0" w:color="auto"/>
            </w:tcBorders>
            <w:shd w:val="clear" w:color="000000" w:fill="FFFFFF"/>
            <w:noWrap/>
            <w:vAlign w:val="center"/>
            <w:hideMark/>
          </w:tcPr>
          <w:p w14:paraId="6576A792"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Nalo: 60%</w:t>
            </w:r>
          </w:p>
        </w:tc>
        <w:tc>
          <w:tcPr>
            <w:tcW w:w="564" w:type="pct"/>
            <w:tcBorders>
              <w:top w:val="nil"/>
              <w:left w:val="nil"/>
              <w:bottom w:val="nil"/>
              <w:right w:val="single" w:sz="4" w:space="0" w:color="auto"/>
            </w:tcBorders>
            <w:shd w:val="clear" w:color="000000" w:fill="FFFFFF"/>
            <w:noWrap/>
            <w:vAlign w:val="center"/>
            <w:hideMark/>
          </w:tcPr>
          <w:p w14:paraId="140776E4"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Rete: 143%</w:t>
            </w:r>
          </w:p>
        </w:tc>
        <w:tc>
          <w:tcPr>
            <w:tcW w:w="564" w:type="pct"/>
            <w:tcBorders>
              <w:top w:val="nil"/>
              <w:left w:val="nil"/>
              <w:bottom w:val="nil"/>
              <w:right w:val="single" w:sz="4" w:space="0" w:color="auto"/>
            </w:tcBorders>
            <w:shd w:val="clear" w:color="000000" w:fill="FFFFFF"/>
            <w:noWrap/>
            <w:vAlign w:val="center"/>
            <w:hideMark/>
          </w:tcPr>
          <w:p w14:paraId="7D68BD0D"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188%</w:t>
            </w:r>
          </w:p>
        </w:tc>
        <w:tc>
          <w:tcPr>
            <w:tcW w:w="916" w:type="pct"/>
            <w:tcBorders>
              <w:top w:val="nil"/>
              <w:left w:val="nil"/>
              <w:bottom w:val="nil"/>
              <w:right w:val="single" w:sz="4" w:space="0" w:color="auto"/>
            </w:tcBorders>
            <w:shd w:val="clear" w:color="000000" w:fill="FFFFFF"/>
            <w:noWrap/>
            <w:vAlign w:val="center"/>
            <w:hideMark/>
          </w:tcPr>
          <w:p w14:paraId="36298CB7"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33%, Rete: 355%</w:t>
            </w:r>
          </w:p>
        </w:tc>
        <w:tc>
          <w:tcPr>
            <w:tcW w:w="1268" w:type="pct"/>
            <w:tcBorders>
              <w:top w:val="nil"/>
              <w:left w:val="nil"/>
              <w:bottom w:val="nil"/>
              <w:right w:val="single" w:sz="4" w:space="0" w:color="auto"/>
            </w:tcBorders>
            <w:shd w:val="clear" w:color="000000" w:fill="FFFFFF"/>
            <w:noWrap/>
            <w:vAlign w:val="center"/>
            <w:hideMark/>
          </w:tcPr>
          <w:p w14:paraId="73081F05"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33%, Rete: 355%, Nalo: 60%</w:t>
            </w:r>
          </w:p>
        </w:tc>
      </w:tr>
      <w:tr w:rsidR="00D24603" w:rsidRPr="00622422" w14:paraId="4D1812CE" w14:textId="77777777" w:rsidTr="00435936">
        <w:trPr>
          <w:trHeight w:val="20"/>
        </w:trPr>
        <w:tc>
          <w:tcPr>
            <w:tcW w:w="488" w:type="pct"/>
            <w:vMerge/>
            <w:tcBorders>
              <w:top w:val="nil"/>
              <w:left w:val="single" w:sz="4" w:space="0" w:color="auto"/>
              <w:bottom w:val="single" w:sz="4" w:space="0" w:color="000000"/>
              <w:right w:val="single" w:sz="4" w:space="0" w:color="auto"/>
            </w:tcBorders>
            <w:vAlign w:val="center"/>
            <w:hideMark/>
          </w:tcPr>
          <w:p w14:paraId="69A1D637"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6" w:type="pct"/>
            <w:tcBorders>
              <w:top w:val="nil"/>
              <w:left w:val="nil"/>
              <w:bottom w:val="single" w:sz="4" w:space="0" w:color="auto"/>
              <w:right w:val="single" w:sz="4" w:space="0" w:color="auto"/>
            </w:tcBorders>
            <w:shd w:val="clear" w:color="000000" w:fill="FFFFFF"/>
            <w:noWrap/>
            <w:vAlign w:val="center"/>
            <w:hideMark/>
          </w:tcPr>
          <w:p w14:paraId="00A3EE07"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87</w:t>
            </w:r>
          </w:p>
        </w:tc>
        <w:tc>
          <w:tcPr>
            <w:tcW w:w="565" w:type="pct"/>
            <w:tcBorders>
              <w:top w:val="nil"/>
              <w:left w:val="nil"/>
              <w:bottom w:val="single" w:sz="4" w:space="0" w:color="auto"/>
              <w:right w:val="single" w:sz="4" w:space="0" w:color="auto"/>
            </w:tcBorders>
            <w:shd w:val="clear" w:color="000000" w:fill="FFFFFF"/>
            <w:noWrap/>
            <w:vAlign w:val="center"/>
            <w:hideMark/>
          </w:tcPr>
          <w:p w14:paraId="2BEF2131"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 [1%]</w:t>
            </w:r>
          </w:p>
        </w:tc>
        <w:tc>
          <w:tcPr>
            <w:tcW w:w="564" w:type="pct"/>
            <w:tcBorders>
              <w:top w:val="nil"/>
              <w:left w:val="nil"/>
              <w:bottom w:val="single" w:sz="4" w:space="0" w:color="auto"/>
              <w:right w:val="single" w:sz="4" w:space="0" w:color="auto"/>
            </w:tcBorders>
            <w:shd w:val="clear" w:color="000000" w:fill="FFFFFF"/>
            <w:noWrap/>
            <w:vAlign w:val="center"/>
            <w:hideMark/>
          </w:tcPr>
          <w:p w14:paraId="0FD91372"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+25 [29%]</w:t>
            </w:r>
          </w:p>
        </w:tc>
        <w:tc>
          <w:tcPr>
            <w:tcW w:w="564" w:type="pct"/>
            <w:tcBorders>
              <w:top w:val="nil"/>
              <w:left w:val="nil"/>
              <w:bottom w:val="single" w:sz="4" w:space="0" w:color="auto"/>
              <w:right w:val="single" w:sz="4" w:space="0" w:color="auto"/>
            </w:tcBorders>
            <w:shd w:val="clear" w:color="000000" w:fill="FFFFFF"/>
            <w:noWrap/>
            <w:vAlign w:val="center"/>
            <w:hideMark/>
          </w:tcPr>
          <w:p w14:paraId="15CBB5B3"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+30 [35%]</w:t>
            </w:r>
          </w:p>
        </w:tc>
        <w:tc>
          <w:tcPr>
            <w:tcW w:w="916" w:type="pct"/>
            <w:tcBorders>
              <w:top w:val="nil"/>
              <w:left w:val="nil"/>
              <w:bottom w:val="single" w:sz="4" w:space="0" w:color="auto"/>
              <w:right w:val="single" w:sz="4" w:space="0" w:color="auto"/>
            </w:tcBorders>
            <w:shd w:val="clear" w:color="000000" w:fill="FFFFFF"/>
            <w:noWrap/>
            <w:vAlign w:val="center"/>
            <w:hideMark/>
          </w:tcPr>
          <w:p w14:paraId="4306557A"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+62 [71%]</w:t>
            </w:r>
          </w:p>
        </w:tc>
        <w:tc>
          <w:tcPr>
            <w:tcW w:w="1268" w:type="pct"/>
            <w:tcBorders>
              <w:top w:val="nil"/>
              <w:left w:val="nil"/>
              <w:bottom w:val="single" w:sz="4" w:space="0" w:color="auto"/>
              <w:right w:val="single" w:sz="4" w:space="0" w:color="auto"/>
            </w:tcBorders>
            <w:shd w:val="clear" w:color="000000" w:fill="FFFFFF"/>
            <w:noWrap/>
            <w:vAlign w:val="center"/>
            <w:hideMark/>
          </w:tcPr>
          <w:p w14:paraId="650A096A"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+63 [72%]</w:t>
            </w:r>
          </w:p>
        </w:tc>
      </w:tr>
      <w:tr w:rsidR="00D24603" w:rsidRPr="00622422" w14:paraId="050B4630" w14:textId="77777777" w:rsidTr="00435936">
        <w:trPr>
          <w:trHeight w:val="20"/>
        </w:trPr>
        <w:tc>
          <w:tcPr>
            <w:tcW w:w="4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F9646DF"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14</w:t>
            </w:r>
          </w:p>
        </w:tc>
        <w:tc>
          <w:tcPr>
            <w:tcW w:w="636" w:type="pct"/>
            <w:tcBorders>
              <w:top w:val="nil"/>
              <w:left w:val="nil"/>
              <w:bottom w:val="nil"/>
              <w:right w:val="single" w:sz="4" w:space="0" w:color="auto"/>
            </w:tcBorders>
            <w:shd w:val="clear" w:color="000000" w:fill="FFFFFF"/>
            <w:noWrap/>
            <w:vAlign w:val="center"/>
            <w:hideMark/>
          </w:tcPr>
          <w:p w14:paraId="3329B147"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w:t>
            </w:r>
          </w:p>
        </w:tc>
        <w:tc>
          <w:tcPr>
            <w:tcW w:w="565" w:type="pct"/>
            <w:tcBorders>
              <w:top w:val="nil"/>
              <w:left w:val="nil"/>
              <w:bottom w:val="nil"/>
              <w:right w:val="single" w:sz="4" w:space="0" w:color="auto"/>
            </w:tcBorders>
            <w:shd w:val="clear" w:color="000000" w:fill="FFFFFF"/>
            <w:noWrap/>
            <w:vAlign w:val="center"/>
            <w:hideMark/>
          </w:tcPr>
          <w:p w14:paraId="6182C995"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Nalo: 0%</w:t>
            </w:r>
          </w:p>
        </w:tc>
        <w:tc>
          <w:tcPr>
            <w:tcW w:w="564" w:type="pct"/>
            <w:tcBorders>
              <w:top w:val="nil"/>
              <w:left w:val="nil"/>
              <w:bottom w:val="nil"/>
              <w:right w:val="single" w:sz="4" w:space="0" w:color="auto"/>
            </w:tcBorders>
            <w:shd w:val="clear" w:color="000000" w:fill="FFFFFF"/>
            <w:noWrap/>
            <w:vAlign w:val="center"/>
            <w:hideMark/>
          </w:tcPr>
          <w:p w14:paraId="717C3C55"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Rete: 64%</w:t>
            </w:r>
          </w:p>
        </w:tc>
        <w:tc>
          <w:tcPr>
            <w:tcW w:w="564" w:type="pct"/>
            <w:tcBorders>
              <w:top w:val="nil"/>
              <w:left w:val="nil"/>
              <w:bottom w:val="nil"/>
              <w:right w:val="single" w:sz="4" w:space="0" w:color="auto"/>
            </w:tcBorders>
            <w:shd w:val="clear" w:color="000000" w:fill="FFFFFF"/>
            <w:noWrap/>
            <w:vAlign w:val="center"/>
            <w:hideMark/>
          </w:tcPr>
          <w:p w14:paraId="4623759A"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238%</w:t>
            </w:r>
          </w:p>
        </w:tc>
        <w:tc>
          <w:tcPr>
            <w:tcW w:w="916" w:type="pct"/>
            <w:tcBorders>
              <w:top w:val="nil"/>
              <w:left w:val="nil"/>
              <w:bottom w:val="nil"/>
              <w:right w:val="single" w:sz="4" w:space="0" w:color="auto"/>
            </w:tcBorders>
            <w:shd w:val="clear" w:color="000000" w:fill="FFFFFF"/>
            <w:noWrap/>
            <w:vAlign w:val="center"/>
            <w:hideMark/>
          </w:tcPr>
          <w:p w14:paraId="59635E00"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125%, Rete: 327%</w:t>
            </w:r>
          </w:p>
        </w:tc>
        <w:tc>
          <w:tcPr>
            <w:tcW w:w="1268" w:type="pct"/>
            <w:tcBorders>
              <w:top w:val="nil"/>
              <w:left w:val="nil"/>
              <w:bottom w:val="nil"/>
              <w:right w:val="single" w:sz="4" w:space="0" w:color="auto"/>
            </w:tcBorders>
            <w:shd w:val="clear" w:color="000000" w:fill="FFFFFF"/>
            <w:noWrap/>
            <w:vAlign w:val="center"/>
            <w:hideMark/>
          </w:tcPr>
          <w:p w14:paraId="541A03A9"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125%, Rete: 327%, Nalo: 0%</w:t>
            </w:r>
          </w:p>
        </w:tc>
      </w:tr>
      <w:tr w:rsidR="00D24603" w:rsidRPr="00622422" w14:paraId="11FEA4E8" w14:textId="77777777" w:rsidTr="00435936">
        <w:trPr>
          <w:trHeight w:val="20"/>
        </w:trPr>
        <w:tc>
          <w:tcPr>
            <w:tcW w:w="488" w:type="pct"/>
            <w:vMerge/>
            <w:tcBorders>
              <w:top w:val="nil"/>
              <w:left w:val="single" w:sz="4" w:space="0" w:color="auto"/>
              <w:bottom w:val="single" w:sz="4" w:space="0" w:color="000000"/>
              <w:right w:val="single" w:sz="4" w:space="0" w:color="auto"/>
            </w:tcBorders>
            <w:vAlign w:val="center"/>
            <w:hideMark/>
          </w:tcPr>
          <w:p w14:paraId="1C90401C"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6" w:type="pct"/>
            <w:tcBorders>
              <w:top w:val="nil"/>
              <w:left w:val="nil"/>
              <w:bottom w:val="single" w:sz="4" w:space="0" w:color="auto"/>
              <w:right w:val="single" w:sz="4" w:space="0" w:color="auto"/>
            </w:tcBorders>
            <w:shd w:val="clear" w:color="000000" w:fill="FFFFFF"/>
            <w:noWrap/>
            <w:vAlign w:val="center"/>
            <w:hideMark/>
          </w:tcPr>
          <w:p w14:paraId="64F82D23"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1,654</w:t>
            </w:r>
          </w:p>
        </w:tc>
        <w:tc>
          <w:tcPr>
            <w:tcW w:w="565" w:type="pct"/>
            <w:tcBorders>
              <w:top w:val="nil"/>
              <w:left w:val="nil"/>
              <w:bottom w:val="single" w:sz="4" w:space="0" w:color="auto"/>
              <w:right w:val="single" w:sz="4" w:space="0" w:color="auto"/>
            </w:tcBorders>
            <w:shd w:val="clear" w:color="000000" w:fill="FFFFFF"/>
            <w:noWrap/>
            <w:vAlign w:val="center"/>
            <w:hideMark/>
          </w:tcPr>
          <w:p w14:paraId="1FE8960C"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+0 [0%]</w:t>
            </w:r>
          </w:p>
        </w:tc>
        <w:tc>
          <w:tcPr>
            <w:tcW w:w="564" w:type="pct"/>
            <w:tcBorders>
              <w:top w:val="nil"/>
              <w:left w:val="nil"/>
              <w:bottom w:val="single" w:sz="4" w:space="0" w:color="auto"/>
              <w:right w:val="single" w:sz="4" w:space="0" w:color="auto"/>
            </w:tcBorders>
            <w:shd w:val="clear" w:color="000000" w:fill="FFFFFF"/>
            <w:noWrap/>
            <w:vAlign w:val="center"/>
            <w:hideMark/>
          </w:tcPr>
          <w:p w14:paraId="38D10747"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+131 [8%]</w:t>
            </w:r>
          </w:p>
        </w:tc>
        <w:tc>
          <w:tcPr>
            <w:tcW w:w="564" w:type="pct"/>
            <w:tcBorders>
              <w:top w:val="nil"/>
              <w:left w:val="nil"/>
              <w:bottom w:val="single" w:sz="4" w:space="0" w:color="auto"/>
              <w:right w:val="single" w:sz="4" w:space="0" w:color="auto"/>
            </w:tcBorders>
            <w:shd w:val="clear" w:color="000000" w:fill="FFFFFF"/>
            <w:noWrap/>
            <w:vAlign w:val="center"/>
            <w:hideMark/>
          </w:tcPr>
          <w:p w14:paraId="4610FC1E"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+191 [12%]</w:t>
            </w:r>
          </w:p>
        </w:tc>
        <w:tc>
          <w:tcPr>
            <w:tcW w:w="916" w:type="pct"/>
            <w:tcBorders>
              <w:top w:val="nil"/>
              <w:left w:val="nil"/>
              <w:bottom w:val="single" w:sz="4" w:space="0" w:color="auto"/>
              <w:right w:val="single" w:sz="4" w:space="0" w:color="auto"/>
            </w:tcBorders>
            <w:shd w:val="clear" w:color="000000" w:fill="FFFFFF"/>
            <w:noWrap/>
            <w:vAlign w:val="center"/>
            <w:hideMark/>
          </w:tcPr>
          <w:p w14:paraId="14A4F620"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+451 [27%]</w:t>
            </w:r>
          </w:p>
        </w:tc>
        <w:tc>
          <w:tcPr>
            <w:tcW w:w="1268" w:type="pct"/>
            <w:tcBorders>
              <w:top w:val="nil"/>
              <w:left w:val="nil"/>
              <w:bottom w:val="single" w:sz="4" w:space="0" w:color="auto"/>
              <w:right w:val="single" w:sz="4" w:space="0" w:color="auto"/>
            </w:tcBorders>
            <w:shd w:val="clear" w:color="000000" w:fill="FFFFFF"/>
            <w:noWrap/>
            <w:vAlign w:val="center"/>
            <w:hideMark/>
          </w:tcPr>
          <w:p w14:paraId="1782DA55"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+451 [27%]</w:t>
            </w:r>
          </w:p>
        </w:tc>
      </w:tr>
      <w:tr w:rsidR="00D24603" w:rsidRPr="00622422" w14:paraId="080F9DF1" w14:textId="77777777" w:rsidTr="00435936">
        <w:trPr>
          <w:trHeight w:val="20"/>
        </w:trPr>
        <w:tc>
          <w:tcPr>
            <w:tcW w:w="4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1090A55"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15</w:t>
            </w:r>
          </w:p>
        </w:tc>
        <w:tc>
          <w:tcPr>
            <w:tcW w:w="636" w:type="pct"/>
            <w:tcBorders>
              <w:top w:val="nil"/>
              <w:left w:val="nil"/>
              <w:bottom w:val="nil"/>
              <w:right w:val="single" w:sz="4" w:space="0" w:color="auto"/>
            </w:tcBorders>
            <w:shd w:val="clear" w:color="000000" w:fill="FFFFFF"/>
            <w:noWrap/>
            <w:vAlign w:val="center"/>
            <w:hideMark/>
          </w:tcPr>
          <w:p w14:paraId="02DE459C"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w:t>
            </w:r>
          </w:p>
        </w:tc>
        <w:tc>
          <w:tcPr>
            <w:tcW w:w="565" w:type="pct"/>
            <w:tcBorders>
              <w:top w:val="nil"/>
              <w:left w:val="nil"/>
              <w:bottom w:val="nil"/>
              <w:right w:val="single" w:sz="4" w:space="0" w:color="auto"/>
            </w:tcBorders>
            <w:shd w:val="clear" w:color="000000" w:fill="FFFFFF"/>
            <w:noWrap/>
            <w:vAlign w:val="center"/>
            <w:hideMark/>
          </w:tcPr>
          <w:p w14:paraId="24212659"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Nalo: 6%</w:t>
            </w:r>
          </w:p>
        </w:tc>
        <w:tc>
          <w:tcPr>
            <w:tcW w:w="564" w:type="pct"/>
            <w:tcBorders>
              <w:top w:val="nil"/>
              <w:left w:val="nil"/>
              <w:bottom w:val="nil"/>
              <w:right w:val="single" w:sz="4" w:space="0" w:color="auto"/>
            </w:tcBorders>
            <w:shd w:val="clear" w:color="000000" w:fill="FFFFFF"/>
            <w:noWrap/>
            <w:vAlign w:val="center"/>
            <w:hideMark/>
          </w:tcPr>
          <w:p w14:paraId="26C8F269"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Rete: 61%</w:t>
            </w:r>
          </w:p>
        </w:tc>
        <w:tc>
          <w:tcPr>
            <w:tcW w:w="564" w:type="pct"/>
            <w:tcBorders>
              <w:top w:val="nil"/>
              <w:left w:val="nil"/>
              <w:bottom w:val="nil"/>
              <w:right w:val="single" w:sz="4" w:space="0" w:color="auto"/>
            </w:tcBorders>
            <w:shd w:val="clear" w:color="000000" w:fill="FFFFFF"/>
            <w:noWrap/>
            <w:vAlign w:val="center"/>
            <w:hideMark/>
          </w:tcPr>
          <w:p w14:paraId="06087AF8"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209%</w:t>
            </w:r>
          </w:p>
        </w:tc>
        <w:tc>
          <w:tcPr>
            <w:tcW w:w="916" w:type="pct"/>
            <w:tcBorders>
              <w:top w:val="nil"/>
              <w:left w:val="nil"/>
              <w:bottom w:val="nil"/>
              <w:right w:val="single" w:sz="4" w:space="0" w:color="auto"/>
            </w:tcBorders>
            <w:shd w:val="clear" w:color="000000" w:fill="FFFFFF"/>
            <w:noWrap/>
            <w:vAlign w:val="center"/>
            <w:hideMark/>
          </w:tcPr>
          <w:p w14:paraId="0E6220E3"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110%, Rete: 292%</w:t>
            </w:r>
          </w:p>
        </w:tc>
        <w:tc>
          <w:tcPr>
            <w:tcW w:w="1268" w:type="pct"/>
            <w:tcBorders>
              <w:top w:val="nil"/>
              <w:left w:val="nil"/>
              <w:bottom w:val="nil"/>
              <w:right w:val="single" w:sz="4" w:space="0" w:color="auto"/>
            </w:tcBorders>
            <w:shd w:val="clear" w:color="000000" w:fill="FFFFFF"/>
            <w:noWrap/>
            <w:vAlign w:val="center"/>
            <w:hideMark/>
          </w:tcPr>
          <w:p w14:paraId="65945F0F"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110%, Rete: 292%, Nalo: 6%</w:t>
            </w:r>
          </w:p>
        </w:tc>
      </w:tr>
      <w:tr w:rsidR="00D24603" w:rsidRPr="00622422" w14:paraId="0F703E85" w14:textId="77777777" w:rsidTr="00435936">
        <w:trPr>
          <w:trHeight w:val="20"/>
        </w:trPr>
        <w:tc>
          <w:tcPr>
            <w:tcW w:w="488" w:type="pct"/>
            <w:vMerge/>
            <w:tcBorders>
              <w:top w:val="nil"/>
              <w:left w:val="single" w:sz="4" w:space="0" w:color="auto"/>
              <w:bottom w:val="single" w:sz="4" w:space="0" w:color="000000"/>
              <w:right w:val="single" w:sz="4" w:space="0" w:color="auto"/>
            </w:tcBorders>
            <w:vAlign w:val="center"/>
            <w:hideMark/>
          </w:tcPr>
          <w:p w14:paraId="5A2AD1B5"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6" w:type="pct"/>
            <w:tcBorders>
              <w:top w:val="nil"/>
              <w:left w:val="nil"/>
              <w:bottom w:val="single" w:sz="4" w:space="0" w:color="auto"/>
              <w:right w:val="single" w:sz="4" w:space="0" w:color="auto"/>
            </w:tcBorders>
            <w:shd w:val="clear" w:color="000000" w:fill="FFFFFF"/>
            <w:noWrap/>
            <w:vAlign w:val="center"/>
            <w:hideMark/>
          </w:tcPr>
          <w:p w14:paraId="37BBFE92"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573</w:t>
            </w:r>
          </w:p>
        </w:tc>
        <w:tc>
          <w:tcPr>
            <w:tcW w:w="565" w:type="pct"/>
            <w:tcBorders>
              <w:top w:val="nil"/>
              <w:left w:val="nil"/>
              <w:bottom w:val="single" w:sz="4" w:space="0" w:color="auto"/>
              <w:right w:val="single" w:sz="4" w:space="0" w:color="auto"/>
            </w:tcBorders>
            <w:shd w:val="clear" w:color="000000" w:fill="FFFFFF"/>
            <w:noWrap/>
            <w:vAlign w:val="center"/>
            <w:hideMark/>
          </w:tcPr>
          <w:p w14:paraId="4221FD82"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+0 [0%]</w:t>
            </w:r>
          </w:p>
        </w:tc>
        <w:tc>
          <w:tcPr>
            <w:tcW w:w="564" w:type="pct"/>
            <w:tcBorders>
              <w:top w:val="nil"/>
              <w:left w:val="nil"/>
              <w:bottom w:val="single" w:sz="4" w:space="0" w:color="auto"/>
              <w:right w:val="single" w:sz="4" w:space="0" w:color="auto"/>
            </w:tcBorders>
            <w:shd w:val="clear" w:color="000000" w:fill="FFFFFF"/>
            <w:noWrap/>
            <w:vAlign w:val="center"/>
            <w:hideMark/>
          </w:tcPr>
          <w:p w14:paraId="2D072F3B"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+35 [6%]</w:t>
            </w:r>
          </w:p>
        </w:tc>
        <w:tc>
          <w:tcPr>
            <w:tcW w:w="564" w:type="pct"/>
            <w:tcBorders>
              <w:top w:val="nil"/>
              <w:left w:val="nil"/>
              <w:bottom w:val="single" w:sz="4" w:space="0" w:color="auto"/>
              <w:right w:val="single" w:sz="4" w:space="0" w:color="auto"/>
            </w:tcBorders>
            <w:shd w:val="clear" w:color="000000" w:fill="FFFFFF"/>
            <w:noWrap/>
            <w:vAlign w:val="center"/>
            <w:hideMark/>
          </w:tcPr>
          <w:p w14:paraId="07ABBD75"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+61 [11%]</w:t>
            </w:r>
          </w:p>
        </w:tc>
        <w:tc>
          <w:tcPr>
            <w:tcW w:w="916" w:type="pct"/>
            <w:tcBorders>
              <w:top w:val="nil"/>
              <w:left w:val="nil"/>
              <w:bottom w:val="single" w:sz="4" w:space="0" w:color="auto"/>
              <w:right w:val="single" w:sz="4" w:space="0" w:color="auto"/>
            </w:tcBorders>
            <w:shd w:val="clear" w:color="000000" w:fill="FFFFFF"/>
            <w:noWrap/>
            <w:vAlign w:val="center"/>
            <w:hideMark/>
          </w:tcPr>
          <w:p w14:paraId="628FEEDE"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+120 [21%]</w:t>
            </w:r>
          </w:p>
        </w:tc>
        <w:tc>
          <w:tcPr>
            <w:tcW w:w="1268" w:type="pct"/>
            <w:tcBorders>
              <w:top w:val="nil"/>
              <w:left w:val="nil"/>
              <w:bottom w:val="single" w:sz="4" w:space="0" w:color="auto"/>
              <w:right w:val="single" w:sz="4" w:space="0" w:color="auto"/>
            </w:tcBorders>
            <w:shd w:val="clear" w:color="000000" w:fill="FFFFFF"/>
            <w:noWrap/>
            <w:vAlign w:val="center"/>
            <w:hideMark/>
          </w:tcPr>
          <w:p w14:paraId="46CBB1C9"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+121 [21%]</w:t>
            </w:r>
          </w:p>
        </w:tc>
      </w:tr>
      <w:tr w:rsidR="00D24603" w:rsidRPr="00622422" w14:paraId="7BD0ABCC" w14:textId="77777777" w:rsidTr="00435936">
        <w:trPr>
          <w:trHeight w:val="20"/>
        </w:trPr>
        <w:tc>
          <w:tcPr>
            <w:tcW w:w="4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01B2744"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16</w:t>
            </w:r>
          </w:p>
        </w:tc>
        <w:tc>
          <w:tcPr>
            <w:tcW w:w="636" w:type="pct"/>
            <w:tcBorders>
              <w:top w:val="nil"/>
              <w:left w:val="nil"/>
              <w:bottom w:val="nil"/>
              <w:right w:val="single" w:sz="4" w:space="0" w:color="auto"/>
            </w:tcBorders>
            <w:shd w:val="clear" w:color="000000" w:fill="FFFFFF"/>
            <w:noWrap/>
            <w:vAlign w:val="center"/>
            <w:hideMark/>
          </w:tcPr>
          <w:p w14:paraId="0CBE4954"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w:t>
            </w:r>
          </w:p>
        </w:tc>
        <w:tc>
          <w:tcPr>
            <w:tcW w:w="565" w:type="pct"/>
            <w:tcBorders>
              <w:top w:val="nil"/>
              <w:left w:val="nil"/>
              <w:bottom w:val="nil"/>
              <w:right w:val="single" w:sz="4" w:space="0" w:color="auto"/>
            </w:tcBorders>
            <w:shd w:val="clear" w:color="000000" w:fill="FFFFFF"/>
            <w:noWrap/>
            <w:vAlign w:val="center"/>
            <w:hideMark/>
          </w:tcPr>
          <w:p w14:paraId="7B0FC506"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Nalo: 114%</w:t>
            </w:r>
          </w:p>
        </w:tc>
        <w:tc>
          <w:tcPr>
            <w:tcW w:w="564" w:type="pct"/>
            <w:tcBorders>
              <w:top w:val="nil"/>
              <w:left w:val="nil"/>
              <w:bottom w:val="nil"/>
              <w:right w:val="single" w:sz="4" w:space="0" w:color="auto"/>
            </w:tcBorders>
            <w:shd w:val="clear" w:color="000000" w:fill="FFFFFF"/>
            <w:noWrap/>
            <w:vAlign w:val="center"/>
            <w:hideMark/>
          </w:tcPr>
          <w:p w14:paraId="27066926"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Rete: 41%</w:t>
            </w:r>
          </w:p>
        </w:tc>
        <w:tc>
          <w:tcPr>
            <w:tcW w:w="564" w:type="pct"/>
            <w:tcBorders>
              <w:top w:val="nil"/>
              <w:left w:val="nil"/>
              <w:bottom w:val="nil"/>
              <w:right w:val="single" w:sz="4" w:space="0" w:color="auto"/>
            </w:tcBorders>
            <w:shd w:val="clear" w:color="000000" w:fill="FFFFFF"/>
            <w:noWrap/>
            <w:vAlign w:val="center"/>
            <w:hideMark/>
          </w:tcPr>
          <w:p w14:paraId="3BFC94EC"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76%</w:t>
            </w:r>
          </w:p>
        </w:tc>
        <w:tc>
          <w:tcPr>
            <w:tcW w:w="916" w:type="pct"/>
            <w:tcBorders>
              <w:top w:val="nil"/>
              <w:left w:val="nil"/>
              <w:bottom w:val="nil"/>
              <w:right w:val="single" w:sz="4" w:space="0" w:color="auto"/>
            </w:tcBorders>
            <w:shd w:val="clear" w:color="000000" w:fill="FFFFFF"/>
            <w:noWrap/>
            <w:vAlign w:val="center"/>
            <w:hideMark/>
          </w:tcPr>
          <w:p w14:paraId="63E9EB76"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26%, Rete: 118%</w:t>
            </w:r>
          </w:p>
        </w:tc>
        <w:tc>
          <w:tcPr>
            <w:tcW w:w="1268" w:type="pct"/>
            <w:tcBorders>
              <w:top w:val="nil"/>
              <w:left w:val="nil"/>
              <w:bottom w:val="nil"/>
              <w:right w:val="single" w:sz="4" w:space="0" w:color="auto"/>
            </w:tcBorders>
            <w:shd w:val="clear" w:color="000000" w:fill="FFFFFF"/>
            <w:noWrap/>
            <w:vAlign w:val="center"/>
            <w:hideMark/>
          </w:tcPr>
          <w:p w14:paraId="1FFB03E2"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26%, Rete: 118%, Nalo: 114%</w:t>
            </w:r>
          </w:p>
        </w:tc>
      </w:tr>
      <w:tr w:rsidR="00D24603" w:rsidRPr="00622422" w14:paraId="5131D6BE" w14:textId="77777777" w:rsidTr="00435936">
        <w:trPr>
          <w:trHeight w:val="20"/>
        </w:trPr>
        <w:tc>
          <w:tcPr>
            <w:tcW w:w="488" w:type="pct"/>
            <w:vMerge/>
            <w:tcBorders>
              <w:top w:val="nil"/>
              <w:left w:val="single" w:sz="4" w:space="0" w:color="auto"/>
              <w:bottom w:val="single" w:sz="4" w:space="0" w:color="000000"/>
              <w:right w:val="single" w:sz="4" w:space="0" w:color="auto"/>
            </w:tcBorders>
            <w:vAlign w:val="center"/>
            <w:hideMark/>
          </w:tcPr>
          <w:p w14:paraId="0F5BA1E1"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6" w:type="pct"/>
            <w:tcBorders>
              <w:top w:val="nil"/>
              <w:left w:val="nil"/>
              <w:bottom w:val="single" w:sz="4" w:space="0" w:color="auto"/>
              <w:right w:val="single" w:sz="4" w:space="0" w:color="auto"/>
            </w:tcBorders>
            <w:shd w:val="clear" w:color="000000" w:fill="FFFFFF"/>
            <w:noWrap/>
            <w:vAlign w:val="center"/>
            <w:hideMark/>
          </w:tcPr>
          <w:p w14:paraId="495DF673"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56</w:t>
            </w:r>
          </w:p>
        </w:tc>
        <w:tc>
          <w:tcPr>
            <w:tcW w:w="565" w:type="pct"/>
            <w:tcBorders>
              <w:top w:val="nil"/>
              <w:left w:val="nil"/>
              <w:bottom w:val="single" w:sz="4" w:space="0" w:color="auto"/>
              <w:right w:val="single" w:sz="4" w:space="0" w:color="auto"/>
            </w:tcBorders>
            <w:shd w:val="clear" w:color="000000" w:fill="FFFFFF"/>
            <w:noWrap/>
            <w:vAlign w:val="center"/>
            <w:hideMark/>
          </w:tcPr>
          <w:p w14:paraId="34C47F15"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 [1%]</w:t>
            </w:r>
          </w:p>
        </w:tc>
        <w:tc>
          <w:tcPr>
            <w:tcW w:w="564" w:type="pct"/>
            <w:tcBorders>
              <w:top w:val="nil"/>
              <w:left w:val="nil"/>
              <w:bottom w:val="single" w:sz="4" w:space="0" w:color="auto"/>
              <w:right w:val="single" w:sz="4" w:space="0" w:color="auto"/>
            </w:tcBorders>
            <w:shd w:val="clear" w:color="000000" w:fill="FFFFFF"/>
            <w:noWrap/>
            <w:vAlign w:val="center"/>
            <w:hideMark/>
          </w:tcPr>
          <w:p w14:paraId="714C1248"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+5 [10%]</w:t>
            </w:r>
          </w:p>
        </w:tc>
        <w:tc>
          <w:tcPr>
            <w:tcW w:w="564" w:type="pct"/>
            <w:tcBorders>
              <w:top w:val="nil"/>
              <w:left w:val="nil"/>
              <w:bottom w:val="single" w:sz="4" w:space="0" w:color="auto"/>
              <w:right w:val="single" w:sz="4" w:space="0" w:color="auto"/>
            </w:tcBorders>
            <w:shd w:val="clear" w:color="000000" w:fill="FFFFFF"/>
            <w:noWrap/>
            <w:vAlign w:val="center"/>
            <w:hideMark/>
          </w:tcPr>
          <w:p w14:paraId="0E664334"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+4 [8%]</w:t>
            </w:r>
          </w:p>
        </w:tc>
        <w:tc>
          <w:tcPr>
            <w:tcW w:w="916" w:type="pct"/>
            <w:tcBorders>
              <w:top w:val="nil"/>
              <w:left w:val="nil"/>
              <w:bottom w:val="single" w:sz="4" w:space="0" w:color="auto"/>
              <w:right w:val="single" w:sz="4" w:space="0" w:color="auto"/>
            </w:tcBorders>
            <w:shd w:val="clear" w:color="000000" w:fill="FFFFFF"/>
            <w:noWrap/>
            <w:vAlign w:val="center"/>
            <w:hideMark/>
          </w:tcPr>
          <w:p w14:paraId="042CDCDD"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+11 [20%]</w:t>
            </w:r>
          </w:p>
        </w:tc>
        <w:tc>
          <w:tcPr>
            <w:tcW w:w="1268" w:type="pct"/>
            <w:tcBorders>
              <w:top w:val="nil"/>
              <w:left w:val="nil"/>
              <w:bottom w:val="single" w:sz="4" w:space="0" w:color="auto"/>
              <w:right w:val="single" w:sz="4" w:space="0" w:color="auto"/>
            </w:tcBorders>
            <w:shd w:val="clear" w:color="000000" w:fill="FFFFFF"/>
            <w:noWrap/>
            <w:vAlign w:val="center"/>
            <w:hideMark/>
          </w:tcPr>
          <w:p w14:paraId="4821BBE3"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+12 [21%]</w:t>
            </w:r>
          </w:p>
        </w:tc>
      </w:tr>
      <w:tr w:rsidR="00D24603" w:rsidRPr="00622422" w14:paraId="09C6EA2B" w14:textId="77777777" w:rsidTr="00435936">
        <w:trPr>
          <w:trHeight w:val="20"/>
        </w:trPr>
        <w:tc>
          <w:tcPr>
            <w:tcW w:w="4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0082AB8"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17</w:t>
            </w:r>
          </w:p>
        </w:tc>
        <w:tc>
          <w:tcPr>
            <w:tcW w:w="636" w:type="pct"/>
            <w:tcBorders>
              <w:top w:val="nil"/>
              <w:left w:val="nil"/>
              <w:bottom w:val="nil"/>
              <w:right w:val="single" w:sz="4" w:space="0" w:color="auto"/>
            </w:tcBorders>
            <w:shd w:val="clear" w:color="000000" w:fill="FFFFFF"/>
            <w:noWrap/>
            <w:vAlign w:val="center"/>
            <w:hideMark/>
          </w:tcPr>
          <w:p w14:paraId="545B7357"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w:t>
            </w:r>
          </w:p>
        </w:tc>
        <w:tc>
          <w:tcPr>
            <w:tcW w:w="565" w:type="pct"/>
            <w:tcBorders>
              <w:top w:val="nil"/>
              <w:left w:val="nil"/>
              <w:bottom w:val="nil"/>
              <w:right w:val="single" w:sz="4" w:space="0" w:color="auto"/>
            </w:tcBorders>
            <w:shd w:val="clear" w:color="000000" w:fill="FFFFFF"/>
            <w:noWrap/>
            <w:vAlign w:val="center"/>
            <w:hideMark/>
          </w:tcPr>
          <w:p w14:paraId="5364A7AC"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Nalo: 0%</w:t>
            </w:r>
          </w:p>
        </w:tc>
        <w:tc>
          <w:tcPr>
            <w:tcW w:w="564" w:type="pct"/>
            <w:tcBorders>
              <w:top w:val="nil"/>
              <w:left w:val="nil"/>
              <w:bottom w:val="nil"/>
              <w:right w:val="single" w:sz="4" w:space="0" w:color="auto"/>
            </w:tcBorders>
            <w:shd w:val="clear" w:color="000000" w:fill="FFFFFF"/>
            <w:noWrap/>
            <w:vAlign w:val="center"/>
            <w:hideMark/>
          </w:tcPr>
          <w:p w14:paraId="57815B82"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Rete: 135%</w:t>
            </w:r>
          </w:p>
        </w:tc>
        <w:tc>
          <w:tcPr>
            <w:tcW w:w="564" w:type="pct"/>
            <w:tcBorders>
              <w:top w:val="nil"/>
              <w:left w:val="nil"/>
              <w:bottom w:val="nil"/>
              <w:right w:val="single" w:sz="4" w:space="0" w:color="auto"/>
            </w:tcBorders>
            <w:shd w:val="clear" w:color="000000" w:fill="FFFFFF"/>
            <w:noWrap/>
            <w:vAlign w:val="center"/>
            <w:hideMark/>
          </w:tcPr>
          <w:p w14:paraId="18A064E4"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141%</w:t>
            </w:r>
          </w:p>
        </w:tc>
        <w:tc>
          <w:tcPr>
            <w:tcW w:w="916" w:type="pct"/>
            <w:tcBorders>
              <w:top w:val="nil"/>
              <w:left w:val="nil"/>
              <w:bottom w:val="nil"/>
              <w:right w:val="single" w:sz="4" w:space="0" w:color="auto"/>
            </w:tcBorders>
            <w:shd w:val="clear" w:color="000000" w:fill="FFFFFF"/>
            <w:noWrap/>
            <w:vAlign w:val="center"/>
            <w:hideMark/>
          </w:tcPr>
          <w:p w14:paraId="5C4B506C"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30%, Rete: 315%</w:t>
            </w:r>
          </w:p>
        </w:tc>
        <w:tc>
          <w:tcPr>
            <w:tcW w:w="1268" w:type="pct"/>
            <w:tcBorders>
              <w:top w:val="nil"/>
              <w:left w:val="nil"/>
              <w:bottom w:val="nil"/>
              <w:right w:val="single" w:sz="4" w:space="0" w:color="auto"/>
            </w:tcBorders>
            <w:shd w:val="clear" w:color="000000" w:fill="FFFFFF"/>
            <w:noWrap/>
            <w:vAlign w:val="center"/>
            <w:hideMark/>
          </w:tcPr>
          <w:p w14:paraId="50593805"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30%, Rete: 315%, Nalo: 0%</w:t>
            </w:r>
          </w:p>
        </w:tc>
      </w:tr>
      <w:tr w:rsidR="00D24603" w:rsidRPr="00622422" w14:paraId="472CBB4C" w14:textId="77777777" w:rsidTr="00435936">
        <w:trPr>
          <w:trHeight w:val="20"/>
        </w:trPr>
        <w:tc>
          <w:tcPr>
            <w:tcW w:w="488" w:type="pct"/>
            <w:vMerge/>
            <w:tcBorders>
              <w:top w:val="nil"/>
              <w:left w:val="single" w:sz="4" w:space="0" w:color="auto"/>
              <w:bottom w:val="single" w:sz="4" w:space="0" w:color="000000"/>
              <w:right w:val="single" w:sz="4" w:space="0" w:color="auto"/>
            </w:tcBorders>
            <w:vAlign w:val="center"/>
            <w:hideMark/>
          </w:tcPr>
          <w:p w14:paraId="2F1218A3"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6" w:type="pct"/>
            <w:tcBorders>
              <w:top w:val="nil"/>
              <w:left w:val="nil"/>
              <w:bottom w:val="single" w:sz="4" w:space="0" w:color="auto"/>
              <w:right w:val="single" w:sz="4" w:space="0" w:color="auto"/>
            </w:tcBorders>
            <w:shd w:val="clear" w:color="000000" w:fill="FFFFFF"/>
            <w:noWrap/>
            <w:vAlign w:val="center"/>
            <w:hideMark/>
          </w:tcPr>
          <w:p w14:paraId="6447F4B6"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122</w:t>
            </w:r>
          </w:p>
        </w:tc>
        <w:tc>
          <w:tcPr>
            <w:tcW w:w="565" w:type="pct"/>
            <w:tcBorders>
              <w:top w:val="nil"/>
              <w:left w:val="nil"/>
              <w:bottom w:val="single" w:sz="4" w:space="0" w:color="auto"/>
              <w:right w:val="single" w:sz="4" w:space="0" w:color="auto"/>
            </w:tcBorders>
            <w:shd w:val="clear" w:color="000000" w:fill="FFFFFF"/>
            <w:noWrap/>
            <w:vAlign w:val="center"/>
            <w:hideMark/>
          </w:tcPr>
          <w:p w14:paraId="3783DF9B"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+0 [0%]</w:t>
            </w:r>
          </w:p>
        </w:tc>
        <w:tc>
          <w:tcPr>
            <w:tcW w:w="564" w:type="pct"/>
            <w:tcBorders>
              <w:top w:val="nil"/>
              <w:left w:val="nil"/>
              <w:bottom w:val="single" w:sz="4" w:space="0" w:color="auto"/>
              <w:right w:val="single" w:sz="4" w:space="0" w:color="auto"/>
            </w:tcBorders>
            <w:shd w:val="clear" w:color="000000" w:fill="FFFFFF"/>
            <w:noWrap/>
            <w:vAlign w:val="center"/>
            <w:hideMark/>
          </w:tcPr>
          <w:p w14:paraId="59260FF4"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+17 [14%]</w:t>
            </w:r>
          </w:p>
        </w:tc>
        <w:tc>
          <w:tcPr>
            <w:tcW w:w="564" w:type="pct"/>
            <w:tcBorders>
              <w:top w:val="nil"/>
              <w:left w:val="nil"/>
              <w:bottom w:val="single" w:sz="4" w:space="0" w:color="auto"/>
              <w:right w:val="single" w:sz="4" w:space="0" w:color="auto"/>
            </w:tcBorders>
            <w:shd w:val="clear" w:color="000000" w:fill="FFFFFF"/>
            <w:noWrap/>
            <w:vAlign w:val="center"/>
            <w:hideMark/>
          </w:tcPr>
          <w:p w14:paraId="243EEAE5"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+34 [28%]</w:t>
            </w:r>
          </w:p>
        </w:tc>
        <w:tc>
          <w:tcPr>
            <w:tcW w:w="916" w:type="pct"/>
            <w:tcBorders>
              <w:top w:val="nil"/>
              <w:left w:val="nil"/>
              <w:bottom w:val="single" w:sz="4" w:space="0" w:color="auto"/>
              <w:right w:val="single" w:sz="4" w:space="0" w:color="auto"/>
            </w:tcBorders>
            <w:shd w:val="clear" w:color="000000" w:fill="FFFFFF"/>
            <w:noWrap/>
            <w:vAlign w:val="center"/>
            <w:hideMark/>
          </w:tcPr>
          <w:p w14:paraId="1CC61235"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+48 [39%]</w:t>
            </w:r>
          </w:p>
        </w:tc>
        <w:tc>
          <w:tcPr>
            <w:tcW w:w="1268" w:type="pct"/>
            <w:tcBorders>
              <w:top w:val="nil"/>
              <w:left w:val="nil"/>
              <w:bottom w:val="single" w:sz="4" w:space="0" w:color="auto"/>
              <w:right w:val="single" w:sz="4" w:space="0" w:color="auto"/>
            </w:tcBorders>
            <w:shd w:val="clear" w:color="000000" w:fill="FFFFFF"/>
            <w:noWrap/>
            <w:vAlign w:val="center"/>
            <w:hideMark/>
          </w:tcPr>
          <w:p w14:paraId="75B54BE0"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+48 [39%]</w:t>
            </w:r>
          </w:p>
        </w:tc>
      </w:tr>
      <w:tr w:rsidR="00D24603" w:rsidRPr="00622422" w14:paraId="3B4C6737" w14:textId="77777777" w:rsidTr="00435936">
        <w:trPr>
          <w:trHeight w:val="20"/>
        </w:trPr>
        <w:tc>
          <w:tcPr>
            <w:tcW w:w="4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A1A343E"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18</w:t>
            </w:r>
          </w:p>
        </w:tc>
        <w:tc>
          <w:tcPr>
            <w:tcW w:w="636" w:type="pct"/>
            <w:tcBorders>
              <w:top w:val="nil"/>
              <w:left w:val="nil"/>
              <w:bottom w:val="nil"/>
              <w:right w:val="single" w:sz="4" w:space="0" w:color="auto"/>
            </w:tcBorders>
            <w:shd w:val="clear" w:color="000000" w:fill="FFFFFF"/>
            <w:noWrap/>
            <w:vAlign w:val="center"/>
            <w:hideMark/>
          </w:tcPr>
          <w:p w14:paraId="7A52FBFF"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w:t>
            </w:r>
          </w:p>
        </w:tc>
        <w:tc>
          <w:tcPr>
            <w:tcW w:w="565" w:type="pct"/>
            <w:tcBorders>
              <w:top w:val="nil"/>
              <w:left w:val="nil"/>
              <w:bottom w:val="nil"/>
              <w:right w:val="single" w:sz="4" w:space="0" w:color="auto"/>
            </w:tcBorders>
            <w:shd w:val="clear" w:color="000000" w:fill="FFFFFF"/>
            <w:noWrap/>
            <w:vAlign w:val="center"/>
            <w:hideMark/>
          </w:tcPr>
          <w:p w14:paraId="5C9A5ECB"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Nalo: 60%</w:t>
            </w:r>
          </w:p>
        </w:tc>
        <w:tc>
          <w:tcPr>
            <w:tcW w:w="564" w:type="pct"/>
            <w:tcBorders>
              <w:top w:val="nil"/>
              <w:left w:val="nil"/>
              <w:bottom w:val="nil"/>
              <w:right w:val="single" w:sz="4" w:space="0" w:color="auto"/>
            </w:tcBorders>
            <w:shd w:val="clear" w:color="000000" w:fill="FFFFFF"/>
            <w:noWrap/>
            <w:vAlign w:val="center"/>
            <w:hideMark/>
          </w:tcPr>
          <w:p w14:paraId="29338703"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Rete: 69%</w:t>
            </w:r>
          </w:p>
        </w:tc>
        <w:tc>
          <w:tcPr>
            <w:tcW w:w="564" w:type="pct"/>
            <w:tcBorders>
              <w:top w:val="nil"/>
              <w:left w:val="nil"/>
              <w:bottom w:val="nil"/>
              <w:right w:val="single" w:sz="4" w:space="0" w:color="auto"/>
            </w:tcBorders>
            <w:shd w:val="clear" w:color="000000" w:fill="FFFFFF"/>
            <w:noWrap/>
            <w:vAlign w:val="center"/>
            <w:hideMark/>
          </w:tcPr>
          <w:p w14:paraId="38CF3BD5"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319%</w:t>
            </w:r>
          </w:p>
        </w:tc>
        <w:tc>
          <w:tcPr>
            <w:tcW w:w="916" w:type="pct"/>
            <w:tcBorders>
              <w:top w:val="nil"/>
              <w:left w:val="nil"/>
              <w:bottom w:val="nil"/>
              <w:right w:val="single" w:sz="4" w:space="0" w:color="auto"/>
            </w:tcBorders>
            <w:shd w:val="clear" w:color="000000" w:fill="FFFFFF"/>
            <w:noWrap/>
            <w:vAlign w:val="center"/>
            <w:hideMark/>
          </w:tcPr>
          <w:p w14:paraId="013727A2"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186%, Rete: 440%</w:t>
            </w:r>
          </w:p>
        </w:tc>
        <w:tc>
          <w:tcPr>
            <w:tcW w:w="1268" w:type="pct"/>
            <w:tcBorders>
              <w:top w:val="nil"/>
              <w:left w:val="nil"/>
              <w:bottom w:val="nil"/>
              <w:right w:val="single" w:sz="4" w:space="0" w:color="auto"/>
            </w:tcBorders>
            <w:shd w:val="clear" w:color="000000" w:fill="FFFFFF"/>
            <w:noWrap/>
            <w:vAlign w:val="center"/>
            <w:hideMark/>
          </w:tcPr>
          <w:p w14:paraId="3BF82FBE"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186%, Rete: 440%, Nalo: 60%</w:t>
            </w:r>
          </w:p>
        </w:tc>
      </w:tr>
      <w:tr w:rsidR="00D24603" w:rsidRPr="00622422" w14:paraId="6EC4CE15" w14:textId="77777777" w:rsidTr="00435936">
        <w:trPr>
          <w:trHeight w:val="20"/>
        </w:trPr>
        <w:tc>
          <w:tcPr>
            <w:tcW w:w="488" w:type="pct"/>
            <w:vMerge/>
            <w:tcBorders>
              <w:top w:val="nil"/>
              <w:left w:val="single" w:sz="4" w:space="0" w:color="auto"/>
              <w:bottom w:val="single" w:sz="4" w:space="0" w:color="000000"/>
              <w:right w:val="single" w:sz="4" w:space="0" w:color="auto"/>
            </w:tcBorders>
            <w:vAlign w:val="center"/>
            <w:hideMark/>
          </w:tcPr>
          <w:p w14:paraId="7D206A17"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6" w:type="pct"/>
            <w:tcBorders>
              <w:top w:val="nil"/>
              <w:left w:val="nil"/>
              <w:bottom w:val="single" w:sz="4" w:space="0" w:color="auto"/>
              <w:right w:val="single" w:sz="4" w:space="0" w:color="auto"/>
            </w:tcBorders>
            <w:shd w:val="clear" w:color="000000" w:fill="FFFFFF"/>
            <w:noWrap/>
            <w:vAlign w:val="center"/>
            <w:hideMark/>
          </w:tcPr>
          <w:p w14:paraId="5F92EEA3"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98</w:t>
            </w:r>
          </w:p>
        </w:tc>
        <w:tc>
          <w:tcPr>
            <w:tcW w:w="565" w:type="pct"/>
            <w:tcBorders>
              <w:top w:val="nil"/>
              <w:left w:val="nil"/>
              <w:bottom w:val="single" w:sz="4" w:space="0" w:color="auto"/>
              <w:right w:val="single" w:sz="4" w:space="0" w:color="auto"/>
            </w:tcBorders>
            <w:shd w:val="clear" w:color="000000" w:fill="FFFFFF"/>
            <w:noWrap/>
            <w:vAlign w:val="center"/>
            <w:hideMark/>
          </w:tcPr>
          <w:p w14:paraId="22D9CDD7"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 [1%]</w:t>
            </w:r>
          </w:p>
        </w:tc>
        <w:tc>
          <w:tcPr>
            <w:tcW w:w="564" w:type="pct"/>
            <w:tcBorders>
              <w:top w:val="nil"/>
              <w:left w:val="nil"/>
              <w:bottom w:val="single" w:sz="4" w:space="0" w:color="auto"/>
              <w:right w:val="single" w:sz="4" w:space="0" w:color="auto"/>
            </w:tcBorders>
            <w:shd w:val="clear" w:color="000000" w:fill="FFFFFF"/>
            <w:noWrap/>
            <w:vAlign w:val="center"/>
            <w:hideMark/>
          </w:tcPr>
          <w:p w14:paraId="18BA76CB"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+4 [4%]</w:t>
            </w:r>
          </w:p>
        </w:tc>
        <w:tc>
          <w:tcPr>
            <w:tcW w:w="564" w:type="pct"/>
            <w:tcBorders>
              <w:top w:val="nil"/>
              <w:left w:val="nil"/>
              <w:bottom w:val="single" w:sz="4" w:space="0" w:color="auto"/>
              <w:right w:val="single" w:sz="4" w:space="0" w:color="auto"/>
            </w:tcBorders>
            <w:shd w:val="clear" w:color="000000" w:fill="FFFFFF"/>
            <w:noWrap/>
            <w:vAlign w:val="center"/>
            <w:hideMark/>
          </w:tcPr>
          <w:p w14:paraId="446BFA60"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+6 [6%]</w:t>
            </w:r>
          </w:p>
        </w:tc>
        <w:tc>
          <w:tcPr>
            <w:tcW w:w="916" w:type="pct"/>
            <w:tcBorders>
              <w:top w:val="nil"/>
              <w:left w:val="nil"/>
              <w:bottom w:val="single" w:sz="4" w:space="0" w:color="auto"/>
              <w:right w:val="single" w:sz="4" w:space="0" w:color="auto"/>
            </w:tcBorders>
            <w:shd w:val="clear" w:color="000000" w:fill="FFFFFF"/>
            <w:noWrap/>
            <w:vAlign w:val="center"/>
            <w:hideMark/>
          </w:tcPr>
          <w:p w14:paraId="7D710A4A"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+16 [16%]</w:t>
            </w:r>
          </w:p>
        </w:tc>
        <w:tc>
          <w:tcPr>
            <w:tcW w:w="1268" w:type="pct"/>
            <w:tcBorders>
              <w:top w:val="nil"/>
              <w:left w:val="nil"/>
              <w:bottom w:val="single" w:sz="4" w:space="0" w:color="auto"/>
              <w:right w:val="single" w:sz="4" w:space="0" w:color="auto"/>
            </w:tcBorders>
            <w:shd w:val="clear" w:color="000000" w:fill="FFFFFF"/>
            <w:noWrap/>
            <w:vAlign w:val="center"/>
            <w:hideMark/>
          </w:tcPr>
          <w:p w14:paraId="74A4BBC8"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+16 [17%]</w:t>
            </w:r>
          </w:p>
        </w:tc>
      </w:tr>
      <w:tr w:rsidR="00D24603" w:rsidRPr="00622422" w14:paraId="044DD86A" w14:textId="77777777" w:rsidTr="00435936">
        <w:trPr>
          <w:trHeight w:val="20"/>
        </w:trPr>
        <w:tc>
          <w:tcPr>
            <w:tcW w:w="4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F22E129"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19</w:t>
            </w:r>
          </w:p>
        </w:tc>
        <w:tc>
          <w:tcPr>
            <w:tcW w:w="636" w:type="pct"/>
            <w:tcBorders>
              <w:top w:val="nil"/>
              <w:left w:val="nil"/>
              <w:bottom w:val="nil"/>
              <w:right w:val="single" w:sz="4" w:space="0" w:color="auto"/>
            </w:tcBorders>
            <w:shd w:val="clear" w:color="000000" w:fill="FFFFFF"/>
            <w:noWrap/>
            <w:vAlign w:val="center"/>
            <w:hideMark/>
          </w:tcPr>
          <w:p w14:paraId="48249A2A"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w:t>
            </w:r>
          </w:p>
        </w:tc>
        <w:tc>
          <w:tcPr>
            <w:tcW w:w="565" w:type="pct"/>
            <w:tcBorders>
              <w:top w:val="nil"/>
              <w:left w:val="nil"/>
              <w:bottom w:val="nil"/>
              <w:right w:val="single" w:sz="4" w:space="0" w:color="auto"/>
            </w:tcBorders>
            <w:shd w:val="clear" w:color="000000" w:fill="FFFFFF"/>
            <w:noWrap/>
            <w:vAlign w:val="center"/>
            <w:hideMark/>
          </w:tcPr>
          <w:p w14:paraId="3F3B26E8"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Nalo: 38%</w:t>
            </w:r>
          </w:p>
        </w:tc>
        <w:tc>
          <w:tcPr>
            <w:tcW w:w="564" w:type="pct"/>
            <w:tcBorders>
              <w:top w:val="nil"/>
              <w:left w:val="nil"/>
              <w:bottom w:val="nil"/>
              <w:right w:val="single" w:sz="4" w:space="0" w:color="auto"/>
            </w:tcBorders>
            <w:shd w:val="clear" w:color="000000" w:fill="FFFFFF"/>
            <w:noWrap/>
            <w:vAlign w:val="center"/>
            <w:hideMark/>
          </w:tcPr>
          <w:p w14:paraId="5B507077"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Rete: 68%</w:t>
            </w:r>
          </w:p>
        </w:tc>
        <w:tc>
          <w:tcPr>
            <w:tcW w:w="564" w:type="pct"/>
            <w:tcBorders>
              <w:top w:val="nil"/>
              <w:left w:val="nil"/>
              <w:bottom w:val="nil"/>
              <w:right w:val="single" w:sz="4" w:space="0" w:color="auto"/>
            </w:tcBorders>
            <w:shd w:val="clear" w:color="000000" w:fill="FFFFFF"/>
            <w:noWrap/>
            <w:vAlign w:val="center"/>
            <w:hideMark/>
          </w:tcPr>
          <w:p w14:paraId="37F76B6F"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283%</w:t>
            </w:r>
          </w:p>
        </w:tc>
        <w:tc>
          <w:tcPr>
            <w:tcW w:w="916" w:type="pct"/>
            <w:tcBorders>
              <w:top w:val="nil"/>
              <w:left w:val="nil"/>
              <w:bottom w:val="nil"/>
              <w:right w:val="single" w:sz="4" w:space="0" w:color="auto"/>
            </w:tcBorders>
            <w:shd w:val="clear" w:color="000000" w:fill="FFFFFF"/>
            <w:noWrap/>
            <w:vAlign w:val="center"/>
            <w:hideMark/>
          </w:tcPr>
          <w:p w14:paraId="29E151E0"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143%, Rete: 372%</w:t>
            </w:r>
          </w:p>
        </w:tc>
        <w:tc>
          <w:tcPr>
            <w:tcW w:w="1268" w:type="pct"/>
            <w:tcBorders>
              <w:top w:val="nil"/>
              <w:left w:val="nil"/>
              <w:bottom w:val="nil"/>
              <w:right w:val="single" w:sz="4" w:space="0" w:color="auto"/>
            </w:tcBorders>
            <w:shd w:val="clear" w:color="000000" w:fill="FFFFFF"/>
            <w:noWrap/>
            <w:vAlign w:val="center"/>
            <w:hideMark/>
          </w:tcPr>
          <w:p w14:paraId="440EBBF7"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142%, Rete: 372%, Nalo: 38%</w:t>
            </w:r>
          </w:p>
        </w:tc>
      </w:tr>
      <w:tr w:rsidR="00D24603" w:rsidRPr="00622422" w14:paraId="1DAB704E" w14:textId="77777777" w:rsidTr="00435936">
        <w:trPr>
          <w:trHeight w:val="20"/>
        </w:trPr>
        <w:tc>
          <w:tcPr>
            <w:tcW w:w="488" w:type="pct"/>
            <w:vMerge/>
            <w:tcBorders>
              <w:top w:val="nil"/>
              <w:left w:val="single" w:sz="4" w:space="0" w:color="auto"/>
              <w:bottom w:val="single" w:sz="4" w:space="0" w:color="000000"/>
              <w:right w:val="single" w:sz="4" w:space="0" w:color="auto"/>
            </w:tcBorders>
            <w:vAlign w:val="center"/>
            <w:hideMark/>
          </w:tcPr>
          <w:p w14:paraId="3973FA47"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6" w:type="pct"/>
            <w:tcBorders>
              <w:top w:val="nil"/>
              <w:left w:val="nil"/>
              <w:bottom w:val="single" w:sz="4" w:space="0" w:color="auto"/>
              <w:right w:val="single" w:sz="4" w:space="0" w:color="auto"/>
            </w:tcBorders>
            <w:shd w:val="clear" w:color="000000" w:fill="FFFFFF"/>
            <w:noWrap/>
            <w:vAlign w:val="center"/>
            <w:hideMark/>
          </w:tcPr>
          <w:p w14:paraId="3155503C"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924</w:t>
            </w:r>
          </w:p>
        </w:tc>
        <w:tc>
          <w:tcPr>
            <w:tcW w:w="565" w:type="pct"/>
            <w:tcBorders>
              <w:top w:val="nil"/>
              <w:left w:val="nil"/>
              <w:bottom w:val="single" w:sz="4" w:space="0" w:color="auto"/>
              <w:right w:val="single" w:sz="4" w:space="0" w:color="auto"/>
            </w:tcBorders>
            <w:shd w:val="clear" w:color="000000" w:fill="FFFFFF"/>
            <w:noWrap/>
            <w:vAlign w:val="center"/>
            <w:hideMark/>
          </w:tcPr>
          <w:p w14:paraId="30F3CA7D"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+4 [0%]</w:t>
            </w:r>
          </w:p>
        </w:tc>
        <w:tc>
          <w:tcPr>
            <w:tcW w:w="564" w:type="pct"/>
            <w:tcBorders>
              <w:top w:val="nil"/>
              <w:left w:val="nil"/>
              <w:bottom w:val="single" w:sz="4" w:space="0" w:color="auto"/>
              <w:right w:val="single" w:sz="4" w:space="0" w:color="auto"/>
            </w:tcBorders>
            <w:shd w:val="clear" w:color="000000" w:fill="FFFFFF"/>
            <w:noWrap/>
            <w:vAlign w:val="center"/>
            <w:hideMark/>
          </w:tcPr>
          <w:p w14:paraId="13ABFC33"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+91 [10%]</w:t>
            </w:r>
          </w:p>
        </w:tc>
        <w:tc>
          <w:tcPr>
            <w:tcW w:w="564" w:type="pct"/>
            <w:tcBorders>
              <w:top w:val="nil"/>
              <w:left w:val="nil"/>
              <w:bottom w:val="single" w:sz="4" w:space="0" w:color="auto"/>
              <w:right w:val="single" w:sz="4" w:space="0" w:color="auto"/>
            </w:tcBorders>
            <w:shd w:val="clear" w:color="000000" w:fill="FFFFFF"/>
            <w:noWrap/>
            <w:vAlign w:val="center"/>
            <w:hideMark/>
          </w:tcPr>
          <w:p w14:paraId="47F6DB63"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+139 [15%]</w:t>
            </w:r>
          </w:p>
        </w:tc>
        <w:tc>
          <w:tcPr>
            <w:tcW w:w="916" w:type="pct"/>
            <w:tcBorders>
              <w:top w:val="nil"/>
              <w:left w:val="nil"/>
              <w:bottom w:val="single" w:sz="4" w:space="0" w:color="auto"/>
              <w:right w:val="single" w:sz="4" w:space="0" w:color="auto"/>
            </w:tcBorders>
            <w:shd w:val="clear" w:color="000000" w:fill="FFFFFF"/>
            <w:noWrap/>
            <w:vAlign w:val="center"/>
            <w:hideMark/>
          </w:tcPr>
          <w:p w14:paraId="644B3AE8"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+334 [36%]</w:t>
            </w:r>
          </w:p>
        </w:tc>
        <w:tc>
          <w:tcPr>
            <w:tcW w:w="1268" w:type="pct"/>
            <w:tcBorders>
              <w:top w:val="nil"/>
              <w:left w:val="nil"/>
              <w:bottom w:val="single" w:sz="4" w:space="0" w:color="auto"/>
              <w:right w:val="single" w:sz="4" w:space="0" w:color="auto"/>
            </w:tcBorders>
            <w:shd w:val="clear" w:color="000000" w:fill="FFFFFF"/>
            <w:noWrap/>
            <w:vAlign w:val="center"/>
            <w:hideMark/>
          </w:tcPr>
          <w:p w14:paraId="351FBD3C"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+339 [37%]</w:t>
            </w:r>
          </w:p>
        </w:tc>
      </w:tr>
      <w:tr w:rsidR="00D24603" w:rsidRPr="00622422" w14:paraId="7B3E89CF" w14:textId="77777777" w:rsidTr="00435936">
        <w:trPr>
          <w:trHeight w:val="20"/>
        </w:trPr>
        <w:tc>
          <w:tcPr>
            <w:tcW w:w="4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5001B14"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20</w:t>
            </w:r>
          </w:p>
        </w:tc>
        <w:tc>
          <w:tcPr>
            <w:tcW w:w="636" w:type="pct"/>
            <w:tcBorders>
              <w:top w:val="nil"/>
              <w:left w:val="nil"/>
              <w:bottom w:val="nil"/>
              <w:right w:val="single" w:sz="4" w:space="0" w:color="auto"/>
            </w:tcBorders>
            <w:shd w:val="clear" w:color="000000" w:fill="FFFFFF"/>
            <w:noWrap/>
            <w:vAlign w:val="center"/>
            <w:hideMark/>
          </w:tcPr>
          <w:p w14:paraId="001BB7B2"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w:t>
            </w:r>
          </w:p>
        </w:tc>
        <w:tc>
          <w:tcPr>
            <w:tcW w:w="565" w:type="pct"/>
            <w:tcBorders>
              <w:top w:val="nil"/>
              <w:left w:val="nil"/>
              <w:bottom w:val="nil"/>
              <w:right w:val="single" w:sz="4" w:space="0" w:color="auto"/>
            </w:tcBorders>
            <w:shd w:val="clear" w:color="000000" w:fill="FFFFFF"/>
            <w:noWrap/>
            <w:vAlign w:val="center"/>
            <w:hideMark/>
          </w:tcPr>
          <w:p w14:paraId="4262CA95"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Nalo: 162%</w:t>
            </w:r>
          </w:p>
        </w:tc>
        <w:tc>
          <w:tcPr>
            <w:tcW w:w="564" w:type="pct"/>
            <w:tcBorders>
              <w:top w:val="nil"/>
              <w:left w:val="nil"/>
              <w:bottom w:val="nil"/>
              <w:right w:val="single" w:sz="4" w:space="0" w:color="auto"/>
            </w:tcBorders>
            <w:shd w:val="clear" w:color="000000" w:fill="FFFFFF"/>
            <w:noWrap/>
            <w:vAlign w:val="center"/>
            <w:hideMark/>
          </w:tcPr>
          <w:p w14:paraId="63028255"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Rete: 122%</w:t>
            </w:r>
          </w:p>
        </w:tc>
        <w:tc>
          <w:tcPr>
            <w:tcW w:w="564" w:type="pct"/>
            <w:tcBorders>
              <w:top w:val="nil"/>
              <w:left w:val="nil"/>
              <w:bottom w:val="nil"/>
              <w:right w:val="single" w:sz="4" w:space="0" w:color="auto"/>
            </w:tcBorders>
            <w:shd w:val="clear" w:color="000000" w:fill="FFFFFF"/>
            <w:noWrap/>
            <w:vAlign w:val="center"/>
            <w:hideMark/>
          </w:tcPr>
          <w:p w14:paraId="724ED4B0"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194%</w:t>
            </w:r>
          </w:p>
        </w:tc>
        <w:tc>
          <w:tcPr>
            <w:tcW w:w="916" w:type="pct"/>
            <w:tcBorders>
              <w:top w:val="nil"/>
              <w:left w:val="nil"/>
              <w:bottom w:val="nil"/>
              <w:right w:val="single" w:sz="4" w:space="0" w:color="auto"/>
            </w:tcBorders>
            <w:shd w:val="clear" w:color="000000" w:fill="FFFFFF"/>
            <w:noWrap/>
            <w:vAlign w:val="center"/>
            <w:hideMark/>
          </w:tcPr>
          <w:p w14:paraId="55424DA9"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50%, Rete: 344%</w:t>
            </w:r>
          </w:p>
        </w:tc>
        <w:tc>
          <w:tcPr>
            <w:tcW w:w="1268" w:type="pct"/>
            <w:tcBorders>
              <w:top w:val="nil"/>
              <w:left w:val="nil"/>
              <w:bottom w:val="nil"/>
              <w:right w:val="single" w:sz="4" w:space="0" w:color="auto"/>
            </w:tcBorders>
            <w:shd w:val="clear" w:color="000000" w:fill="FFFFFF"/>
            <w:noWrap/>
            <w:vAlign w:val="center"/>
            <w:hideMark/>
          </w:tcPr>
          <w:p w14:paraId="6BAA319F"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50%, Rete: 344%, Nalo: 162%</w:t>
            </w:r>
          </w:p>
        </w:tc>
      </w:tr>
      <w:tr w:rsidR="00D24603" w:rsidRPr="00622422" w14:paraId="5030223C" w14:textId="77777777" w:rsidTr="00435936">
        <w:trPr>
          <w:trHeight w:val="20"/>
        </w:trPr>
        <w:tc>
          <w:tcPr>
            <w:tcW w:w="488" w:type="pct"/>
            <w:vMerge/>
            <w:tcBorders>
              <w:top w:val="nil"/>
              <w:left w:val="single" w:sz="4" w:space="0" w:color="auto"/>
              <w:bottom w:val="single" w:sz="4" w:space="0" w:color="000000"/>
              <w:right w:val="single" w:sz="4" w:space="0" w:color="auto"/>
            </w:tcBorders>
            <w:vAlign w:val="center"/>
            <w:hideMark/>
          </w:tcPr>
          <w:p w14:paraId="2939BD84"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6" w:type="pct"/>
            <w:tcBorders>
              <w:top w:val="nil"/>
              <w:left w:val="nil"/>
              <w:bottom w:val="single" w:sz="4" w:space="0" w:color="auto"/>
              <w:right w:val="single" w:sz="4" w:space="0" w:color="auto"/>
            </w:tcBorders>
            <w:shd w:val="clear" w:color="000000" w:fill="FFFFFF"/>
            <w:noWrap/>
            <w:vAlign w:val="center"/>
            <w:hideMark/>
          </w:tcPr>
          <w:p w14:paraId="27283969"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140</w:t>
            </w:r>
          </w:p>
        </w:tc>
        <w:tc>
          <w:tcPr>
            <w:tcW w:w="565" w:type="pct"/>
            <w:tcBorders>
              <w:top w:val="nil"/>
              <w:left w:val="nil"/>
              <w:bottom w:val="single" w:sz="4" w:space="0" w:color="auto"/>
              <w:right w:val="single" w:sz="4" w:space="0" w:color="auto"/>
            </w:tcBorders>
            <w:shd w:val="clear" w:color="000000" w:fill="FFFFFF"/>
            <w:noWrap/>
            <w:vAlign w:val="center"/>
            <w:hideMark/>
          </w:tcPr>
          <w:p w14:paraId="4D2F3D6C"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+2 [1%]</w:t>
            </w:r>
          </w:p>
        </w:tc>
        <w:tc>
          <w:tcPr>
            <w:tcW w:w="564" w:type="pct"/>
            <w:tcBorders>
              <w:top w:val="nil"/>
              <w:left w:val="nil"/>
              <w:bottom w:val="single" w:sz="4" w:space="0" w:color="auto"/>
              <w:right w:val="single" w:sz="4" w:space="0" w:color="auto"/>
            </w:tcBorders>
            <w:shd w:val="clear" w:color="000000" w:fill="FFFFFF"/>
            <w:noWrap/>
            <w:vAlign w:val="center"/>
            <w:hideMark/>
          </w:tcPr>
          <w:p w14:paraId="28542EA1"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+30 [22%]</w:t>
            </w:r>
          </w:p>
        </w:tc>
        <w:tc>
          <w:tcPr>
            <w:tcW w:w="564" w:type="pct"/>
            <w:tcBorders>
              <w:top w:val="nil"/>
              <w:left w:val="nil"/>
              <w:bottom w:val="single" w:sz="4" w:space="0" w:color="auto"/>
              <w:right w:val="single" w:sz="4" w:space="0" w:color="auto"/>
            </w:tcBorders>
            <w:shd w:val="clear" w:color="000000" w:fill="FFFFFF"/>
            <w:noWrap/>
            <w:vAlign w:val="center"/>
            <w:hideMark/>
          </w:tcPr>
          <w:p w14:paraId="408D9A86"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+39 [28%]</w:t>
            </w:r>
          </w:p>
        </w:tc>
        <w:tc>
          <w:tcPr>
            <w:tcW w:w="916" w:type="pct"/>
            <w:tcBorders>
              <w:top w:val="nil"/>
              <w:left w:val="nil"/>
              <w:bottom w:val="single" w:sz="4" w:space="0" w:color="auto"/>
              <w:right w:val="single" w:sz="4" w:space="0" w:color="auto"/>
            </w:tcBorders>
            <w:shd w:val="clear" w:color="000000" w:fill="FFFFFF"/>
            <w:noWrap/>
            <w:vAlign w:val="center"/>
            <w:hideMark/>
          </w:tcPr>
          <w:p w14:paraId="136DDDD3"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+80 [57%]</w:t>
            </w:r>
          </w:p>
        </w:tc>
        <w:tc>
          <w:tcPr>
            <w:tcW w:w="1268" w:type="pct"/>
            <w:tcBorders>
              <w:top w:val="nil"/>
              <w:left w:val="nil"/>
              <w:bottom w:val="single" w:sz="4" w:space="0" w:color="auto"/>
              <w:right w:val="single" w:sz="4" w:space="0" w:color="auto"/>
            </w:tcBorders>
            <w:shd w:val="clear" w:color="000000" w:fill="FFFFFF"/>
            <w:noWrap/>
            <w:vAlign w:val="center"/>
            <w:hideMark/>
          </w:tcPr>
          <w:p w14:paraId="78E3A4A4"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+82 [59%]</w:t>
            </w:r>
          </w:p>
        </w:tc>
      </w:tr>
      <w:tr w:rsidR="00D24603" w:rsidRPr="00622422" w14:paraId="4AA1C917" w14:textId="77777777" w:rsidTr="00435936">
        <w:trPr>
          <w:trHeight w:val="20"/>
        </w:trPr>
        <w:tc>
          <w:tcPr>
            <w:tcW w:w="4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19E3EF9"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21</w:t>
            </w:r>
          </w:p>
        </w:tc>
        <w:tc>
          <w:tcPr>
            <w:tcW w:w="636" w:type="pct"/>
            <w:tcBorders>
              <w:top w:val="nil"/>
              <w:left w:val="nil"/>
              <w:bottom w:val="nil"/>
              <w:right w:val="single" w:sz="4" w:space="0" w:color="auto"/>
            </w:tcBorders>
            <w:shd w:val="clear" w:color="000000" w:fill="FFFFFF"/>
            <w:noWrap/>
            <w:vAlign w:val="center"/>
            <w:hideMark/>
          </w:tcPr>
          <w:p w14:paraId="0EE2B4DF"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w:t>
            </w:r>
          </w:p>
        </w:tc>
        <w:tc>
          <w:tcPr>
            <w:tcW w:w="565" w:type="pct"/>
            <w:tcBorders>
              <w:top w:val="nil"/>
              <w:left w:val="nil"/>
              <w:bottom w:val="nil"/>
              <w:right w:val="single" w:sz="4" w:space="0" w:color="auto"/>
            </w:tcBorders>
            <w:shd w:val="clear" w:color="000000" w:fill="FFFFFF"/>
            <w:noWrap/>
            <w:vAlign w:val="center"/>
            <w:hideMark/>
          </w:tcPr>
          <w:p w14:paraId="2A417D65"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Nalo: 0%</w:t>
            </w:r>
          </w:p>
        </w:tc>
        <w:tc>
          <w:tcPr>
            <w:tcW w:w="564" w:type="pct"/>
            <w:tcBorders>
              <w:top w:val="nil"/>
              <w:left w:val="nil"/>
              <w:bottom w:val="nil"/>
              <w:right w:val="single" w:sz="4" w:space="0" w:color="auto"/>
            </w:tcBorders>
            <w:shd w:val="clear" w:color="000000" w:fill="FFFFFF"/>
            <w:noWrap/>
            <w:vAlign w:val="center"/>
            <w:hideMark/>
          </w:tcPr>
          <w:p w14:paraId="2D744FE1"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Rete: 84%</w:t>
            </w:r>
          </w:p>
        </w:tc>
        <w:tc>
          <w:tcPr>
            <w:tcW w:w="564" w:type="pct"/>
            <w:tcBorders>
              <w:top w:val="nil"/>
              <w:left w:val="nil"/>
              <w:bottom w:val="nil"/>
              <w:right w:val="single" w:sz="4" w:space="0" w:color="auto"/>
            </w:tcBorders>
            <w:shd w:val="clear" w:color="000000" w:fill="FFFFFF"/>
            <w:noWrap/>
            <w:vAlign w:val="center"/>
            <w:hideMark/>
          </w:tcPr>
          <w:p w14:paraId="62292974"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377%</w:t>
            </w:r>
          </w:p>
        </w:tc>
        <w:tc>
          <w:tcPr>
            <w:tcW w:w="916" w:type="pct"/>
            <w:tcBorders>
              <w:top w:val="nil"/>
              <w:left w:val="nil"/>
              <w:bottom w:val="nil"/>
              <w:right w:val="single" w:sz="4" w:space="0" w:color="auto"/>
            </w:tcBorders>
            <w:shd w:val="clear" w:color="000000" w:fill="FFFFFF"/>
            <w:noWrap/>
            <w:vAlign w:val="center"/>
            <w:hideMark/>
          </w:tcPr>
          <w:p w14:paraId="60282240"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216%, Rete: 546%</w:t>
            </w:r>
          </w:p>
        </w:tc>
        <w:tc>
          <w:tcPr>
            <w:tcW w:w="1268" w:type="pct"/>
            <w:tcBorders>
              <w:top w:val="nil"/>
              <w:left w:val="nil"/>
              <w:bottom w:val="nil"/>
              <w:right w:val="single" w:sz="4" w:space="0" w:color="auto"/>
            </w:tcBorders>
            <w:shd w:val="clear" w:color="000000" w:fill="FFFFFF"/>
            <w:noWrap/>
            <w:vAlign w:val="center"/>
            <w:hideMark/>
          </w:tcPr>
          <w:p w14:paraId="7EB6ECA7"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216%, Rete: 546%, Nalo: 0%</w:t>
            </w:r>
          </w:p>
        </w:tc>
      </w:tr>
      <w:tr w:rsidR="00D24603" w:rsidRPr="00622422" w14:paraId="16F755BD" w14:textId="77777777" w:rsidTr="00435936">
        <w:trPr>
          <w:trHeight w:val="20"/>
        </w:trPr>
        <w:tc>
          <w:tcPr>
            <w:tcW w:w="488" w:type="pct"/>
            <w:vMerge/>
            <w:tcBorders>
              <w:top w:val="nil"/>
              <w:left w:val="single" w:sz="4" w:space="0" w:color="auto"/>
              <w:bottom w:val="single" w:sz="4" w:space="0" w:color="000000"/>
              <w:right w:val="single" w:sz="4" w:space="0" w:color="auto"/>
            </w:tcBorders>
            <w:vAlign w:val="center"/>
            <w:hideMark/>
          </w:tcPr>
          <w:p w14:paraId="3BAC4C1A"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6" w:type="pct"/>
            <w:tcBorders>
              <w:top w:val="nil"/>
              <w:left w:val="nil"/>
              <w:bottom w:val="single" w:sz="4" w:space="0" w:color="auto"/>
              <w:right w:val="single" w:sz="4" w:space="0" w:color="auto"/>
            </w:tcBorders>
            <w:shd w:val="clear" w:color="000000" w:fill="FFFFFF"/>
            <w:noWrap/>
            <w:vAlign w:val="center"/>
            <w:hideMark/>
          </w:tcPr>
          <w:p w14:paraId="5BF045A1"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155</w:t>
            </w:r>
          </w:p>
        </w:tc>
        <w:tc>
          <w:tcPr>
            <w:tcW w:w="565" w:type="pct"/>
            <w:tcBorders>
              <w:top w:val="nil"/>
              <w:left w:val="nil"/>
              <w:bottom w:val="single" w:sz="4" w:space="0" w:color="auto"/>
              <w:right w:val="single" w:sz="4" w:space="0" w:color="auto"/>
            </w:tcBorders>
            <w:shd w:val="clear" w:color="000000" w:fill="FFFFFF"/>
            <w:noWrap/>
            <w:vAlign w:val="center"/>
            <w:hideMark/>
          </w:tcPr>
          <w:p w14:paraId="2BAC1691"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+0 [0%]</w:t>
            </w:r>
          </w:p>
        </w:tc>
        <w:tc>
          <w:tcPr>
            <w:tcW w:w="564" w:type="pct"/>
            <w:tcBorders>
              <w:top w:val="nil"/>
              <w:left w:val="nil"/>
              <w:bottom w:val="single" w:sz="4" w:space="0" w:color="auto"/>
              <w:right w:val="single" w:sz="4" w:space="0" w:color="auto"/>
            </w:tcBorders>
            <w:shd w:val="clear" w:color="000000" w:fill="FFFFFF"/>
            <w:noWrap/>
            <w:vAlign w:val="center"/>
            <w:hideMark/>
          </w:tcPr>
          <w:p w14:paraId="03EA93CB"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+8 [5%]</w:t>
            </w:r>
          </w:p>
        </w:tc>
        <w:tc>
          <w:tcPr>
            <w:tcW w:w="564" w:type="pct"/>
            <w:tcBorders>
              <w:top w:val="nil"/>
              <w:left w:val="nil"/>
              <w:bottom w:val="single" w:sz="4" w:space="0" w:color="auto"/>
              <w:right w:val="single" w:sz="4" w:space="0" w:color="auto"/>
            </w:tcBorders>
            <w:shd w:val="clear" w:color="000000" w:fill="FFFFFF"/>
            <w:noWrap/>
            <w:vAlign w:val="center"/>
            <w:hideMark/>
          </w:tcPr>
          <w:p w14:paraId="5934816D"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+17 [11%]</w:t>
            </w:r>
          </w:p>
        </w:tc>
        <w:tc>
          <w:tcPr>
            <w:tcW w:w="916" w:type="pct"/>
            <w:tcBorders>
              <w:top w:val="nil"/>
              <w:left w:val="nil"/>
              <w:bottom w:val="single" w:sz="4" w:space="0" w:color="auto"/>
              <w:right w:val="single" w:sz="4" w:space="0" w:color="auto"/>
            </w:tcBorders>
            <w:shd w:val="clear" w:color="000000" w:fill="FFFFFF"/>
            <w:noWrap/>
            <w:vAlign w:val="center"/>
            <w:hideMark/>
          </w:tcPr>
          <w:p w14:paraId="4E5612A8"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+40 [26%]</w:t>
            </w:r>
          </w:p>
        </w:tc>
        <w:tc>
          <w:tcPr>
            <w:tcW w:w="1268" w:type="pct"/>
            <w:tcBorders>
              <w:top w:val="nil"/>
              <w:left w:val="nil"/>
              <w:bottom w:val="single" w:sz="4" w:space="0" w:color="auto"/>
              <w:right w:val="single" w:sz="4" w:space="0" w:color="auto"/>
            </w:tcBorders>
            <w:shd w:val="clear" w:color="000000" w:fill="FFFFFF"/>
            <w:noWrap/>
            <w:vAlign w:val="center"/>
            <w:hideMark/>
          </w:tcPr>
          <w:p w14:paraId="57168BA0"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+40 [26%]</w:t>
            </w:r>
          </w:p>
        </w:tc>
      </w:tr>
      <w:tr w:rsidR="00D24603" w:rsidRPr="00622422" w14:paraId="53E29048" w14:textId="77777777" w:rsidTr="00435936">
        <w:trPr>
          <w:trHeight w:val="20"/>
        </w:trPr>
        <w:tc>
          <w:tcPr>
            <w:tcW w:w="4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9A0FA9E"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22</w:t>
            </w:r>
          </w:p>
        </w:tc>
        <w:tc>
          <w:tcPr>
            <w:tcW w:w="636" w:type="pct"/>
            <w:tcBorders>
              <w:top w:val="nil"/>
              <w:left w:val="nil"/>
              <w:bottom w:val="nil"/>
              <w:right w:val="single" w:sz="4" w:space="0" w:color="auto"/>
            </w:tcBorders>
            <w:shd w:val="clear" w:color="000000" w:fill="FFFFFF"/>
            <w:noWrap/>
            <w:vAlign w:val="center"/>
            <w:hideMark/>
          </w:tcPr>
          <w:p w14:paraId="1FBB59C4"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w:t>
            </w:r>
          </w:p>
        </w:tc>
        <w:tc>
          <w:tcPr>
            <w:tcW w:w="565" w:type="pct"/>
            <w:tcBorders>
              <w:top w:val="nil"/>
              <w:left w:val="nil"/>
              <w:bottom w:val="nil"/>
              <w:right w:val="single" w:sz="4" w:space="0" w:color="auto"/>
            </w:tcBorders>
            <w:shd w:val="clear" w:color="000000" w:fill="FFFFFF"/>
            <w:noWrap/>
            <w:vAlign w:val="center"/>
            <w:hideMark/>
          </w:tcPr>
          <w:p w14:paraId="716F69ED"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Nalo: 0%</w:t>
            </w:r>
          </w:p>
        </w:tc>
        <w:tc>
          <w:tcPr>
            <w:tcW w:w="564" w:type="pct"/>
            <w:tcBorders>
              <w:top w:val="nil"/>
              <w:left w:val="nil"/>
              <w:bottom w:val="nil"/>
              <w:right w:val="single" w:sz="4" w:space="0" w:color="auto"/>
            </w:tcBorders>
            <w:shd w:val="clear" w:color="000000" w:fill="FFFFFF"/>
            <w:noWrap/>
            <w:vAlign w:val="center"/>
            <w:hideMark/>
          </w:tcPr>
          <w:p w14:paraId="5A3F8C00"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Rete: 170%</w:t>
            </w:r>
          </w:p>
        </w:tc>
        <w:tc>
          <w:tcPr>
            <w:tcW w:w="564" w:type="pct"/>
            <w:tcBorders>
              <w:top w:val="nil"/>
              <w:left w:val="nil"/>
              <w:bottom w:val="nil"/>
              <w:right w:val="single" w:sz="4" w:space="0" w:color="auto"/>
            </w:tcBorders>
            <w:shd w:val="clear" w:color="000000" w:fill="FFFFFF"/>
            <w:noWrap/>
            <w:vAlign w:val="center"/>
            <w:hideMark/>
          </w:tcPr>
          <w:p w14:paraId="52EAD336"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226%</w:t>
            </w:r>
          </w:p>
        </w:tc>
        <w:tc>
          <w:tcPr>
            <w:tcW w:w="916" w:type="pct"/>
            <w:tcBorders>
              <w:top w:val="nil"/>
              <w:left w:val="nil"/>
              <w:bottom w:val="nil"/>
              <w:right w:val="single" w:sz="4" w:space="0" w:color="auto"/>
            </w:tcBorders>
            <w:shd w:val="clear" w:color="000000" w:fill="FFFFFF"/>
            <w:noWrap/>
            <w:vAlign w:val="center"/>
            <w:hideMark/>
          </w:tcPr>
          <w:p w14:paraId="15B59816"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63%, Rete: 478%</w:t>
            </w:r>
          </w:p>
        </w:tc>
        <w:tc>
          <w:tcPr>
            <w:tcW w:w="1268" w:type="pct"/>
            <w:tcBorders>
              <w:top w:val="nil"/>
              <w:left w:val="nil"/>
              <w:bottom w:val="nil"/>
              <w:right w:val="single" w:sz="4" w:space="0" w:color="auto"/>
            </w:tcBorders>
            <w:shd w:val="clear" w:color="000000" w:fill="FFFFFF"/>
            <w:noWrap/>
            <w:vAlign w:val="center"/>
            <w:hideMark/>
          </w:tcPr>
          <w:p w14:paraId="729832D2"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63%, Rete: 478%, Nalo: 0%</w:t>
            </w:r>
          </w:p>
        </w:tc>
      </w:tr>
      <w:tr w:rsidR="00D24603" w:rsidRPr="00622422" w14:paraId="084D24DF" w14:textId="77777777" w:rsidTr="00435936">
        <w:trPr>
          <w:trHeight w:val="20"/>
        </w:trPr>
        <w:tc>
          <w:tcPr>
            <w:tcW w:w="488" w:type="pct"/>
            <w:vMerge/>
            <w:tcBorders>
              <w:top w:val="nil"/>
              <w:left w:val="single" w:sz="4" w:space="0" w:color="auto"/>
              <w:bottom w:val="single" w:sz="4" w:space="0" w:color="000000"/>
              <w:right w:val="single" w:sz="4" w:space="0" w:color="auto"/>
            </w:tcBorders>
            <w:vAlign w:val="center"/>
            <w:hideMark/>
          </w:tcPr>
          <w:p w14:paraId="35C60CDF"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6" w:type="pct"/>
            <w:tcBorders>
              <w:top w:val="nil"/>
              <w:left w:val="nil"/>
              <w:bottom w:val="single" w:sz="4" w:space="0" w:color="auto"/>
              <w:right w:val="single" w:sz="4" w:space="0" w:color="auto"/>
            </w:tcBorders>
            <w:shd w:val="clear" w:color="000000" w:fill="FFFFFF"/>
            <w:noWrap/>
            <w:vAlign w:val="center"/>
            <w:hideMark/>
          </w:tcPr>
          <w:p w14:paraId="09E8A460"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144</w:t>
            </w:r>
          </w:p>
        </w:tc>
        <w:tc>
          <w:tcPr>
            <w:tcW w:w="565" w:type="pct"/>
            <w:tcBorders>
              <w:top w:val="nil"/>
              <w:left w:val="nil"/>
              <w:bottom w:val="single" w:sz="4" w:space="0" w:color="auto"/>
              <w:right w:val="single" w:sz="4" w:space="0" w:color="auto"/>
            </w:tcBorders>
            <w:shd w:val="clear" w:color="000000" w:fill="FFFFFF"/>
            <w:noWrap/>
            <w:vAlign w:val="center"/>
            <w:hideMark/>
          </w:tcPr>
          <w:p w14:paraId="3CF6B6CA"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+0 [0%]</w:t>
            </w:r>
          </w:p>
        </w:tc>
        <w:tc>
          <w:tcPr>
            <w:tcW w:w="564" w:type="pct"/>
            <w:tcBorders>
              <w:top w:val="nil"/>
              <w:left w:val="nil"/>
              <w:bottom w:val="single" w:sz="4" w:space="0" w:color="auto"/>
              <w:right w:val="single" w:sz="4" w:space="0" w:color="auto"/>
            </w:tcBorders>
            <w:shd w:val="clear" w:color="000000" w:fill="FFFFFF"/>
            <w:noWrap/>
            <w:vAlign w:val="center"/>
            <w:hideMark/>
          </w:tcPr>
          <w:p w14:paraId="5FCF3AE6"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+15 [11%]</w:t>
            </w:r>
          </w:p>
        </w:tc>
        <w:tc>
          <w:tcPr>
            <w:tcW w:w="564" w:type="pct"/>
            <w:tcBorders>
              <w:top w:val="nil"/>
              <w:left w:val="nil"/>
              <w:bottom w:val="single" w:sz="4" w:space="0" w:color="auto"/>
              <w:right w:val="single" w:sz="4" w:space="0" w:color="auto"/>
            </w:tcBorders>
            <w:shd w:val="clear" w:color="000000" w:fill="FFFFFF"/>
            <w:noWrap/>
            <w:vAlign w:val="center"/>
            <w:hideMark/>
          </w:tcPr>
          <w:p w14:paraId="2C136964"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+36 [25%]</w:t>
            </w:r>
          </w:p>
        </w:tc>
        <w:tc>
          <w:tcPr>
            <w:tcW w:w="916" w:type="pct"/>
            <w:tcBorders>
              <w:top w:val="nil"/>
              <w:left w:val="nil"/>
              <w:bottom w:val="single" w:sz="4" w:space="0" w:color="auto"/>
              <w:right w:val="single" w:sz="4" w:space="0" w:color="auto"/>
            </w:tcBorders>
            <w:shd w:val="clear" w:color="000000" w:fill="FFFFFF"/>
            <w:noWrap/>
            <w:vAlign w:val="center"/>
            <w:hideMark/>
          </w:tcPr>
          <w:p w14:paraId="7FBEE103"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+49 [34%]</w:t>
            </w:r>
          </w:p>
        </w:tc>
        <w:tc>
          <w:tcPr>
            <w:tcW w:w="1268" w:type="pct"/>
            <w:tcBorders>
              <w:top w:val="nil"/>
              <w:left w:val="nil"/>
              <w:bottom w:val="single" w:sz="4" w:space="0" w:color="auto"/>
              <w:right w:val="single" w:sz="4" w:space="0" w:color="auto"/>
            </w:tcBorders>
            <w:shd w:val="clear" w:color="000000" w:fill="FFFFFF"/>
            <w:noWrap/>
            <w:vAlign w:val="center"/>
            <w:hideMark/>
          </w:tcPr>
          <w:p w14:paraId="58CB3F6D"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+49 [34%]</w:t>
            </w:r>
          </w:p>
        </w:tc>
      </w:tr>
      <w:tr w:rsidR="00D24603" w:rsidRPr="00622422" w14:paraId="1046AF22" w14:textId="77777777" w:rsidTr="00435936">
        <w:trPr>
          <w:trHeight w:val="20"/>
        </w:trPr>
        <w:tc>
          <w:tcPr>
            <w:tcW w:w="4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28C448C"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23</w:t>
            </w:r>
          </w:p>
        </w:tc>
        <w:tc>
          <w:tcPr>
            <w:tcW w:w="636" w:type="pct"/>
            <w:tcBorders>
              <w:top w:val="nil"/>
              <w:left w:val="nil"/>
              <w:bottom w:val="nil"/>
              <w:right w:val="single" w:sz="4" w:space="0" w:color="auto"/>
            </w:tcBorders>
            <w:shd w:val="clear" w:color="000000" w:fill="FFFFFF"/>
            <w:noWrap/>
            <w:vAlign w:val="center"/>
            <w:hideMark/>
          </w:tcPr>
          <w:p w14:paraId="2A2E77EB"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w:t>
            </w:r>
          </w:p>
        </w:tc>
        <w:tc>
          <w:tcPr>
            <w:tcW w:w="565" w:type="pct"/>
            <w:tcBorders>
              <w:top w:val="nil"/>
              <w:left w:val="nil"/>
              <w:bottom w:val="nil"/>
              <w:right w:val="single" w:sz="4" w:space="0" w:color="auto"/>
            </w:tcBorders>
            <w:shd w:val="clear" w:color="000000" w:fill="FFFFFF"/>
            <w:noWrap/>
            <w:vAlign w:val="center"/>
            <w:hideMark/>
          </w:tcPr>
          <w:p w14:paraId="53BB29AB"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Nalo: 0%</w:t>
            </w:r>
          </w:p>
        </w:tc>
        <w:tc>
          <w:tcPr>
            <w:tcW w:w="564" w:type="pct"/>
            <w:tcBorders>
              <w:top w:val="nil"/>
              <w:left w:val="nil"/>
              <w:bottom w:val="nil"/>
              <w:right w:val="single" w:sz="4" w:space="0" w:color="auto"/>
            </w:tcBorders>
            <w:shd w:val="clear" w:color="000000" w:fill="FFFFFF"/>
            <w:noWrap/>
            <w:vAlign w:val="center"/>
            <w:hideMark/>
          </w:tcPr>
          <w:p w14:paraId="4E3A60E8"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Rete: 226%</w:t>
            </w:r>
          </w:p>
        </w:tc>
        <w:tc>
          <w:tcPr>
            <w:tcW w:w="564" w:type="pct"/>
            <w:tcBorders>
              <w:top w:val="nil"/>
              <w:left w:val="nil"/>
              <w:bottom w:val="nil"/>
              <w:right w:val="single" w:sz="4" w:space="0" w:color="auto"/>
            </w:tcBorders>
            <w:shd w:val="clear" w:color="000000" w:fill="FFFFFF"/>
            <w:noWrap/>
            <w:vAlign w:val="center"/>
            <w:hideMark/>
          </w:tcPr>
          <w:p w14:paraId="30A491AE"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435%</w:t>
            </w:r>
          </w:p>
        </w:tc>
        <w:tc>
          <w:tcPr>
            <w:tcW w:w="916" w:type="pct"/>
            <w:tcBorders>
              <w:top w:val="nil"/>
              <w:left w:val="nil"/>
              <w:bottom w:val="nil"/>
              <w:right w:val="single" w:sz="4" w:space="0" w:color="auto"/>
            </w:tcBorders>
            <w:shd w:val="clear" w:color="000000" w:fill="FFFFFF"/>
            <w:noWrap/>
            <w:vAlign w:val="center"/>
            <w:hideMark/>
          </w:tcPr>
          <w:p w14:paraId="34757B2E"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150%, Rete: 892%</w:t>
            </w:r>
          </w:p>
        </w:tc>
        <w:tc>
          <w:tcPr>
            <w:tcW w:w="1268" w:type="pct"/>
            <w:tcBorders>
              <w:top w:val="nil"/>
              <w:left w:val="nil"/>
              <w:bottom w:val="nil"/>
              <w:right w:val="single" w:sz="4" w:space="0" w:color="auto"/>
            </w:tcBorders>
            <w:shd w:val="clear" w:color="000000" w:fill="FFFFFF"/>
            <w:noWrap/>
            <w:vAlign w:val="center"/>
            <w:hideMark/>
          </w:tcPr>
          <w:p w14:paraId="1A036BAE"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150%, Rete: 892%, Nalo: 0%</w:t>
            </w:r>
          </w:p>
        </w:tc>
      </w:tr>
      <w:tr w:rsidR="00D24603" w:rsidRPr="00622422" w14:paraId="2110D8EC" w14:textId="77777777" w:rsidTr="00435936">
        <w:trPr>
          <w:trHeight w:val="20"/>
        </w:trPr>
        <w:tc>
          <w:tcPr>
            <w:tcW w:w="488" w:type="pct"/>
            <w:vMerge/>
            <w:tcBorders>
              <w:top w:val="nil"/>
              <w:left w:val="single" w:sz="4" w:space="0" w:color="auto"/>
              <w:bottom w:val="single" w:sz="4" w:space="0" w:color="000000"/>
              <w:right w:val="single" w:sz="4" w:space="0" w:color="auto"/>
            </w:tcBorders>
            <w:vAlign w:val="center"/>
            <w:hideMark/>
          </w:tcPr>
          <w:p w14:paraId="02B95251"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6" w:type="pct"/>
            <w:tcBorders>
              <w:top w:val="nil"/>
              <w:left w:val="nil"/>
              <w:bottom w:val="single" w:sz="4" w:space="0" w:color="auto"/>
              <w:right w:val="single" w:sz="4" w:space="0" w:color="auto"/>
            </w:tcBorders>
            <w:shd w:val="clear" w:color="000000" w:fill="FFFFFF"/>
            <w:noWrap/>
            <w:vAlign w:val="center"/>
            <w:hideMark/>
          </w:tcPr>
          <w:p w14:paraId="1A97B24A"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241</w:t>
            </w:r>
          </w:p>
        </w:tc>
        <w:tc>
          <w:tcPr>
            <w:tcW w:w="565" w:type="pct"/>
            <w:tcBorders>
              <w:top w:val="nil"/>
              <w:left w:val="nil"/>
              <w:bottom w:val="single" w:sz="4" w:space="0" w:color="auto"/>
              <w:right w:val="single" w:sz="4" w:space="0" w:color="auto"/>
            </w:tcBorders>
            <w:shd w:val="clear" w:color="000000" w:fill="FFFFFF"/>
            <w:noWrap/>
            <w:vAlign w:val="center"/>
            <w:hideMark/>
          </w:tcPr>
          <w:p w14:paraId="489F7197"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+0 [0%]</w:t>
            </w:r>
          </w:p>
        </w:tc>
        <w:tc>
          <w:tcPr>
            <w:tcW w:w="564" w:type="pct"/>
            <w:tcBorders>
              <w:top w:val="nil"/>
              <w:left w:val="nil"/>
              <w:bottom w:val="single" w:sz="4" w:space="0" w:color="auto"/>
              <w:right w:val="single" w:sz="4" w:space="0" w:color="auto"/>
            </w:tcBorders>
            <w:shd w:val="clear" w:color="000000" w:fill="FFFFFF"/>
            <w:noWrap/>
            <w:vAlign w:val="center"/>
            <w:hideMark/>
          </w:tcPr>
          <w:p w14:paraId="27D57AE2"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+36 [15%]</w:t>
            </w:r>
          </w:p>
        </w:tc>
        <w:tc>
          <w:tcPr>
            <w:tcW w:w="564" w:type="pct"/>
            <w:tcBorders>
              <w:top w:val="nil"/>
              <w:left w:val="nil"/>
              <w:bottom w:val="single" w:sz="4" w:space="0" w:color="auto"/>
              <w:right w:val="single" w:sz="4" w:space="0" w:color="auto"/>
            </w:tcBorders>
            <w:shd w:val="clear" w:color="000000" w:fill="FFFFFF"/>
            <w:noWrap/>
            <w:vAlign w:val="center"/>
            <w:hideMark/>
          </w:tcPr>
          <w:p w14:paraId="43D7FF73"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+106 [44%]</w:t>
            </w:r>
          </w:p>
        </w:tc>
        <w:tc>
          <w:tcPr>
            <w:tcW w:w="916" w:type="pct"/>
            <w:tcBorders>
              <w:top w:val="nil"/>
              <w:left w:val="nil"/>
              <w:bottom w:val="single" w:sz="4" w:space="0" w:color="auto"/>
              <w:right w:val="single" w:sz="4" w:space="0" w:color="auto"/>
            </w:tcBorders>
            <w:shd w:val="clear" w:color="000000" w:fill="FFFFFF"/>
            <w:noWrap/>
            <w:vAlign w:val="center"/>
            <w:hideMark/>
          </w:tcPr>
          <w:p w14:paraId="506FC654"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+159 [66%]</w:t>
            </w:r>
          </w:p>
        </w:tc>
        <w:tc>
          <w:tcPr>
            <w:tcW w:w="1268" w:type="pct"/>
            <w:tcBorders>
              <w:top w:val="nil"/>
              <w:left w:val="nil"/>
              <w:bottom w:val="single" w:sz="4" w:space="0" w:color="auto"/>
              <w:right w:val="single" w:sz="4" w:space="0" w:color="auto"/>
            </w:tcBorders>
            <w:shd w:val="clear" w:color="000000" w:fill="FFFFFF"/>
            <w:noWrap/>
            <w:vAlign w:val="center"/>
            <w:hideMark/>
          </w:tcPr>
          <w:p w14:paraId="6B185F67"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+159 [66%]</w:t>
            </w:r>
          </w:p>
        </w:tc>
      </w:tr>
      <w:tr w:rsidR="00D24603" w:rsidRPr="00622422" w14:paraId="7C389DC3" w14:textId="77777777" w:rsidTr="00435936">
        <w:trPr>
          <w:trHeight w:val="20"/>
        </w:trPr>
        <w:tc>
          <w:tcPr>
            <w:tcW w:w="4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E5E9BCB"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24</w:t>
            </w:r>
          </w:p>
        </w:tc>
        <w:tc>
          <w:tcPr>
            <w:tcW w:w="636" w:type="pct"/>
            <w:tcBorders>
              <w:top w:val="nil"/>
              <w:left w:val="nil"/>
              <w:bottom w:val="nil"/>
              <w:right w:val="single" w:sz="4" w:space="0" w:color="auto"/>
            </w:tcBorders>
            <w:shd w:val="clear" w:color="000000" w:fill="FFFFFF"/>
            <w:noWrap/>
            <w:vAlign w:val="center"/>
            <w:hideMark/>
          </w:tcPr>
          <w:p w14:paraId="2E8B8E38"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w:t>
            </w:r>
          </w:p>
        </w:tc>
        <w:tc>
          <w:tcPr>
            <w:tcW w:w="565" w:type="pct"/>
            <w:tcBorders>
              <w:top w:val="nil"/>
              <w:left w:val="nil"/>
              <w:bottom w:val="nil"/>
              <w:right w:val="single" w:sz="4" w:space="0" w:color="auto"/>
            </w:tcBorders>
            <w:shd w:val="clear" w:color="000000" w:fill="FFFFFF"/>
            <w:noWrap/>
            <w:vAlign w:val="center"/>
            <w:hideMark/>
          </w:tcPr>
          <w:p w14:paraId="3ADBBB28"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Nalo: 35%</w:t>
            </w:r>
          </w:p>
        </w:tc>
        <w:tc>
          <w:tcPr>
            <w:tcW w:w="564" w:type="pct"/>
            <w:tcBorders>
              <w:top w:val="nil"/>
              <w:left w:val="nil"/>
              <w:bottom w:val="nil"/>
              <w:right w:val="single" w:sz="4" w:space="0" w:color="auto"/>
            </w:tcBorders>
            <w:shd w:val="clear" w:color="000000" w:fill="FFFFFF"/>
            <w:noWrap/>
            <w:vAlign w:val="center"/>
            <w:hideMark/>
          </w:tcPr>
          <w:p w14:paraId="1AA7CBF2"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Rete: 86%</w:t>
            </w:r>
          </w:p>
        </w:tc>
        <w:tc>
          <w:tcPr>
            <w:tcW w:w="564" w:type="pct"/>
            <w:tcBorders>
              <w:top w:val="nil"/>
              <w:left w:val="nil"/>
              <w:bottom w:val="nil"/>
              <w:right w:val="single" w:sz="4" w:space="0" w:color="auto"/>
            </w:tcBorders>
            <w:shd w:val="clear" w:color="000000" w:fill="FFFFFF"/>
            <w:noWrap/>
            <w:vAlign w:val="center"/>
            <w:hideMark/>
          </w:tcPr>
          <w:p w14:paraId="3247B14C"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149%</w:t>
            </w:r>
          </w:p>
        </w:tc>
        <w:tc>
          <w:tcPr>
            <w:tcW w:w="916" w:type="pct"/>
            <w:tcBorders>
              <w:top w:val="nil"/>
              <w:left w:val="nil"/>
              <w:bottom w:val="nil"/>
              <w:right w:val="single" w:sz="4" w:space="0" w:color="auto"/>
            </w:tcBorders>
            <w:shd w:val="clear" w:color="000000" w:fill="FFFFFF"/>
            <w:noWrap/>
            <w:vAlign w:val="center"/>
            <w:hideMark/>
          </w:tcPr>
          <w:p w14:paraId="036974CC"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46%, Rete: 250%</w:t>
            </w:r>
          </w:p>
        </w:tc>
        <w:tc>
          <w:tcPr>
            <w:tcW w:w="1268" w:type="pct"/>
            <w:tcBorders>
              <w:top w:val="nil"/>
              <w:left w:val="nil"/>
              <w:bottom w:val="nil"/>
              <w:right w:val="single" w:sz="4" w:space="0" w:color="auto"/>
            </w:tcBorders>
            <w:shd w:val="clear" w:color="000000" w:fill="FFFFFF"/>
            <w:noWrap/>
            <w:vAlign w:val="center"/>
            <w:hideMark/>
          </w:tcPr>
          <w:p w14:paraId="7FB274D2"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46%, Rete: 250%, Nalo: 35%</w:t>
            </w:r>
          </w:p>
        </w:tc>
      </w:tr>
      <w:tr w:rsidR="00D24603" w:rsidRPr="00622422" w14:paraId="14BD8263" w14:textId="77777777" w:rsidTr="00435936">
        <w:trPr>
          <w:trHeight w:val="20"/>
        </w:trPr>
        <w:tc>
          <w:tcPr>
            <w:tcW w:w="488" w:type="pct"/>
            <w:vMerge/>
            <w:tcBorders>
              <w:top w:val="nil"/>
              <w:left w:val="single" w:sz="4" w:space="0" w:color="auto"/>
              <w:bottom w:val="single" w:sz="4" w:space="0" w:color="000000"/>
              <w:right w:val="single" w:sz="4" w:space="0" w:color="auto"/>
            </w:tcBorders>
            <w:vAlign w:val="center"/>
            <w:hideMark/>
          </w:tcPr>
          <w:p w14:paraId="23093D40"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6" w:type="pct"/>
            <w:tcBorders>
              <w:top w:val="nil"/>
              <w:left w:val="nil"/>
              <w:bottom w:val="single" w:sz="4" w:space="0" w:color="auto"/>
              <w:right w:val="single" w:sz="4" w:space="0" w:color="auto"/>
            </w:tcBorders>
            <w:shd w:val="clear" w:color="000000" w:fill="FFFFFF"/>
            <w:noWrap/>
            <w:vAlign w:val="center"/>
            <w:hideMark/>
          </w:tcPr>
          <w:p w14:paraId="347F7A05"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106</w:t>
            </w:r>
          </w:p>
        </w:tc>
        <w:tc>
          <w:tcPr>
            <w:tcW w:w="565" w:type="pct"/>
            <w:tcBorders>
              <w:top w:val="nil"/>
              <w:left w:val="nil"/>
              <w:bottom w:val="single" w:sz="4" w:space="0" w:color="auto"/>
              <w:right w:val="single" w:sz="4" w:space="0" w:color="auto"/>
            </w:tcBorders>
            <w:shd w:val="clear" w:color="000000" w:fill="FFFFFF"/>
            <w:noWrap/>
            <w:vAlign w:val="center"/>
            <w:hideMark/>
          </w:tcPr>
          <w:p w14:paraId="1978ED62"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+0 [0%]</w:t>
            </w:r>
          </w:p>
        </w:tc>
        <w:tc>
          <w:tcPr>
            <w:tcW w:w="564" w:type="pct"/>
            <w:tcBorders>
              <w:top w:val="nil"/>
              <w:left w:val="nil"/>
              <w:bottom w:val="single" w:sz="4" w:space="0" w:color="auto"/>
              <w:right w:val="single" w:sz="4" w:space="0" w:color="auto"/>
            </w:tcBorders>
            <w:shd w:val="clear" w:color="000000" w:fill="FFFFFF"/>
            <w:noWrap/>
            <w:vAlign w:val="center"/>
            <w:hideMark/>
          </w:tcPr>
          <w:p w14:paraId="4F377ABA"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+9 [8%]</w:t>
            </w:r>
          </w:p>
        </w:tc>
        <w:tc>
          <w:tcPr>
            <w:tcW w:w="564" w:type="pct"/>
            <w:tcBorders>
              <w:top w:val="nil"/>
              <w:left w:val="nil"/>
              <w:bottom w:val="single" w:sz="4" w:space="0" w:color="auto"/>
              <w:right w:val="single" w:sz="4" w:space="0" w:color="auto"/>
            </w:tcBorders>
            <w:shd w:val="clear" w:color="000000" w:fill="FFFFFF"/>
            <w:noWrap/>
            <w:vAlign w:val="center"/>
            <w:hideMark/>
          </w:tcPr>
          <w:p w14:paraId="1E6C1F45"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+6 [6%]</w:t>
            </w:r>
          </w:p>
        </w:tc>
        <w:tc>
          <w:tcPr>
            <w:tcW w:w="916" w:type="pct"/>
            <w:tcBorders>
              <w:top w:val="nil"/>
              <w:left w:val="nil"/>
              <w:bottom w:val="single" w:sz="4" w:space="0" w:color="auto"/>
              <w:right w:val="single" w:sz="4" w:space="0" w:color="auto"/>
            </w:tcBorders>
            <w:shd w:val="clear" w:color="000000" w:fill="FFFFFF"/>
            <w:noWrap/>
            <w:vAlign w:val="center"/>
            <w:hideMark/>
          </w:tcPr>
          <w:p w14:paraId="34F84A8C"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+20 [18%]</w:t>
            </w:r>
          </w:p>
        </w:tc>
        <w:tc>
          <w:tcPr>
            <w:tcW w:w="1268" w:type="pct"/>
            <w:tcBorders>
              <w:top w:val="nil"/>
              <w:left w:val="nil"/>
              <w:bottom w:val="single" w:sz="4" w:space="0" w:color="auto"/>
              <w:right w:val="single" w:sz="4" w:space="0" w:color="auto"/>
            </w:tcBorders>
            <w:shd w:val="clear" w:color="000000" w:fill="FFFFFF"/>
            <w:noWrap/>
            <w:vAlign w:val="center"/>
            <w:hideMark/>
          </w:tcPr>
          <w:p w14:paraId="3450A458"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+20 [19%]</w:t>
            </w:r>
          </w:p>
        </w:tc>
      </w:tr>
      <w:tr w:rsidR="00D24603" w:rsidRPr="00622422" w14:paraId="12E471CF" w14:textId="77777777" w:rsidTr="00435936">
        <w:trPr>
          <w:trHeight w:val="20"/>
        </w:trPr>
        <w:tc>
          <w:tcPr>
            <w:tcW w:w="4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53FCF34"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C2</w:t>
            </w:r>
            <w:r w:rsidRPr="00622422">
              <w:rPr>
                <w:rFonts w:ascii="Calibri" w:eastAsia="Times New Roman" w:hAnsi="Calibri" w:cs="Calibri"/>
                <w:color w:val="000000"/>
                <w:kern w:val="0"/>
                <w:sz w:val="16"/>
                <w:szCs w:val="16"/>
                <w14:ligatures w14:val="none"/>
              </w:rPr>
              <w:t>5</w:t>
            </w:r>
          </w:p>
        </w:tc>
        <w:tc>
          <w:tcPr>
            <w:tcW w:w="636" w:type="pct"/>
            <w:tcBorders>
              <w:top w:val="nil"/>
              <w:left w:val="nil"/>
              <w:bottom w:val="nil"/>
              <w:right w:val="single" w:sz="4" w:space="0" w:color="auto"/>
            </w:tcBorders>
            <w:shd w:val="clear" w:color="000000" w:fill="FFFFFF"/>
            <w:noWrap/>
            <w:vAlign w:val="center"/>
            <w:hideMark/>
          </w:tcPr>
          <w:p w14:paraId="3BFCE36B"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w:t>
            </w:r>
          </w:p>
        </w:tc>
        <w:tc>
          <w:tcPr>
            <w:tcW w:w="565" w:type="pct"/>
            <w:tcBorders>
              <w:top w:val="nil"/>
              <w:left w:val="nil"/>
              <w:bottom w:val="nil"/>
              <w:right w:val="single" w:sz="4" w:space="0" w:color="auto"/>
            </w:tcBorders>
            <w:shd w:val="clear" w:color="000000" w:fill="FFFFFF"/>
            <w:noWrap/>
            <w:vAlign w:val="center"/>
            <w:hideMark/>
          </w:tcPr>
          <w:p w14:paraId="6FAD5E6E"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Nalo: 14%</w:t>
            </w:r>
          </w:p>
        </w:tc>
        <w:tc>
          <w:tcPr>
            <w:tcW w:w="564" w:type="pct"/>
            <w:tcBorders>
              <w:top w:val="nil"/>
              <w:left w:val="nil"/>
              <w:bottom w:val="nil"/>
              <w:right w:val="single" w:sz="4" w:space="0" w:color="auto"/>
            </w:tcBorders>
            <w:shd w:val="clear" w:color="000000" w:fill="FFFFFF"/>
            <w:noWrap/>
            <w:vAlign w:val="center"/>
            <w:hideMark/>
          </w:tcPr>
          <w:p w14:paraId="690C84A4"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Rete: 259%</w:t>
            </w:r>
          </w:p>
        </w:tc>
        <w:tc>
          <w:tcPr>
            <w:tcW w:w="564" w:type="pct"/>
            <w:tcBorders>
              <w:top w:val="nil"/>
              <w:left w:val="nil"/>
              <w:bottom w:val="nil"/>
              <w:right w:val="single" w:sz="4" w:space="0" w:color="auto"/>
            </w:tcBorders>
            <w:shd w:val="clear" w:color="000000" w:fill="FFFFFF"/>
            <w:noWrap/>
            <w:vAlign w:val="center"/>
            <w:hideMark/>
          </w:tcPr>
          <w:p w14:paraId="204969F6"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555%</w:t>
            </w:r>
          </w:p>
        </w:tc>
        <w:tc>
          <w:tcPr>
            <w:tcW w:w="916" w:type="pct"/>
            <w:tcBorders>
              <w:top w:val="nil"/>
              <w:left w:val="nil"/>
              <w:bottom w:val="nil"/>
              <w:right w:val="single" w:sz="4" w:space="0" w:color="auto"/>
            </w:tcBorders>
            <w:shd w:val="clear" w:color="000000" w:fill="FFFFFF"/>
            <w:noWrap/>
            <w:vAlign w:val="center"/>
            <w:hideMark/>
          </w:tcPr>
          <w:p w14:paraId="3B72C8CD"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217%, Rete: 1234%</w:t>
            </w:r>
          </w:p>
        </w:tc>
        <w:tc>
          <w:tcPr>
            <w:tcW w:w="1268" w:type="pct"/>
            <w:tcBorders>
              <w:top w:val="nil"/>
              <w:left w:val="nil"/>
              <w:bottom w:val="nil"/>
              <w:right w:val="single" w:sz="4" w:space="0" w:color="auto"/>
            </w:tcBorders>
            <w:shd w:val="clear" w:color="000000" w:fill="FFFFFF"/>
            <w:noWrap/>
            <w:vAlign w:val="center"/>
            <w:hideMark/>
          </w:tcPr>
          <w:p w14:paraId="3D8E306C"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217%, Rete: 1234%, Nalo: 14%</w:t>
            </w:r>
          </w:p>
        </w:tc>
      </w:tr>
      <w:tr w:rsidR="00D24603" w:rsidRPr="00622422" w14:paraId="3F4ADEFC" w14:textId="77777777" w:rsidTr="00435936">
        <w:trPr>
          <w:trHeight w:val="20"/>
        </w:trPr>
        <w:tc>
          <w:tcPr>
            <w:tcW w:w="488" w:type="pct"/>
            <w:vMerge/>
            <w:tcBorders>
              <w:top w:val="nil"/>
              <w:left w:val="single" w:sz="4" w:space="0" w:color="auto"/>
              <w:bottom w:val="single" w:sz="4" w:space="0" w:color="000000"/>
              <w:right w:val="single" w:sz="4" w:space="0" w:color="auto"/>
            </w:tcBorders>
            <w:vAlign w:val="center"/>
            <w:hideMark/>
          </w:tcPr>
          <w:p w14:paraId="60EECC1E"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6" w:type="pct"/>
            <w:tcBorders>
              <w:top w:val="nil"/>
              <w:left w:val="nil"/>
              <w:bottom w:val="single" w:sz="4" w:space="0" w:color="auto"/>
              <w:right w:val="single" w:sz="4" w:space="0" w:color="auto"/>
            </w:tcBorders>
            <w:shd w:val="clear" w:color="000000" w:fill="FFFFFF"/>
            <w:noWrap/>
            <w:vAlign w:val="center"/>
            <w:hideMark/>
          </w:tcPr>
          <w:p w14:paraId="44198466"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312</w:t>
            </w:r>
          </w:p>
        </w:tc>
        <w:tc>
          <w:tcPr>
            <w:tcW w:w="565" w:type="pct"/>
            <w:tcBorders>
              <w:top w:val="nil"/>
              <w:left w:val="nil"/>
              <w:bottom w:val="single" w:sz="4" w:space="0" w:color="auto"/>
              <w:right w:val="single" w:sz="4" w:space="0" w:color="auto"/>
            </w:tcBorders>
            <w:shd w:val="clear" w:color="000000" w:fill="FFFFFF"/>
            <w:noWrap/>
            <w:vAlign w:val="center"/>
            <w:hideMark/>
          </w:tcPr>
          <w:p w14:paraId="21F90D4E"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 [0%]</w:t>
            </w:r>
          </w:p>
        </w:tc>
        <w:tc>
          <w:tcPr>
            <w:tcW w:w="564" w:type="pct"/>
            <w:tcBorders>
              <w:top w:val="nil"/>
              <w:left w:val="nil"/>
              <w:bottom w:val="single" w:sz="4" w:space="0" w:color="auto"/>
              <w:right w:val="single" w:sz="4" w:space="0" w:color="auto"/>
            </w:tcBorders>
            <w:shd w:val="clear" w:color="000000" w:fill="FFFFFF"/>
            <w:noWrap/>
            <w:vAlign w:val="center"/>
            <w:hideMark/>
          </w:tcPr>
          <w:p w14:paraId="6A80316A"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+13 [4%]</w:t>
            </w:r>
          </w:p>
        </w:tc>
        <w:tc>
          <w:tcPr>
            <w:tcW w:w="564" w:type="pct"/>
            <w:tcBorders>
              <w:top w:val="nil"/>
              <w:left w:val="nil"/>
              <w:bottom w:val="single" w:sz="4" w:space="0" w:color="auto"/>
              <w:right w:val="single" w:sz="4" w:space="0" w:color="auto"/>
            </w:tcBorders>
            <w:shd w:val="clear" w:color="000000" w:fill="FFFFFF"/>
            <w:noWrap/>
            <w:vAlign w:val="center"/>
            <w:hideMark/>
          </w:tcPr>
          <w:p w14:paraId="52F4A5AB"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+72 [23%]</w:t>
            </w:r>
          </w:p>
        </w:tc>
        <w:tc>
          <w:tcPr>
            <w:tcW w:w="916" w:type="pct"/>
            <w:tcBorders>
              <w:top w:val="nil"/>
              <w:left w:val="nil"/>
              <w:bottom w:val="single" w:sz="4" w:space="0" w:color="auto"/>
              <w:right w:val="single" w:sz="4" w:space="0" w:color="auto"/>
            </w:tcBorders>
            <w:shd w:val="clear" w:color="000000" w:fill="FFFFFF"/>
            <w:noWrap/>
            <w:vAlign w:val="center"/>
            <w:hideMark/>
          </w:tcPr>
          <w:p w14:paraId="0E847C1F"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+81 [26%]</w:t>
            </w:r>
          </w:p>
        </w:tc>
        <w:tc>
          <w:tcPr>
            <w:tcW w:w="1268" w:type="pct"/>
            <w:tcBorders>
              <w:top w:val="nil"/>
              <w:left w:val="nil"/>
              <w:bottom w:val="single" w:sz="4" w:space="0" w:color="auto"/>
              <w:right w:val="single" w:sz="4" w:space="0" w:color="auto"/>
            </w:tcBorders>
            <w:shd w:val="clear" w:color="000000" w:fill="FFFFFF"/>
            <w:noWrap/>
            <w:vAlign w:val="center"/>
            <w:hideMark/>
          </w:tcPr>
          <w:p w14:paraId="0B9A736D"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+82 [26%]</w:t>
            </w:r>
          </w:p>
        </w:tc>
      </w:tr>
      <w:tr w:rsidR="00D24603" w:rsidRPr="00622422" w14:paraId="7617AA49" w14:textId="77777777" w:rsidTr="00435936">
        <w:trPr>
          <w:trHeight w:val="20"/>
        </w:trPr>
        <w:tc>
          <w:tcPr>
            <w:tcW w:w="4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65940D7"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C</w:t>
            </w:r>
            <w:r w:rsidRPr="00622422">
              <w:rPr>
                <w:rFonts w:ascii="Calibri" w:eastAsia="Times New Roman" w:hAnsi="Calibri" w:cs="Calibri"/>
                <w:color w:val="000000"/>
                <w:kern w:val="0"/>
                <w:sz w:val="16"/>
                <w:szCs w:val="16"/>
                <w14:ligatures w14:val="none"/>
              </w:rPr>
              <w:t>26</w:t>
            </w:r>
          </w:p>
        </w:tc>
        <w:tc>
          <w:tcPr>
            <w:tcW w:w="636" w:type="pct"/>
            <w:tcBorders>
              <w:top w:val="nil"/>
              <w:left w:val="nil"/>
              <w:bottom w:val="nil"/>
              <w:right w:val="single" w:sz="4" w:space="0" w:color="auto"/>
            </w:tcBorders>
            <w:shd w:val="clear" w:color="000000" w:fill="FFFFFF"/>
            <w:noWrap/>
            <w:vAlign w:val="center"/>
            <w:hideMark/>
          </w:tcPr>
          <w:p w14:paraId="19194309"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w:t>
            </w:r>
          </w:p>
        </w:tc>
        <w:tc>
          <w:tcPr>
            <w:tcW w:w="565" w:type="pct"/>
            <w:tcBorders>
              <w:top w:val="nil"/>
              <w:left w:val="nil"/>
              <w:bottom w:val="nil"/>
              <w:right w:val="single" w:sz="4" w:space="0" w:color="auto"/>
            </w:tcBorders>
            <w:shd w:val="clear" w:color="000000" w:fill="FFFFFF"/>
            <w:noWrap/>
            <w:vAlign w:val="center"/>
            <w:hideMark/>
          </w:tcPr>
          <w:p w14:paraId="792D7C52"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Nalo: 0%</w:t>
            </w:r>
          </w:p>
        </w:tc>
        <w:tc>
          <w:tcPr>
            <w:tcW w:w="564" w:type="pct"/>
            <w:tcBorders>
              <w:top w:val="nil"/>
              <w:left w:val="nil"/>
              <w:bottom w:val="nil"/>
              <w:right w:val="single" w:sz="4" w:space="0" w:color="auto"/>
            </w:tcBorders>
            <w:shd w:val="clear" w:color="000000" w:fill="FFFFFF"/>
            <w:noWrap/>
            <w:vAlign w:val="center"/>
            <w:hideMark/>
          </w:tcPr>
          <w:p w14:paraId="61073DA3"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Rete: 62%</w:t>
            </w:r>
          </w:p>
        </w:tc>
        <w:tc>
          <w:tcPr>
            <w:tcW w:w="564" w:type="pct"/>
            <w:tcBorders>
              <w:top w:val="nil"/>
              <w:left w:val="nil"/>
              <w:bottom w:val="nil"/>
              <w:right w:val="single" w:sz="4" w:space="0" w:color="auto"/>
            </w:tcBorders>
            <w:shd w:val="clear" w:color="000000" w:fill="FFFFFF"/>
            <w:noWrap/>
            <w:vAlign w:val="center"/>
            <w:hideMark/>
          </w:tcPr>
          <w:p w14:paraId="6DD48D20"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184%</w:t>
            </w:r>
          </w:p>
        </w:tc>
        <w:tc>
          <w:tcPr>
            <w:tcW w:w="916" w:type="pct"/>
            <w:tcBorders>
              <w:top w:val="nil"/>
              <w:left w:val="nil"/>
              <w:bottom w:val="nil"/>
              <w:right w:val="single" w:sz="4" w:space="0" w:color="auto"/>
            </w:tcBorders>
            <w:shd w:val="clear" w:color="000000" w:fill="FFFFFF"/>
            <w:noWrap/>
            <w:vAlign w:val="center"/>
            <w:hideMark/>
          </w:tcPr>
          <w:p w14:paraId="0E36E895"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92%, Rete: 265%</w:t>
            </w:r>
          </w:p>
        </w:tc>
        <w:tc>
          <w:tcPr>
            <w:tcW w:w="1268" w:type="pct"/>
            <w:tcBorders>
              <w:top w:val="nil"/>
              <w:left w:val="nil"/>
              <w:bottom w:val="nil"/>
              <w:right w:val="single" w:sz="4" w:space="0" w:color="auto"/>
            </w:tcBorders>
            <w:shd w:val="clear" w:color="000000" w:fill="FFFFFF"/>
            <w:noWrap/>
            <w:vAlign w:val="center"/>
            <w:hideMark/>
          </w:tcPr>
          <w:p w14:paraId="6B855B97" w14:textId="77777777" w:rsidR="00D24603" w:rsidRPr="009E5A80" w:rsidRDefault="00D24603" w:rsidP="00CE3D62">
            <w:pPr>
              <w:spacing w:after="0"/>
              <w:jc w:val="center"/>
              <w:rPr>
                <w:rFonts w:ascii="Calibri" w:eastAsia="Times New Roman" w:hAnsi="Calibri" w:cs="Calibri"/>
                <w:i/>
                <w:iCs/>
                <w:color w:val="000000"/>
                <w:kern w:val="0"/>
                <w:sz w:val="16"/>
                <w:szCs w:val="16"/>
                <w14:ligatures w14:val="none"/>
              </w:rPr>
            </w:pPr>
            <w:r w:rsidRPr="009E5A80">
              <w:rPr>
                <w:rFonts w:ascii="Calibri" w:hAnsi="Calibri" w:cs="Calibri"/>
                <w:i/>
                <w:iCs/>
                <w:color w:val="000000"/>
                <w:sz w:val="16"/>
                <w:szCs w:val="16"/>
              </w:rPr>
              <w:t>Init: 92%, Rete: 265%, Nalo: 0%</w:t>
            </w:r>
          </w:p>
        </w:tc>
      </w:tr>
      <w:tr w:rsidR="00D24603" w:rsidRPr="00622422" w14:paraId="72F72193" w14:textId="77777777" w:rsidTr="00435936">
        <w:trPr>
          <w:trHeight w:val="20"/>
        </w:trPr>
        <w:tc>
          <w:tcPr>
            <w:tcW w:w="488" w:type="pct"/>
            <w:vMerge/>
            <w:tcBorders>
              <w:top w:val="nil"/>
              <w:left w:val="single" w:sz="4" w:space="0" w:color="auto"/>
              <w:bottom w:val="single" w:sz="4" w:space="0" w:color="000000"/>
              <w:right w:val="single" w:sz="4" w:space="0" w:color="auto"/>
            </w:tcBorders>
            <w:vAlign w:val="center"/>
            <w:hideMark/>
          </w:tcPr>
          <w:p w14:paraId="04ECAB3C" w14:textId="77777777" w:rsidR="00D24603" w:rsidRPr="00622422" w:rsidRDefault="00D24603" w:rsidP="00CE3D62">
            <w:pPr>
              <w:spacing w:after="0"/>
              <w:jc w:val="center"/>
              <w:rPr>
                <w:rFonts w:ascii="Calibri" w:eastAsia="Times New Roman" w:hAnsi="Calibri" w:cs="Calibri"/>
                <w:color w:val="000000"/>
                <w:kern w:val="0"/>
                <w:sz w:val="16"/>
                <w:szCs w:val="16"/>
                <w14:ligatures w14:val="none"/>
              </w:rPr>
            </w:pPr>
          </w:p>
        </w:tc>
        <w:tc>
          <w:tcPr>
            <w:tcW w:w="636" w:type="pct"/>
            <w:tcBorders>
              <w:top w:val="nil"/>
              <w:left w:val="nil"/>
              <w:bottom w:val="single" w:sz="4" w:space="0" w:color="auto"/>
              <w:right w:val="single" w:sz="4" w:space="0" w:color="auto"/>
            </w:tcBorders>
            <w:shd w:val="clear" w:color="000000" w:fill="FFFFFF"/>
            <w:noWrap/>
            <w:vAlign w:val="center"/>
            <w:hideMark/>
          </w:tcPr>
          <w:p w14:paraId="0671C1E4"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1,177</w:t>
            </w:r>
          </w:p>
        </w:tc>
        <w:tc>
          <w:tcPr>
            <w:tcW w:w="565" w:type="pct"/>
            <w:tcBorders>
              <w:top w:val="nil"/>
              <w:left w:val="nil"/>
              <w:bottom w:val="single" w:sz="4" w:space="0" w:color="auto"/>
              <w:right w:val="single" w:sz="4" w:space="0" w:color="auto"/>
            </w:tcBorders>
            <w:shd w:val="clear" w:color="000000" w:fill="FFFFFF"/>
            <w:noWrap/>
            <w:vAlign w:val="center"/>
            <w:hideMark/>
          </w:tcPr>
          <w:p w14:paraId="5527F7EE"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+0 [0%]</w:t>
            </w:r>
          </w:p>
        </w:tc>
        <w:tc>
          <w:tcPr>
            <w:tcW w:w="564" w:type="pct"/>
            <w:tcBorders>
              <w:top w:val="nil"/>
              <w:left w:val="nil"/>
              <w:bottom w:val="single" w:sz="4" w:space="0" w:color="auto"/>
              <w:right w:val="single" w:sz="4" w:space="0" w:color="auto"/>
            </w:tcBorders>
            <w:shd w:val="clear" w:color="000000" w:fill="FFFFFF"/>
            <w:noWrap/>
            <w:vAlign w:val="center"/>
            <w:hideMark/>
          </w:tcPr>
          <w:p w14:paraId="795F56D3"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+42 [4%]</w:t>
            </w:r>
          </w:p>
        </w:tc>
        <w:tc>
          <w:tcPr>
            <w:tcW w:w="564" w:type="pct"/>
            <w:tcBorders>
              <w:top w:val="nil"/>
              <w:left w:val="nil"/>
              <w:bottom w:val="single" w:sz="4" w:space="0" w:color="auto"/>
              <w:right w:val="single" w:sz="4" w:space="0" w:color="auto"/>
            </w:tcBorders>
            <w:shd w:val="clear" w:color="000000" w:fill="FFFFFF"/>
            <w:noWrap/>
            <w:vAlign w:val="center"/>
            <w:hideMark/>
          </w:tcPr>
          <w:p w14:paraId="5992D609"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+21 [2%]</w:t>
            </w:r>
          </w:p>
        </w:tc>
        <w:tc>
          <w:tcPr>
            <w:tcW w:w="916" w:type="pct"/>
            <w:tcBorders>
              <w:top w:val="nil"/>
              <w:left w:val="nil"/>
              <w:bottom w:val="single" w:sz="4" w:space="0" w:color="auto"/>
              <w:right w:val="single" w:sz="4" w:space="0" w:color="auto"/>
            </w:tcBorders>
            <w:shd w:val="clear" w:color="000000" w:fill="FFFFFF"/>
            <w:noWrap/>
            <w:vAlign w:val="center"/>
            <w:hideMark/>
          </w:tcPr>
          <w:p w14:paraId="7129FAFF"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+100 [8%]</w:t>
            </w:r>
          </w:p>
        </w:tc>
        <w:tc>
          <w:tcPr>
            <w:tcW w:w="1268" w:type="pct"/>
            <w:tcBorders>
              <w:top w:val="nil"/>
              <w:left w:val="nil"/>
              <w:bottom w:val="single" w:sz="4" w:space="0" w:color="auto"/>
              <w:right w:val="single" w:sz="4" w:space="0" w:color="auto"/>
            </w:tcBorders>
            <w:shd w:val="clear" w:color="000000" w:fill="FFFFFF"/>
            <w:noWrap/>
            <w:vAlign w:val="center"/>
            <w:hideMark/>
          </w:tcPr>
          <w:p w14:paraId="728EFFC5" w14:textId="77777777" w:rsidR="00D24603" w:rsidRPr="009E5A80" w:rsidRDefault="00D24603" w:rsidP="00CE3D62">
            <w:pPr>
              <w:spacing w:after="0"/>
              <w:jc w:val="center"/>
              <w:rPr>
                <w:rFonts w:ascii="Calibri" w:eastAsia="Times New Roman" w:hAnsi="Calibri" w:cs="Calibri"/>
                <w:b/>
                <w:bCs/>
                <w:color w:val="000000"/>
                <w:kern w:val="0"/>
                <w:sz w:val="16"/>
                <w:szCs w:val="16"/>
                <w14:ligatures w14:val="none"/>
              </w:rPr>
            </w:pPr>
            <w:r w:rsidRPr="009E5A80">
              <w:rPr>
                <w:rFonts w:ascii="Calibri" w:hAnsi="Calibri" w:cs="Calibri"/>
                <w:b/>
                <w:bCs/>
                <w:color w:val="000000"/>
                <w:sz w:val="16"/>
                <w:szCs w:val="16"/>
              </w:rPr>
              <w:t>+100 [8%]</w:t>
            </w:r>
          </w:p>
        </w:tc>
      </w:tr>
    </w:tbl>
    <w:p w14:paraId="0DCFEBBB" w14:textId="77777777" w:rsidR="00D24603" w:rsidRPr="00F06B14" w:rsidRDefault="00D24603" w:rsidP="00CE3D62">
      <w:pPr>
        <w:spacing w:after="0"/>
        <w:rPr>
          <w:szCs w:val="20"/>
        </w:rPr>
      </w:pPr>
      <w:r w:rsidRPr="00F06B14">
        <w:rPr>
          <w:szCs w:val="20"/>
        </w:rPr>
        <w:lastRenderedPageBreak/>
        <w:t xml:space="preserve">Abbreviations: </w:t>
      </w:r>
      <w:r>
        <w:rPr>
          <w:szCs w:val="20"/>
        </w:rPr>
        <w:t xml:space="preserve">C = Community, EBP = Evidence-Based Practice; </w:t>
      </w:r>
      <w:r w:rsidRPr="00F06B14">
        <w:rPr>
          <w:szCs w:val="20"/>
        </w:rPr>
        <w:t>Init = Improved Initiation</w:t>
      </w:r>
      <w:r>
        <w:rPr>
          <w:szCs w:val="20"/>
        </w:rPr>
        <w:t>;</w:t>
      </w:r>
      <w:r w:rsidRPr="00F06B14">
        <w:rPr>
          <w:szCs w:val="20"/>
        </w:rPr>
        <w:t xml:space="preserve"> Nalo = Improved Naloxone Distribution;</w:t>
      </w:r>
      <w:r>
        <w:rPr>
          <w:szCs w:val="20"/>
        </w:rPr>
        <w:t xml:space="preserve"> </w:t>
      </w:r>
      <w:r w:rsidRPr="00F06B14">
        <w:rPr>
          <w:szCs w:val="20"/>
        </w:rPr>
        <w:t>Rete = Improved Retention.</w:t>
      </w:r>
    </w:p>
    <w:p w14:paraId="7C932AFD" w14:textId="77777777" w:rsidR="00D24603" w:rsidRPr="00F06B14" w:rsidRDefault="00D24603" w:rsidP="00CE3D62">
      <w:pPr>
        <w:spacing w:after="0"/>
        <w:rPr>
          <w:szCs w:val="20"/>
        </w:rPr>
      </w:pPr>
      <w:r w:rsidRPr="00F06B14">
        <w:rPr>
          <w:szCs w:val="20"/>
        </w:rPr>
        <w:t xml:space="preserve">Percentages in brackets represent the relative change compared to the "Maintain 2022 EBP Levels" scenario. Negative percentages indicate a reduction in </w:t>
      </w:r>
      <w:r>
        <w:rPr>
          <w:szCs w:val="20"/>
        </w:rPr>
        <w:t>cost</w:t>
      </w:r>
      <w:r w:rsidRPr="00F06B14">
        <w:rPr>
          <w:szCs w:val="20"/>
        </w:rPr>
        <w:t>, while positive percentages indicate an increase.</w:t>
      </w:r>
      <w:r>
        <w:rPr>
          <w:szCs w:val="20"/>
        </w:rPr>
        <w:t xml:space="preserve"> </w:t>
      </w:r>
    </w:p>
    <w:p w14:paraId="34E525BF" w14:textId="24510B29" w:rsidR="00D24603" w:rsidRPr="00300B99" w:rsidRDefault="00D24603" w:rsidP="00CE3D62">
      <w:pPr>
        <w:spacing w:after="0"/>
      </w:pPr>
      <w:r w:rsidRPr="00300B99">
        <w:br w:type="page"/>
      </w:r>
      <w:r w:rsidR="00CE3D62">
        <w:rPr>
          <w:b/>
          <w:bCs/>
        </w:rPr>
        <w:lastRenderedPageBreak/>
        <w:t xml:space="preserve">Supplementary </w:t>
      </w:r>
      <w:r w:rsidRPr="00300B99">
        <w:rPr>
          <w:b/>
          <w:bCs/>
        </w:rPr>
        <w:t xml:space="preserve">Table </w:t>
      </w:r>
      <w:r w:rsidR="00A87FBF">
        <w:rPr>
          <w:b/>
          <w:bCs/>
        </w:rPr>
        <w:t>2</w:t>
      </w:r>
      <w:r w:rsidRPr="00300B99">
        <w:rPr>
          <w:b/>
          <w:bCs/>
        </w:rPr>
        <w:t>3.</w:t>
      </w:r>
      <w:r w:rsidRPr="00300B99">
        <w:t xml:space="preserve"> Net benefits (million</w:t>
      </w:r>
      <w:r w:rsidR="00A87FBF">
        <w:t xml:space="preserve"> US</w:t>
      </w:r>
      <w:r w:rsidRPr="00300B99">
        <w:t>$) at willingness-to-pay threshold $100,000.</w:t>
      </w:r>
    </w:p>
    <w:tbl>
      <w:tblPr>
        <w:tblW w:w="4737" w:type="pct"/>
        <w:tblLook w:val="04A0" w:firstRow="1" w:lastRow="0" w:firstColumn="1" w:lastColumn="0" w:noHBand="0" w:noVBand="1"/>
      </w:tblPr>
      <w:tblGrid>
        <w:gridCol w:w="1297"/>
        <w:gridCol w:w="1440"/>
        <w:gridCol w:w="1440"/>
        <w:gridCol w:w="1439"/>
        <w:gridCol w:w="1439"/>
        <w:gridCol w:w="1730"/>
        <w:gridCol w:w="1437"/>
      </w:tblGrid>
      <w:tr w:rsidR="00D24603" w:rsidRPr="0090746C" w14:paraId="45C60598" w14:textId="77777777" w:rsidTr="00CE3D62">
        <w:trPr>
          <w:trHeight w:val="600"/>
        </w:trPr>
        <w:tc>
          <w:tcPr>
            <w:tcW w:w="634" w:type="pct"/>
            <w:tcBorders>
              <w:top w:val="single" w:sz="4" w:space="0" w:color="auto"/>
              <w:left w:val="single" w:sz="4" w:space="0" w:color="auto"/>
              <w:bottom w:val="single" w:sz="4" w:space="0" w:color="auto"/>
              <w:right w:val="single" w:sz="4" w:space="0" w:color="auto"/>
            </w:tcBorders>
            <w:noWrap/>
            <w:vAlign w:val="center"/>
            <w:hideMark/>
          </w:tcPr>
          <w:p w14:paraId="55E5D159" w14:textId="77777777" w:rsidR="00D24603" w:rsidRPr="00B25E49" w:rsidRDefault="00D24603" w:rsidP="00CE3D62">
            <w:pPr>
              <w:spacing w:after="0"/>
              <w:rPr>
                <w:rFonts w:ascii="Calibri" w:eastAsia="Times New Roman" w:hAnsi="Calibri" w:cs="Calibri"/>
                <w:b/>
                <w:bCs/>
                <w:color w:val="000000"/>
                <w:kern w:val="0"/>
                <w:szCs w:val="20"/>
                <w14:ligatures w14:val="none"/>
              </w:rPr>
            </w:pPr>
            <w:bookmarkStart w:id="48" w:name="_Hlk205307371"/>
            <w:r w:rsidRPr="00B25E49">
              <w:rPr>
                <w:rFonts w:ascii="Calibri" w:eastAsia="Times New Roman" w:hAnsi="Calibri" w:cs="Calibri"/>
                <w:b/>
                <w:bCs/>
                <w:color w:val="000000"/>
                <w:kern w:val="0"/>
                <w:szCs w:val="20"/>
                <w14:ligatures w14:val="none"/>
              </w:rPr>
              <w:t>Community</w:t>
            </w:r>
          </w:p>
        </w:tc>
        <w:tc>
          <w:tcPr>
            <w:tcW w:w="704" w:type="pct"/>
            <w:tcBorders>
              <w:top w:val="single" w:sz="4" w:space="0" w:color="auto"/>
              <w:left w:val="nil"/>
              <w:bottom w:val="single" w:sz="4" w:space="0" w:color="auto"/>
              <w:right w:val="single" w:sz="4" w:space="0" w:color="auto"/>
            </w:tcBorders>
            <w:vAlign w:val="center"/>
            <w:hideMark/>
          </w:tcPr>
          <w:p w14:paraId="6C9D2FAD" w14:textId="77777777" w:rsidR="00D24603" w:rsidRPr="0090746C" w:rsidRDefault="00D24603" w:rsidP="00CE3D62">
            <w:pPr>
              <w:spacing w:after="0"/>
              <w:jc w:val="center"/>
              <w:rPr>
                <w:rFonts w:ascii="Calibri" w:eastAsia="Times New Roman" w:hAnsi="Calibri" w:cs="Calibri"/>
                <w:color w:val="000000"/>
                <w:kern w:val="0"/>
                <w:sz w:val="22"/>
                <w:szCs w:val="22"/>
                <w14:ligatures w14:val="none"/>
              </w:rPr>
            </w:pPr>
            <w:r w:rsidRPr="00622422">
              <w:rPr>
                <w:rFonts w:ascii="Calibri" w:eastAsia="Times New Roman" w:hAnsi="Calibri" w:cs="Calibri"/>
                <w:b/>
                <w:bCs/>
                <w:color w:val="000000"/>
                <w:kern w:val="0"/>
                <w:sz w:val="16"/>
                <w:szCs w:val="16"/>
                <w14:ligatures w14:val="none"/>
              </w:rPr>
              <w:t>Maintain</w:t>
            </w:r>
            <w:r w:rsidRPr="00622422">
              <w:rPr>
                <w:rFonts w:ascii="Calibri" w:eastAsia="Times New Roman" w:hAnsi="Calibri" w:cs="Calibri"/>
                <w:b/>
                <w:bCs/>
                <w:color w:val="000000"/>
                <w:kern w:val="0"/>
                <w:sz w:val="16"/>
                <w:szCs w:val="16"/>
                <w14:ligatures w14:val="none"/>
              </w:rPr>
              <w:br/>
              <w:t>20</w:t>
            </w:r>
            <w:r>
              <w:rPr>
                <w:rFonts w:ascii="Calibri" w:eastAsia="Times New Roman" w:hAnsi="Calibri" w:cs="Calibri"/>
                <w:b/>
                <w:bCs/>
                <w:color w:val="000000"/>
                <w:kern w:val="0"/>
                <w:sz w:val="16"/>
                <w:szCs w:val="16"/>
                <w14:ligatures w14:val="none"/>
              </w:rPr>
              <w:t>24</w:t>
            </w:r>
            <w:r w:rsidRPr="00622422">
              <w:rPr>
                <w:rFonts w:ascii="Calibri" w:eastAsia="Times New Roman" w:hAnsi="Calibri" w:cs="Calibri"/>
                <w:b/>
                <w:bCs/>
                <w:color w:val="000000"/>
                <w:kern w:val="0"/>
                <w:sz w:val="16"/>
                <w:szCs w:val="16"/>
                <w14:ligatures w14:val="none"/>
              </w:rPr>
              <w:t xml:space="preserve"> EBP Levels</w:t>
            </w:r>
            <w:r>
              <w:rPr>
                <w:rFonts w:ascii="Calibri" w:eastAsia="Times New Roman" w:hAnsi="Calibri" w:cs="Calibri"/>
                <w:b/>
                <w:bCs/>
                <w:color w:val="000000"/>
                <w:kern w:val="0"/>
                <w:sz w:val="16"/>
                <w:szCs w:val="16"/>
                <w14:ligatures w14:val="none"/>
              </w:rPr>
              <w:t xml:space="preserve"> (Scenario 1)</w:t>
            </w:r>
          </w:p>
        </w:tc>
        <w:tc>
          <w:tcPr>
            <w:tcW w:w="704" w:type="pct"/>
            <w:tcBorders>
              <w:top w:val="single" w:sz="4" w:space="0" w:color="auto"/>
              <w:left w:val="nil"/>
              <w:bottom w:val="single" w:sz="4" w:space="0" w:color="auto"/>
              <w:right w:val="single" w:sz="4" w:space="0" w:color="auto"/>
            </w:tcBorders>
            <w:vAlign w:val="center"/>
            <w:hideMark/>
          </w:tcPr>
          <w:p w14:paraId="653AF2B6" w14:textId="77777777" w:rsidR="00D24603" w:rsidRPr="0090746C" w:rsidRDefault="00D24603" w:rsidP="00CE3D62">
            <w:pPr>
              <w:spacing w:after="0"/>
              <w:jc w:val="center"/>
              <w:rPr>
                <w:rFonts w:ascii="Calibri" w:eastAsia="Times New Roman" w:hAnsi="Calibri" w:cs="Calibri"/>
                <w:color w:val="000000"/>
                <w:kern w:val="0"/>
                <w:sz w:val="22"/>
                <w:szCs w:val="22"/>
                <w14:ligatures w14:val="none"/>
              </w:rPr>
            </w:pPr>
            <w:r w:rsidRPr="00622422">
              <w:rPr>
                <w:rFonts w:ascii="Calibri" w:eastAsia="Times New Roman" w:hAnsi="Calibri" w:cs="Calibri"/>
                <w:b/>
                <w:bCs/>
                <w:color w:val="000000"/>
                <w:kern w:val="0"/>
                <w:sz w:val="16"/>
                <w:szCs w:val="16"/>
                <w14:ligatures w14:val="none"/>
              </w:rPr>
              <w:t>Improved</w:t>
            </w:r>
            <w:r w:rsidRPr="00622422">
              <w:rPr>
                <w:rFonts w:ascii="Calibri" w:eastAsia="Times New Roman" w:hAnsi="Calibri" w:cs="Calibri"/>
                <w:b/>
                <w:bCs/>
                <w:color w:val="000000"/>
                <w:kern w:val="0"/>
                <w:sz w:val="16"/>
                <w:szCs w:val="16"/>
                <w14:ligatures w14:val="none"/>
              </w:rPr>
              <w:br/>
              <w:t>Naloxone</w:t>
            </w:r>
            <w:r>
              <w:rPr>
                <w:rFonts w:ascii="Calibri" w:eastAsia="Times New Roman" w:hAnsi="Calibri" w:cs="Calibri"/>
                <w:b/>
                <w:bCs/>
                <w:color w:val="000000"/>
                <w:kern w:val="0"/>
                <w:sz w:val="16"/>
                <w:szCs w:val="16"/>
                <w14:ligatures w14:val="none"/>
              </w:rPr>
              <w:t xml:space="preserve"> (Scenario 2)</w:t>
            </w:r>
          </w:p>
        </w:tc>
        <w:tc>
          <w:tcPr>
            <w:tcW w:w="704" w:type="pct"/>
            <w:tcBorders>
              <w:top w:val="single" w:sz="4" w:space="0" w:color="auto"/>
              <w:left w:val="nil"/>
              <w:bottom w:val="single" w:sz="4" w:space="0" w:color="auto"/>
              <w:right w:val="single" w:sz="4" w:space="0" w:color="auto"/>
            </w:tcBorders>
            <w:vAlign w:val="center"/>
            <w:hideMark/>
          </w:tcPr>
          <w:p w14:paraId="217E1B7E" w14:textId="77777777" w:rsidR="00D24603" w:rsidRPr="0090746C" w:rsidRDefault="00D24603" w:rsidP="00CE3D62">
            <w:pPr>
              <w:spacing w:after="0"/>
              <w:jc w:val="center"/>
              <w:rPr>
                <w:rFonts w:ascii="Calibri" w:eastAsia="Times New Roman" w:hAnsi="Calibri" w:cs="Calibri"/>
                <w:color w:val="000000"/>
                <w:kern w:val="0"/>
                <w:sz w:val="22"/>
                <w:szCs w:val="22"/>
                <w14:ligatures w14:val="none"/>
              </w:rPr>
            </w:pPr>
            <w:r w:rsidRPr="00622422">
              <w:rPr>
                <w:rFonts w:ascii="Calibri" w:eastAsia="Times New Roman" w:hAnsi="Calibri" w:cs="Calibri"/>
                <w:b/>
                <w:bCs/>
                <w:color w:val="000000"/>
                <w:kern w:val="0"/>
                <w:sz w:val="16"/>
                <w:szCs w:val="16"/>
                <w14:ligatures w14:val="none"/>
              </w:rPr>
              <w:t>Improved</w:t>
            </w:r>
            <w:r w:rsidRPr="00622422">
              <w:rPr>
                <w:rFonts w:ascii="Calibri" w:eastAsia="Times New Roman" w:hAnsi="Calibri" w:cs="Calibri"/>
                <w:b/>
                <w:bCs/>
                <w:color w:val="000000"/>
                <w:kern w:val="0"/>
                <w:sz w:val="16"/>
                <w:szCs w:val="16"/>
                <w14:ligatures w14:val="none"/>
              </w:rPr>
              <w:br/>
              <w:t>Retention</w:t>
            </w:r>
            <w:r>
              <w:rPr>
                <w:rFonts w:ascii="Calibri" w:eastAsia="Times New Roman" w:hAnsi="Calibri" w:cs="Calibri"/>
                <w:b/>
                <w:bCs/>
                <w:color w:val="000000"/>
                <w:kern w:val="0"/>
                <w:sz w:val="16"/>
                <w:szCs w:val="16"/>
                <w14:ligatures w14:val="none"/>
              </w:rPr>
              <w:t xml:space="preserve"> (Scenario 3)</w:t>
            </w:r>
          </w:p>
        </w:tc>
        <w:tc>
          <w:tcPr>
            <w:tcW w:w="704" w:type="pct"/>
            <w:tcBorders>
              <w:top w:val="single" w:sz="4" w:space="0" w:color="auto"/>
              <w:left w:val="nil"/>
              <w:bottom w:val="single" w:sz="4" w:space="0" w:color="auto"/>
              <w:right w:val="single" w:sz="4" w:space="0" w:color="auto"/>
            </w:tcBorders>
            <w:vAlign w:val="center"/>
            <w:hideMark/>
          </w:tcPr>
          <w:p w14:paraId="7DF16F69" w14:textId="77777777" w:rsidR="00D24603" w:rsidRDefault="00D24603" w:rsidP="00CE3D62">
            <w:pPr>
              <w:spacing w:after="0"/>
              <w:jc w:val="center"/>
              <w:rPr>
                <w:rFonts w:ascii="Calibri" w:eastAsia="Times New Roman" w:hAnsi="Calibri" w:cs="Calibri"/>
                <w:b/>
                <w:bCs/>
                <w:color w:val="000000"/>
                <w:kern w:val="0"/>
                <w:sz w:val="16"/>
                <w:szCs w:val="16"/>
                <w14:ligatures w14:val="none"/>
              </w:rPr>
            </w:pPr>
            <w:r w:rsidRPr="00622422">
              <w:rPr>
                <w:rFonts w:ascii="Calibri" w:eastAsia="Times New Roman" w:hAnsi="Calibri" w:cs="Calibri"/>
                <w:b/>
                <w:bCs/>
                <w:color w:val="000000"/>
                <w:kern w:val="0"/>
                <w:sz w:val="16"/>
                <w:szCs w:val="16"/>
                <w14:ligatures w14:val="none"/>
              </w:rPr>
              <w:t>Improved</w:t>
            </w:r>
            <w:r w:rsidRPr="00622422">
              <w:rPr>
                <w:rFonts w:ascii="Calibri" w:eastAsia="Times New Roman" w:hAnsi="Calibri" w:cs="Calibri"/>
                <w:b/>
                <w:bCs/>
                <w:color w:val="000000"/>
                <w:kern w:val="0"/>
                <w:sz w:val="16"/>
                <w:szCs w:val="16"/>
                <w14:ligatures w14:val="none"/>
              </w:rPr>
              <w:br/>
              <w:t>Initiation</w:t>
            </w:r>
          </w:p>
          <w:p w14:paraId="324C09A7" w14:textId="77777777" w:rsidR="00D24603" w:rsidRPr="0090746C" w:rsidRDefault="00D24603" w:rsidP="00CE3D62">
            <w:pPr>
              <w:spacing w:after="0"/>
              <w:jc w:val="center"/>
              <w:rPr>
                <w:rFonts w:ascii="Calibri" w:eastAsia="Times New Roman" w:hAnsi="Calibri" w:cs="Calibri"/>
                <w:color w:val="000000"/>
                <w:kern w:val="0"/>
                <w:sz w:val="22"/>
                <w:szCs w:val="22"/>
                <w14:ligatures w14:val="none"/>
              </w:rPr>
            </w:pPr>
            <w:r>
              <w:rPr>
                <w:rFonts w:ascii="Calibri" w:eastAsia="Times New Roman" w:hAnsi="Calibri" w:cs="Calibri"/>
                <w:b/>
                <w:bCs/>
                <w:color w:val="000000"/>
                <w:kern w:val="0"/>
                <w:sz w:val="16"/>
                <w:szCs w:val="16"/>
                <w14:ligatures w14:val="none"/>
              </w:rPr>
              <w:t>(Scenario 4)</w:t>
            </w:r>
          </w:p>
        </w:tc>
        <w:tc>
          <w:tcPr>
            <w:tcW w:w="846" w:type="pct"/>
            <w:tcBorders>
              <w:top w:val="single" w:sz="4" w:space="0" w:color="auto"/>
              <w:left w:val="nil"/>
              <w:bottom w:val="single" w:sz="4" w:space="0" w:color="auto"/>
              <w:right w:val="single" w:sz="4" w:space="0" w:color="auto"/>
            </w:tcBorders>
            <w:vAlign w:val="center"/>
            <w:hideMark/>
          </w:tcPr>
          <w:p w14:paraId="2A1B24E9" w14:textId="77777777" w:rsidR="00D24603" w:rsidRPr="0090746C" w:rsidRDefault="00D24603" w:rsidP="00CE3D62">
            <w:pPr>
              <w:spacing w:after="0"/>
              <w:jc w:val="center"/>
              <w:rPr>
                <w:rFonts w:ascii="Calibri" w:eastAsia="Times New Roman" w:hAnsi="Calibri" w:cs="Calibri"/>
                <w:color w:val="000000"/>
                <w:kern w:val="0"/>
                <w:sz w:val="22"/>
                <w:szCs w:val="22"/>
                <w14:ligatures w14:val="none"/>
              </w:rPr>
            </w:pPr>
            <w:r w:rsidRPr="00622422">
              <w:rPr>
                <w:rFonts w:ascii="Calibri" w:eastAsia="Times New Roman" w:hAnsi="Calibri" w:cs="Calibri"/>
                <w:b/>
                <w:bCs/>
                <w:color w:val="000000"/>
                <w:kern w:val="0"/>
                <w:sz w:val="16"/>
                <w:szCs w:val="16"/>
                <w14:ligatures w14:val="none"/>
              </w:rPr>
              <w:t>Improved</w:t>
            </w:r>
            <w:r w:rsidRPr="00622422">
              <w:rPr>
                <w:rFonts w:ascii="Calibri" w:eastAsia="Times New Roman" w:hAnsi="Calibri" w:cs="Calibri"/>
                <w:b/>
                <w:bCs/>
                <w:color w:val="000000"/>
                <w:kern w:val="0"/>
                <w:sz w:val="16"/>
                <w:szCs w:val="16"/>
                <w14:ligatures w14:val="none"/>
              </w:rPr>
              <w:br/>
              <w:t>Initiation &amp; Retention</w:t>
            </w:r>
            <w:r>
              <w:rPr>
                <w:rFonts w:ascii="Calibri" w:eastAsia="Times New Roman" w:hAnsi="Calibri" w:cs="Calibri"/>
                <w:b/>
                <w:bCs/>
                <w:color w:val="000000"/>
                <w:kern w:val="0"/>
                <w:sz w:val="16"/>
                <w:szCs w:val="16"/>
                <w14:ligatures w14:val="none"/>
              </w:rPr>
              <w:t xml:space="preserve"> (Scenario 5)</w:t>
            </w:r>
          </w:p>
        </w:tc>
        <w:tc>
          <w:tcPr>
            <w:tcW w:w="703" w:type="pct"/>
            <w:tcBorders>
              <w:top w:val="single" w:sz="4" w:space="0" w:color="auto"/>
              <w:left w:val="nil"/>
              <w:bottom w:val="single" w:sz="4" w:space="0" w:color="auto"/>
              <w:right w:val="single" w:sz="4" w:space="0" w:color="auto"/>
            </w:tcBorders>
            <w:vAlign w:val="center"/>
            <w:hideMark/>
          </w:tcPr>
          <w:p w14:paraId="6E63BEEE" w14:textId="77777777" w:rsidR="00D24603" w:rsidRDefault="00D24603" w:rsidP="00CE3D62">
            <w:pPr>
              <w:spacing w:after="0"/>
              <w:jc w:val="center"/>
              <w:rPr>
                <w:rFonts w:ascii="Calibri" w:eastAsia="Times New Roman" w:hAnsi="Calibri" w:cs="Calibri"/>
                <w:b/>
                <w:bCs/>
                <w:color w:val="000000"/>
                <w:kern w:val="0"/>
                <w:sz w:val="16"/>
                <w:szCs w:val="16"/>
                <w14:ligatures w14:val="none"/>
              </w:rPr>
            </w:pPr>
            <w:r w:rsidRPr="00622422">
              <w:rPr>
                <w:rFonts w:ascii="Calibri" w:eastAsia="Times New Roman" w:hAnsi="Calibri" w:cs="Calibri"/>
                <w:b/>
                <w:bCs/>
                <w:color w:val="000000"/>
                <w:kern w:val="0"/>
                <w:sz w:val="16"/>
                <w:szCs w:val="16"/>
                <w14:ligatures w14:val="none"/>
              </w:rPr>
              <w:t>Improved</w:t>
            </w:r>
            <w:r w:rsidRPr="00622422">
              <w:rPr>
                <w:rFonts w:ascii="Calibri" w:eastAsia="Times New Roman" w:hAnsi="Calibri" w:cs="Calibri"/>
                <w:b/>
                <w:bCs/>
                <w:color w:val="000000"/>
                <w:kern w:val="0"/>
                <w:sz w:val="16"/>
                <w:szCs w:val="16"/>
                <w14:ligatures w14:val="none"/>
              </w:rPr>
              <w:br/>
              <w:t>All</w:t>
            </w:r>
          </w:p>
          <w:p w14:paraId="03A0AAD3" w14:textId="77777777" w:rsidR="00D24603" w:rsidRPr="0090746C" w:rsidRDefault="00D24603" w:rsidP="00CE3D62">
            <w:pPr>
              <w:spacing w:after="0"/>
              <w:jc w:val="center"/>
              <w:rPr>
                <w:rFonts w:ascii="Calibri" w:eastAsia="Times New Roman" w:hAnsi="Calibri" w:cs="Calibri"/>
                <w:color w:val="000000"/>
                <w:kern w:val="0"/>
                <w:sz w:val="22"/>
                <w:szCs w:val="22"/>
                <w14:ligatures w14:val="none"/>
              </w:rPr>
            </w:pPr>
            <w:r>
              <w:rPr>
                <w:rFonts w:ascii="Calibri" w:eastAsia="Times New Roman" w:hAnsi="Calibri" w:cs="Calibri"/>
                <w:b/>
                <w:bCs/>
                <w:color w:val="000000"/>
                <w:kern w:val="0"/>
                <w:sz w:val="16"/>
                <w:szCs w:val="16"/>
                <w14:ligatures w14:val="none"/>
              </w:rPr>
              <w:t>(Scenario 6)</w:t>
            </w:r>
          </w:p>
        </w:tc>
      </w:tr>
      <w:tr w:rsidR="00D24603" w:rsidRPr="0090746C" w14:paraId="627AA2EB" w14:textId="77777777" w:rsidTr="00435936">
        <w:trPr>
          <w:trHeight w:val="300"/>
        </w:trPr>
        <w:tc>
          <w:tcPr>
            <w:tcW w:w="634" w:type="pct"/>
            <w:tcBorders>
              <w:top w:val="nil"/>
              <w:left w:val="single" w:sz="4" w:space="0" w:color="auto"/>
              <w:bottom w:val="single" w:sz="4" w:space="0" w:color="auto"/>
              <w:right w:val="single" w:sz="4" w:space="0" w:color="auto"/>
            </w:tcBorders>
            <w:noWrap/>
            <w:vAlign w:val="bottom"/>
            <w:hideMark/>
          </w:tcPr>
          <w:p w14:paraId="58D160C0" w14:textId="77777777" w:rsidR="00D24603" w:rsidRPr="0090746C"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1</w:t>
            </w:r>
            <w:r>
              <w:rPr>
                <w:rFonts w:ascii="Calibri" w:eastAsia="Times New Roman" w:hAnsi="Calibri" w:cs="Calibri"/>
                <w:color w:val="000000"/>
                <w:kern w:val="0"/>
                <w:sz w:val="22"/>
                <w:szCs w:val="22"/>
                <w14:ligatures w14:val="none"/>
              </w:rPr>
              <w:t>*</w:t>
            </w:r>
          </w:p>
        </w:tc>
        <w:tc>
          <w:tcPr>
            <w:tcW w:w="704" w:type="pct"/>
            <w:tcBorders>
              <w:top w:val="nil"/>
              <w:left w:val="nil"/>
              <w:bottom w:val="single" w:sz="4" w:space="0" w:color="auto"/>
              <w:right w:val="single" w:sz="4" w:space="0" w:color="auto"/>
            </w:tcBorders>
            <w:noWrap/>
            <w:hideMark/>
          </w:tcPr>
          <w:p w14:paraId="737978FE"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4,331 </w:t>
            </w:r>
          </w:p>
        </w:tc>
        <w:tc>
          <w:tcPr>
            <w:tcW w:w="704" w:type="pct"/>
            <w:tcBorders>
              <w:top w:val="nil"/>
              <w:left w:val="nil"/>
              <w:bottom w:val="single" w:sz="4" w:space="0" w:color="auto"/>
              <w:right w:val="single" w:sz="4" w:space="0" w:color="auto"/>
            </w:tcBorders>
            <w:noWrap/>
            <w:hideMark/>
          </w:tcPr>
          <w:p w14:paraId="1623A0E9"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4,331 </w:t>
            </w:r>
          </w:p>
        </w:tc>
        <w:tc>
          <w:tcPr>
            <w:tcW w:w="704" w:type="pct"/>
            <w:tcBorders>
              <w:top w:val="nil"/>
              <w:left w:val="nil"/>
              <w:bottom w:val="single" w:sz="4" w:space="0" w:color="auto"/>
              <w:right w:val="single" w:sz="4" w:space="0" w:color="auto"/>
            </w:tcBorders>
            <w:noWrap/>
            <w:hideMark/>
          </w:tcPr>
          <w:p w14:paraId="6FE0CF34"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4,365 </w:t>
            </w:r>
          </w:p>
        </w:tc>
        <w:tc>
          <w:tcPr>
            <w:tcW w:w="704" w:type="pct"/>
            <w:tcBorders>
              <w:top w:val="nil"/>
              <w:left w:val="nil"/>
              <w:bottom w:val="single" w:sz="4" w:space="0" w:color="auto"/>
              <w:right w:val="single" w:sz="4" w:space="0" w:color="auto"/>
            </w:tcBorders>
            <w:noWrap/>
            <w:hideMark/>
          </w:tcPr>
          <w:p w14:paraId="1E79DF73"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4,514 </w:t>
            </w:r>
          </w:p>
        </w:tc>
        <w:tc>
          <w:tcPr>
            <w:tcW w:w="846" w:type="pct"/>
            <w:tcBorders>
              <w:top w:val="nil"/>
              <w:left w:val="nil"/>
              <w:bottom w:val="single" w:sz="4" w:space="0" w:color="auto"/>
              <w:right w:val="single" w:sz="4" w:space="0" w:color="auto"/>
            </w:tcBorders>
            <w:noWrap/>
            <w:hideMark/>
          </w:tcPr>
          <w:p w14:paraId="447E056F"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4,562 </w:t>
            </w:r>
          </w:p>
        </w:tc>
        <w:tc>
          <w:tcPr>
            <w:tcW w:w="703" w:type="pct"/>
            <w:tcBorders>
              <w:top w:val="nil"/>
              <w:left w:val="nil"/>
              <w:bottom w:val="single" w:sz="4" w:space="0" w:color="auto"/>
              <w:right w:val="single" w:sz="4" w:space="0" w:color="auto"/>
            </w:tcBorders>
            <w:noWrap/>
            <w:hideMark/>
          </w:tcPr>
          <w:p w14:paraId="31A3582E" w14:textId="77777777" w:rsidR="00D24603" w:rsidRPr="00A1732F"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b/>
                <w:bCs/>
                <w:sz w:val="22"/>
                <w:szCs w:val="22"/>
              </w:rPr>
              <w:t xml:space="preserve"> 4,562 </w:t>
            </w:r>
          </w:p>
        </w:tc>
      </w:tr>
      <w:tr w:rsidR="00D24603" w:rsidRPr="0090746C" w14:paraId="02333BF2" w14:textId="77777777" w:rsidTr="00435936">
        <w:trPr>
          <w:trHeight w:val="300"/>
        </w:trPr>
        <w:tc>
          <w:tcPr>
            <w:tcW w:w="634" w:type="pct"/>
            <w:tcBorders>
              <w:top w:val="nil"/>
              <w:left w:val="single" w:sz="4" w:space="0" w:color="auto"/>
              <w:bottom w:val="single" w:sz="4" w:space="0" w:color="auto"/>
              <w:right w:val="single" w:sz="4" w:space="0" w:color="auto"/>
            </w:tcBorders>
            <w:noWrap/>
            <w:vAlign w:val="bottom"/>
            <w:hideMark/>
          </w:tcPr>
          <w:p w14:paraId="15C8F2C8" w14:textId="77777777" w:rsidR="00D24603" w:rsidRPr="0090746C"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2</w:t>
            </w:r>
          </w:p>
        </w:tc>
        <w:tc>
          <w:tcPr>
            <w:tcW w:w="704" w:type="pct"/>
            <w:tcBorders>
              <w:top w:val="nil"/>
              <w:left w:val="nil"/>
              <w:bottom w:val="single" w:sz="4" w:space="0" w:color="auto"/>
              <w:right w:val="single" w:sz="4" w:space="0" w:color="auto"/>
            </w:tcBorders>
            <w:noWrap/>
            <w:hideMark/>
          </w:tcPr>
          <w:p w14:paraId="59169B3A"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6,029 </w:t>
            </w:r>
          </w:p>
        </w:tc>
        <w:tc>
          <w:tcPr>
            <w:tcW w:w="704" w:type="pct"/>
            <w:tcBorders>
              <w:top w:val="nil"/>
              <w:left w:val="nil"/>
              <w:bottom w:val="single" w:sz="4" w:space="0" w:color="auto"/>
              <w:right w:val="single" w:sz="4" w:space="0" w:color="auto"/>
            </w:tcBorders>
            <w:noWrap/>
            <w:hideMark/>
          </w:tcPr>
          <w:p w14:paraId="534DDF3A"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6,030 </w:t>
            </w:r>
          </w:p>
        </w:tc>
        <w:tc>
          <w:tcPr>
            <w:tcW w:w="704" w:type="pct"/>
            <w:tcBorders>
              <w:top w:val="nil"/>
              <w:left w:val="nil"/>
              <w:bottom w:val="single" w:sz="4" w:space="0" w:color="auto"/>
              <w:right w:val="single" w:sz="4" w:space="0" w:color="auto"/>
            </w:tcBorders>
            <w:noWrap/>
            <w:hideMark/>
          </w:tcPr>
          <w:p w14:paraId="6D79A822"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6,309 </w:t>
            </w:r>
          </w:p>
        </w:tc>
        <w:tc>
          <w:tcPr>
            <w:tcW w:w="704" w:type="pct"/>
            <w:tcBorders>
              <w:top w:val="nil"/>
              <w:left w:val="nil"/>
              <w:bottom w:val="single" w:sz="4" w:space="0" w:color="auto"/>
              <w:right w:val="single" w:sz="4" w:space="0" w:color="auto"/>
            </w:tcBorders>
            <w:noWrap/>
            <w:hideMark/>
          </w:tcPr>
          <w:p w14:paraId="6F34080D"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6,257 </w:t>
            </w:r>
          </w:p>
        </w:tc>
        <w:tc>
          <w:tcPr>
            <w:tcW w:w="846" w:type="pct"/>
            <w:tcBorders>
              <w:top w:val="nil"/>
              <w:left w:val="nil"/>
              <w:bottom w:val="single" w:sz="4" w:space="0" w:color="auto"/>
              <w:right w:val="single" w:sz="4" w:space="0" w:color="auto"/>
            </w:tcBorders>
            <w:noWrap/>
            <w:hideMark/>
          </w:tcPr>
          <w:p w14:paraId="3A25C38C"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6,682 </w:t>
            </w:r>
          </w:p>
        </w:tc>
        <w:tc>
          <w:tcPr>
            <w:tcW w:w="703" w:type="pct"/>
            <w:tcBorders>
              <w:top w:val="nil"/>
              <w:left w:val="nil"/>
              <w:bottom w:val="single" w:sz="4" w:space="0" w:color="auto"/>
              <w:right w:val="single" w:sz="4" w:space="0" w:color="auto"/>
            </w:tcBorders>
            <w:noWrap/>
            <w:hideMark/>
          </w:tcPr>
          <w:p w14:paraId="55CBB031"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6,682 </w:t>
            </w:r>
          </w:p>
        </w:tc>
      </w:tr>
      <w:tr w:rsidR="00D24603" w:rsidRPr="0090746C" w14:paraId="3365C2F8" w14:textId="77777777" w:rsidTr="00435936">
        <w:trPr>
          <w:trHeight w:val="300"/>
        </w:trPr>
        <w:tc>
          <w:tcPr>
            <w:tcW w:w="634" w:type="pct"/>
            <w:tcBorders>
              <w:top w:val="nil"/>
              <w:left w:val="single" w:sz="4" w:space="0" w:color="auto"/>
              <w:bottom w:val="single" w:sz="4" w:space="0" w:color="auto"/>
              <w:right w:val="single" w:sz="4" w:space="0" w:color="auto"/>
            </w:tcBorders>
            <w:noWrap/>
            <w:vAlign w:val="bottom"/>
            <w:hideMark/>
          </w:tcPr>
          <w:p w14:paraId="028F54DC" w14:textId="77777777" w:rsidR="00D24603" w:rsidRPr="0090746C"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3</w:t>
            </w:r>
          </w:p>
        </w:tc>
        <w:tc>
          <w:tcPr>
            <w:tcW w:w="704" w:type="pct"/>
            <w:tcBorders>
              <w:top w:val="nil"/>
              <w:left w:val="nil"/>
              <w:bottom w:val="single" w:sz="4" w:space="0" w:color="auto"/>
              <w:right w:val="single" w:sz="4" w:space="0" w:color="auto"/>
            </w:tcBorders>
            <w:noWrap/>
            <w:hideMark/>
          </w:tcPr>
          <w:p w14:paraId="4FB73A44"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6,242 </w:t>
            </w:r>
          </w:p>
        </w:tc>
        <w:tc>
          <w:tcPr>
            <w:tcW w:w="704" w:type="pct"/>
            <w:tcBorders>
              <w:top w:val="nil"/>
              <w:left w:val="nil"/>
              <w:bottom w:val="single" w:sz="4" w:space="0" w:color="auto"/>
              <w:right w:val="single" w:sz="4" w:space="0" w:color="auto"/>
            </w:tcBorders>
            <w:noWrap/>
            <w:hideMark/>
          </w:tcPr>
          <w:p w14:paraId="434311F9"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6,244 </w:t>
            </w:r>
          </w:p>
        </w:tc>
        <w:tc>
          <w:tcPr>
            <w:tcW w:w="704" w:type="pct"/>
            <w:tcBorders>
              <w:top w:val="nil"/>
              <w:left w:val="nil"/>
              <w:bottom w:val="single" w:sz="4" w:space="0" w:color="auto"/>
              <w:right w:val="single" w:sz="4" w:space="0" w:color="auto"/>
            </w:tcBorders>
            <w:noWrap/>
            <w:hideMark/>
          </w:tcPr>
          <w:p w14:paraId="7F155665"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6,310 </w:t>
            </w:r>
          </w:p>
        </w:tc>
        <w:tc>
          <w:tcPr>
            <w:tcW w:w="704" w:type="pct"/>
            <w:tcBorders>
              <w:top w:val="nil"/>
              <w:left w:val="nil"/>
              <w:bottom w:val="single" w:sz="4" w:space="0" w:color="auto"/>
              <w:right w:val="single" w:sz="4" w:space="0" w:color="auto"/>
            </w:tcBorders>
            <w:noWrap/>
            <w:hideMark/>
          </w:tcPr>
          <w:p w14:paraId="70A051D5"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6,599 </w:t>
            </w:r>
          </w:p>
        </w:tc>
        <w:tc>
          <w:tcPr>
            <w:tcW w:w="846" w:type="pct"/>
            <w:tcBorders>
              <w:top w:val="nil"/>
              <w:left w:val="nil"/>
              <w:bottom w:val="single" w:sz="4" w:space="0" w:color="auto"/>
              <w:right w:val="single" w:sz="4" w:space="0" w:color="auto"/>
            </w:tcBorders>
            <w:noWrap/>
            <w:hideMark/>
          </w:tcPr>
          <w:p w14:paraId="51703D02"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6,828 </w:t>
            </w:r>
          </w:p>
        </w:tc>
        <w:tc>
          <w:tcPr>
            <w:tcW w:w="703" w:type="pct"/>
            <w:tcBorders>
              <w:top w:val="nil"/>
              <w:left w:val="nil"/>
              <w:bottom w:val="single" w:sz="4" w:space="0" w:color="auto"/>
              <w:right w:val="single" w:sz="4" w:space="0" w:color="auto"/>
            </w:tcBorders>
            <w:noWrap/>
            <w:hideMark/>
          </w:tcPr>
          <w:p w14:paraId="59E14D77"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6,831 </w:t>
            </w:r>
          </w:p>
        </w:tc>
      </w:tr>
      <w:tr w:rsidR="00D24603" w:rsidRPr="0090746C" w14:paraId="4D50E92A" w14:textId="77777777" w:rsidTr="00435936">
        <w:trPr>
          <w:trHeight w:val="300"/>
        </w:trPr>
        <w:tc>
          <w:tcPr>
            <w:tcW w:w="634" w:type="pct"/>
            <w:tcBorders>
              <w:top w:val="nil"/>
              <w:left w:val="single" w:sz="4" w:space="0" w:color="auto"/>
              <w:bottom w:val="single" w:sz="4" w:space="0" w:color="auto"/>
              <w:right w:val="single" w:sz="4" w:space="0" w:color="auto"/>
            </w:tcBorders>
            <w:noWrap/>
            <w:vAlign w:val="bottom"/>
            <w:hideMark/>
          </w:tcPr>
          <w:p w14:paraId="61F57DC8" w14:textId="77777777" w:rsidR="00D24603" w:rsidRPr="0090746C"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4</w:t>
            </w:r>
          </w:p>
        </w:tc>
        <w:tc>
          <w:tcPr>
            <w:tcW w:w="704" w:type="pct"/>
            <w:tcBorders>
              <w:top w:val="nil"/>
              <w:left w:val="nil"/>
              <w:bottom w:val="single" w:sz="4" w:space="0" w:color="auto"/>
              <w:right w:val="single" w:sz="4" w:space="0" w:color="auto"/>
            </w:tcBorders>
            <w:noWrap/>
            <w:hideMark/>
          </w:tcPr>
          <w:p w14:paraId="21E74BC2"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3,932 </w:t>
            </w:r>
          </w:p>
        </w:tc>
        <w:tc>
          <w:tcPr>
            <w:tcW w:w="704" w:type="pct"/>
            <w:tcBorders>
              <w:top w:val="nil"/>
              <w:left w:val="nil"/>
              <w:bottom w:val="single" w:sz="4" w:space="0" w:color="auto"/>
              <w:right w:val="single" w:sz="4" w:space="0" w:color="auto"/>
            </w:tcBorders>
            <w:noWrap/>
            <w:hideMark/>
          </w:tcPr>
          <w:p w14:paraId="41520CBF"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3,932 </w:t>
            </w:r>
          </w:p>
        </w:tc>
        <w:tc>
          <w:tcPr>
            <w:tcW w:w="704" w:type="pct"/>
            <w:tcBorders>
              <w:top w:val="nil"/>
              <w:left w:val="nil"/>
              <w:bottom w:val="single" w:sz="4" w:space="0" w:color="auto"/>
              <w:right w:val="single" w:sz="4" w:space="0" w:color="auto"/>
            </w:tcBorders>
            <w:noWrap/>
            <w:hideMark/>
          </w:tcPr>
          <w:p w14:paraId="03BFC8DE"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3,994 </w:t>
            </w:r>
          </w:p>
        </w:tc>
        <w:tc>
          <w:tcPr>
            <w:tcW w:w="704" w:type="pct"/>
            <w:tcBorders>
              <w:top w:val="nil"/>
              <w:left w:val="nil"/>
              <w:bottom w:val="single" w:sz="4" w:space="0" w:color="auto"/>
              <w:right w:val="single" w:sz="4" w:space="0" w:color="auto"/>
            </w:tcBorders>
            <w:noWrap/>
            <w:hideMark/>
          </w:tcPr>
          <w:p w14:paraId="6F899914"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4,086 </w:t>
            </w:r>
          </w:p>
        </w:tc>
        <w:tc>
          <w:tcPr>
            <w:tcW w:w="846" w:type="pct"/>
            <w:tcBorders>
              <w:top w:val="nil"/>
              <w:left w:val="nil"/>
              <w:bottom w:val="single" w:sz="4" w:space="0" w:color="auto"/>
              <w:right w:val="single" w:sz="4" w:space="0" w:color="auto"/>
            </w:tcBorders>
            <w:noWrap/>
            <w:hideMark/>
          </w:tcPr>
          <w:p w14:paraId="0CC28975"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4,171 </w:t>
            </w:r>
          </w:p>
        </w:tc>
        <w:tc>
          <w:tcPr>
            <w:tcW w:w="703" w:type="pct"/>
            <w:tcBorders>
              <w:top w:val="nil"/>
              <w:left w:val="nil"/>
              <w:bottom w:val="single" w:sz="4" w:space="0" w:color="auto"/>
              <w:right w:val="single" w:sz="4" w:space="0" w:color="auto"/>
            </w:tcBorders>
            <w:noWrap/>
            <w:hideMark/>
          </w:tcPr>
          <w:p w14:paraId="1E200447"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4,171 </w:t>
            </w:r>
          </w:p>
        </w:tc>
      </w:tr>
      <w:tr w:rsidR="00D24603" w:rsidRPr="0090746C" w14:paraId="3823FC27" w14:textId="77777777" w:rsidTr="00435936">
        <w:trPr>
          <w:trHeight w:val="300"/>
        </w:trPr>
        <w:tc>
          <w:tcPr>
            <w:tcW w:w="634" w:type="pct"/>
            <w:tcBorders>
              <w:top w:val="nil"/>
              <w:left w:val="single" w:sz="4" w:space="0" w:color="auto"/>
              <w:bottom w:val="single" w:sz="4" w:space="0" w:color="auto"/>
              <w:right w:val="single" w:sz="4" w:space="0" w:color="auto"/>
            </w:tcBorders>
            <w:noWrap/>
            <w:vAlign w:val="bottom"/>
            <w:hideMark/>
          </w:tcPr>
          <w:p w14:paraId="340DD423" w14:textId="77777777" w:rsidR="00D24603" w:rsidRPr="0090746C"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5</w:t>
            </w:r>
            <w:r>
              <w:rPr>
                <w:rFonts w:ascii="Calibri" w:eastAsia="Times New Roman" w:hAnsi="Calibri" w:cs="Calibri"/>
                <w:color w:val="000000"/>
                <w:kern w:val="0"/>
                <w:sz w:val="22"/>
                <w:szCs w:val="22"/>
                <w14:ligatures w14:val="none"/>
              </w:rPr>
              <w:t>*</w:t>
            </w:r>
          </w:p>
        </w:tc>
        <w:tc>
          <w:tcPr>
            <w:tcW w:w="704" w:type="pct"/>
            <w:tcBorders>
              <w:top w:val="nil"/>
              <w:left w:val="nil"/>
              <w:bottom w:val="single" w:sz="4" w:space="0" w:color="auto"/>
              <w:right w:val="single" w:sz="4" w:space="0" w:color="auto"/>
            </w:tcBorders>
            <w:noWrap/>
            <w:hideMark/>
          </w:tcPr>
          <w:p w14:paraId="1190216D"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2,623 </w:t>
            </w:r>
          </w:p>
        </w:tc>
        <w:tc>
          <w:tcPr>
            <w:tcW w:w="704" w:type="pct"/>
            <w:tcBorders>
              <w:top w:val="nil"/>
              <w:left w:val="nil"/>
              <w:bottom w:val="single" w:sz="4" w:space="0" w:color="auto"/>
              <w:right w:val="single" w:sz="4" w:space="0" w:color="auto"/>
            </w:tcBorders>
            <w:noWrap/>
            <w:hideMark/>
          </w:tcPr>
          <w:p w14:paraId="615F1CDA"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2,623 </w:t>
            </w:r>
          </w:p>
        </w:tc>
        <w:tc>
          <w:tcPr>
            <w:tcW w:w="704" w:type="pct"/>
            <w:tcBorders>
              <w:top w:val="nil"/>
              <w:left w:val="nil"/>
              <w:bottom w:val="single" w:sz="4" w:space="0" w:color="auto"/>
              <w:right w:val="single" w:sz="4" w:space="0" w:color="auto"/>
            </w:tcBorders>
            <w:noWrap/>
            <w:hideMark/>
          </w:tcPr>
          <w:p w14:paraId="18E2B143"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2,674 </w:t>
            </w:r>
          </w:p>
        </w:tc>
        <w:tc>
          <w:tcPr>
            <w:tcW w:w="704" w:type="pct"/>
            <w:tcBorders>
              <w:top w:val="nil"/>
              <w:left w:val="nil"/>
              <w:bottom w:val="single" w:sz="4" w:space="0" w:color="auto"/>
              <w:right w:val="single" w:sz="4" w:space="0" w:color="auto"/>
            </w:tcBorders>
            <w:noWrap/>
            <w:hideMark/>
          </w:tcPr>
          <w:p w14:paraId="4BB7178E"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2,722 </w:t>
            </w:r>
          </w:p>
        </w:tc>
        <w:tc>
          <w:tcPr>
            <w:tcW w:w="846" w:type="pct"/>
            <w:tcBorders>
              <w:top w:val="nil"/>
              <w:left w:val="nil"/>
              <w:bottom w:val="single" w:sz="4" w:space="0" w:color="auto"/>
              <w:right w:val="single" w:sz="4" w:space="0" w:color="auto"/>
            </w:tcBorders>
            <w:noWrap/>
            <w:hideMark/>
          </w:tcPr>
          <w:p w14:paraId="4A0F6F9D"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2,784 </w:t>
            </w:r>
          </w:p>
        </w:tc>
        <w:tc>
          <w:tcPr>
            <w:tcW w:w="703" w:type="pct"/>
            <w:tcBorders>
              <w:top w:val="nil"/>
              <w:left w:val="nil"/>
              <w:bottom w:val="single" w:sz="4" w:space="0" w:color="auto"/>
              <w:right w:val="single" w:sz="4" w:space="0" w:color="auto"/>
            </w:tcBorders>
            <w:noWrap/>
          </w:tcPr>
          <w:p w14:paraId="4D39A962" w14:textId="77777777" w:rsidR="00D24603" w:rsidRPr="00A1732F"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b/>
                <w:bCs/>
                <w:sz w:val="22"/>
                <w:szCs w:val="22"/>
              </w:rPr>
              <w:t xml:space="preserve"> 2,784 </w:t>
            </w:r>
          </w:p>
        </w:tc>
      </w:tr>
      <w:tr w:rsidR="00D24603" w:rsidRPr="0090746C" w14:paraId="0C84567F" w14:textId="77777777" w:rsidTr="00435936">
        <w:trPr>
          <w:trHeight w:val="300"/>
        </w:trPr>
        <w:tc>
          <w:tcPr>
            <w:tcW w:w="634" w:type="pct"/>
            <w:tcBorders>
              <w:top w:val="nil"/>
              <w:left w:val="single" w:sz="4" w:space="0" w:color="auto"/>
              <w:bottom w:val="single" w:sz="4" w:space="0" w:color="auto"/>
              <w:right w:val="single" w:sz="4" w:space="0" w:color="auto"/>
            </w:tcBorders>
            <w:noWrap/>
            <w:vAlign w:val="bottom"/>
            <w:hideMark/>
          </w:tcPr>
          <w:p w14:paraId="578D3F0E" w14:textId="77777777" w:rsidR="00D24603" w:rsidRPr="0090746C"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6</w:t>
            </w:r>
          </w:p>
        </w:tc>
        <w:tc>
          <w:tcPr>
            <w:tcW w:w="704" w:type="pct"/>
            <w:tcBorders>
              <w:top w:val="nil"/>
              <w:left w:val="nil"/>
              <w:bottom w:val="single" w:sz="4" w:space="0" w:color="auto"/>
              <w:right w:val="single" w:sz="4" w:space="0" w:color="auto"/>
            </w:tcBorders>
            <w:noWrap/>
            <w:hideMark/>
          </w:tcPr>
          <w:p w14:paraId="60B8E296"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9,744 </w:t>
            </w:r>
          </w:p>
        </w:tc>
        <w:tc>
          <w:tcPr>
            <w:tcW w:w="704" w:type="pct"/>
            <w:tcBorders>
              <w:top w:val="nil"/>
              <w:left w:val="nil"/>
              <w:bottom w:val="single" w:sz="4" w:space="0" w:color="auto"/>
              <w:right w:val="single" w:sz="4" w:space="0" w:color="auto"/>
            </w:tcBorders>
            <w:noWrap/>
            <w:hideMark/>
          </w:tcPr>
          <w:p w14:paraId="2FD980EA"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9,745 </w:t>
            </w:r>
          </w:p>
        </w:tc>
        <w:tc>
          <w:tcPr>
            <w:tcW w:w="704" w:type="pct"/>
            <w:tcBorders>
              <w:top w:val="nil"/>
              <w:left w:val="nil"/>
              <w:bottom w:val="single" w:sz="4" w:space="0" w:color="auto"/>
              <w:right w:val="single" w:sz="4" w:space="0" w:color="auto"/>
            </w:tcBorders>
            <w:noWrap/>
            <w:hideMark/>
          </w:tcPr>
          <w:p w14:paraId="4633647A"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9,904 </w:t>
            </w:r>
          </w:p>
        </w:tc>
        <w:tc>
          <w:tcPr>
            <w:tcW w:w="704" w:type="pct"/>
            <w:tcBorders>
              <w:top w:val="nil"/>
              <w:left w:val="nil"/>
              <w:bottom w:val="single" w:sz="4" w:space="0" w:color="auto"/>
              <w:right w:val="single" w:sz="4" w:space="0" w:color="auto"/>
            </w:tcBorders>
            <w:noWrap/>
            <w:hideMark/>
          </w:tcPr>
          <w:p w14:paraId="3CA2837F"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10,106 </w:t>
            </w:r>
          </w:p>
        </w:tc>
        <w:tc>
          <w:tcPr>
            <w:tcW w:w="846" w:type="pct"/>
            <w:tcBorders>
              <w:top w:val="nil"/>
              <w:left w:val="nil"/>
              <w:bottom w:val="single" w:sz="4" w:space="0" w:color="auto"/>
              <w:right w:val="single" w:sz="4" w:space="0" w:color="auto"/>
            </w:tcBorders>
            <w:noWrap/>
            <w:hideMark/>
          </w:tcPr>
          <w:p w14:paraId="419B7D8C"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10,309 </w:t>
            </w:r>
          </w:p>
        </w:tc>
        <w:tc>
          <w:tcPr>
            <w:tcW w:w="703" w:type="pct"/>
            <w:tcBorders>
              <w:top w:val="nil"/>
              <w:left w:val="nil"/>
              <w:bottom w:val="single" w:sz="4" w:space="0" w:color="auto"/>
              <w:right w:val="single" w:sz="4" w:space="0" w:color="auto"/>
            </w:tcBorders>
            <w:noWrap/>
            <w:hideMark/>
          </w:tcPr>
          <w:p w14:paraId="052C389B"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10,309 </w:t>
            </w:r>
          </w:p>
        </w:tc>
      </w:tr>
      <w:tr w:rsidR="00D24603" w:rsidRPr="0090746C" w14:paraId="3AE96CC1" w14:textId="77777777" w:rsidTr="00435936">
        <w:trPr>
          <w:trHeight w:val="300"/>
        </w:trPr>
        <w:tc>
          <w:tcPr>
            <w:tcW w:w="634" w:type="pct"/>
            <w:tcBorders>
              <w:top w:val="nil"/>
              <w:left w:val="single" w:sz="4" w:space="0" w:color="auto"/>
              <w:bottom w:val="single" w:sz="4" w:space="0" w:color="auto"/>
              <w:right w:val="single" w:sz="4" w:space="0" w:color="auto"/>
            </w:tcBorders>
            <w:noWrap/>
            <w:vAlign w:val="bottom"/>
            <w:hideMark/>
          </w:tcPr>
          <w:p w14:paraId="4BF704DA" w14:textId="77777777" w:rsidR="00D24603" w:rsidRPr="0090746C"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7</w:t>
            </w:r>
            <w:r>
              <w:rPr>
                <w:rFonts w:ascii="Calibri" w:eastAsia="Times New Roman" w:hAnsi="Calibri" w:cs="Calibri"/>
                <w:color w:val="000000"/>
                <w:kern w:val="0"/>
                <w:sz w:val="22"/>
                <w:szCs w:val="22"/>
                <w14:ligatures w14:val="none"/>
              </w:rPr>
              <w:t>*</w:t>
            </w:r>
          </w:p>
        </w:tc>
        <w:tc>
          <w:tcPr>
            <w:tcW w:w="704" w:type="pct"/>
            <w:tcBorders>
              <w:top w:val="nil"/>
              <w:left w:val="nil"/>
              <w:bottom w:val="single" w:sz="4" w:space="0" w:color="auto"/>
              <w:right w:val="single" w:sz="4" w:space="0" w:color="auto"/>
            </w:tcBorders>
            <w:noWrap/>
            <w:hideMark/>
          </w:tcPr>
          <w:p w14:paraId="5E81FA4E"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3,277 </w:t>
            </w:r>
          </w:p>
        </w:tc>
        <w:tc>
          <w:tcPr>
            <w:tcW w:w="704" w:type="pct"/>
            <w:tcBorders>
              <w:top w:val="nil"/>
              <w:left w:val="nil"/>
              <w:bottom w:val="single" w:sz="4" w:space="0" w:color="auto"/>
              <w:right w:val="single" w:sz="4" w:space="0" w:color="auto"/>
            </w:tcBorders>
            <w:noWrap/>
            <w:hideMark/>
          </w:tcPr>
          <w:p w14:paraId="3B6C7DBE"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3,277 </w:t>
            </w:r>
          </w:p>
        </w:tc>
        <w:tc>
          <w:tcPr>
            <w:tcW w:w="704" w:type="pct"/>
            <w:tcBorders>
              <w:top w:val="nil"/>
              <w:left w:val="nil"/>
              <w:bottom w:val="single" w:sz="4" w:space="0" w:color="auto"/>
              <w:right w:val="single" w:sz="4" w:space="0" w:color="auto"/>
            </w:tcBorders>
            <w:noWrap/>
            <w:hideMark/>
          </w:tcPr>
          <w:p w14:paraId="4C20C215"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3,308 </w:t>
            </w:r>
          </w:p>
        </w:tc>
        <w:tc>
          <w:tcPr>
            <w:tcW w:w="704" w:type="pct"/>
            <w:tcBorders>
              <w:top w:val="nil"/>
              <w:left w:val="nil"/>
              <w:bottom w:val="single" w:sz="4" w:space="0" w:color="auto"/>
              <w:right w:val="single" w:sz="4" w:space="0" w:color="auto"/>
            </w:tcBorders>
            <w:noWrap/>
            <w:hideMark/>
          </w:tcPr>
          <w:p w14:paraId="1FC2743A"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3,428 </w:t>
            </w:r>
          </w:p>
        </w:tc>
        <w:tc>
          <w:tcPr>
            <w:tcW w:w="846" w:type="pct"/>
            <w:tcBorders>
              <w:top w:val="nil"/>
              <w:left w:val="nil"/>
              <w:bottom w:val="single" w:sz="4" w:space="0" w:color="auto"/>
              <w:right w:val="single" w:sz="4" w:space="0" w:color="auto"/>
            </w:tcBorders>
            <w:noWrap/>
            <w:hideMark/>
          </w:tcPr>
          <w:p w14:paraId="01F18B53"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3,479 </w:t>
            </w:r>
          </w:p>
        </w:tc>
        <w:tc>
          <w:tcPr>
            <w:tcW w:w="703" w:type="pct"/>
            <w:tcBorders>
              <w:top w:val="nil"/>
              <w:left w:val="nil"/>
              <w:bottom w:val="single" w:sz="4" w:space="0" w:color="auto"/>
              <w:right w:val="single" w:sz="4" w:space="0" w:color="auto"/>
            </w:tcBorders>
            <w:noWrap/>
            <w:hideMark/>
          </w:tcPr>
          <w:p w14:paraId="2A7A8FBF" w14:textId="77777777" w:rsidR="00D24603" w:rsidRPr="00A1732F"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b/>
                <w:bCs/>
                <w:sz w:val="22"/>
                <w:szCs w:val="22"/>
              </w:rPr>
              <w:t xml:space="preserve"> 3,479 </w:t>
            </w:r>
          </w:p>
        </w:tc>
      </w:tr>
      <w:tr w:rsidR="00D24603" w:rsidRPr="0090746C" w14:paraId="42A96CE1" w14:textId="77777777" w:rsidTr="00435936">
        <w:trPr>
          <w:trHeight w:val="300"/>
        </w:trPr>
        <w:tc>
          <w:tcPr>
            <w:tcW w:w="634" w:type="pct"/>
            <w:tcBorders>
              <w:top w:val="nil"/>
              <w:left w:val="single" w:sz="4" w:space="0" w:color="auto"/>
              <w:bottom w:val="single" w:sz="4" w:space="0" w:color="auto"/>
              <w:right w:val="single" w:sz="4" w:space="0" w:color="auto"/>
            </w:tcBorders>
            <w:noWrap/>
            <w:vAlign w:val="bottom"/>
            <w:hideMark/>
          </w:tcPr>
          <w:p w14:paraId="27FDF4D7" w14:textId="77777777" w:rsidR="00D24603" w:rsidRPr="0090746C"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8</w:t>
            </w:r>
          </w:p>
        </w:tc>
        <w:tc>
          <w:tcPr>
            <w:tcW w:w="704" w:type="pct"/>
            <w:tcBorders>
              <w:top w:val="nil"/>
              <w:left w:val="nil"/>
              <w:bottom w:val="single" w:sz="4" w:space="0" w:color="auto"/>
              <w:right w:val="single" w:sz="4" w:space="0" w:color="auto"/>
            </w:tcBorders>
            <w:noWrap/>
            <w:hideMark/>
          </w:tcPr>
          <w:p w14:paraId="54A6B5F2"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4,125 </w:t>
            </w:r>
          </w:p>
        </w:tc>
        <w:tc>
          <w:tcPr>
            <w:tcW w:w="704" w:type="pct"/>
            <w:tcBorders>
              <w:top w:val="nil"/>
              <w:left w:val="nil"/>
              <w:bottom w:val="single" w:sz="4" w:space="0" w:color="auto"/>
              <w:right w:val="single" w:sz="4" w:space="0" w:color="auto"/>
            </w:tcBorders>
            <w:noWrap/>
            <w:hideMark/>
          </w:tcPr>
          <w:p w14:paraId="1A9ED697"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4,126 </w:t>
            </w:r>
          </w:p>
        </w:tc>
        <w:tc>
          <w:tcPr>
            <w:tcW w:w="704" w:type="pct"/>
            <w:tcBorders>
              <w:top w:val="nil"/>
              <w:left w:val="nil"/>
              <w:bottom w:val="single" w:sz="4" w:space="0" w:color="auto"/>
              <w:right w:val="single" w:sz="4" w:space="0" w:color="auto"/>
            </w:tcBorders>
            <w:noWrap/>
            <w:hideMark/>
          </w:tcPr>
          <w:p w14:paraId="5A9B11E1"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4,238 </w:t>
            </w:r>
          </w:p>
        </w:tc>
        <w:tc>
          <w:tcPr>
            <w:tcW w:w="704" w:type="pct"/>
            <w:tcBorders>
              <w:top w:val="nil"/>
              <w:left w:val="nil"/>
              <w:bottom w:val="single" w:sz="4" w:space="0" w:color="auto"/>
              <w:right w:val="single" w:sz="4" w:space="0" w:color="auto"/>
            </w:tcBorders>
            <w:noWrap/>
            <w:hideMark/>
          </w:tcPr>
          <w:p w14:paraId="0A09D955"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4,302 </w:t>
            </w:r>
          </w:p>
        </w:tc>
        <w:tc>
          <w:tcPr>
            <w:tcW w:w="846" w:type="pct"/>
            <w:tcBorders>
              <w:top w:val="nil"/>
              <w:left w:val="nil"/>
              <w:bottom w:val="single" w:sz="4" w:space="0" w:color="auto"/>
              <w:right w:val="single" w:sz="4" w:space="0" w:color="auto"/>
            </w:tcBorders>
            <w:noWrap/>
            <w:hideMark/>
          </w:tcPr>
          <w:p w14:paraId="36E33745"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4,518 </w:t>
            </w:r>
          </w:p>
        </w:tc>
        <w:tc>
          <w:tcPr>
            <w:tcW w:w="703" w:type="pct"/>
            <w:tcBorders>
              <w:top w:val="nil"/>
              <w:left w:val="nil"/>
              <w:bottom w:val="single" w:sz="4" w:space="0" w:color="auto"/>
              <w:right w:val="single" w:sz="4" w:space="0" w:color="auto"/>
            </w:tcBorders>
            <w:noWrap/>
            <w:hideMark/>
          </w:tcPr>
          <w:p w14:paraId="45CC1E0B"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4,519 </w:t>
            </w:r>
          </w:p>
        </w:tc>
      </w:tr>
      <w:tr w:rsidR="00D24603" w:rsidRPr="0090746C" w14:paraId="546903FD" w14:textId="77777777" w:rsidTr="00435936">
        <w:trPr>
          <w:trHeight w:val="300"/>
        </w:trPr>
        <w:tc>
          <w:tcPr>
            <w:tcW w:w="634" w:type="pct"/>
            <w:tcBorders>
              <w:top w:val="nil"/>
              <w:left w:val="single" w:sz="4" w:space="0" w:color="auto"/>
              <w:bottom w:val="single" w:sz="4" w:space="0" w:color="auto"/>
              <w:right w:val="single" w:sz="4" w:space="0" w:color="auto"/>
            </w:tcBorders>
            <w:noWrap/>
            <w:vAlign w:val="bottom"/>
            <w:hideMark/>
          </w:tcPr>
          <w:p w14:paraId="78C2C841" w14:textId="77777777" w:rsidR="00D24603" w:rsidRPr="0090746C"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9</w:t>
            </w:r>
            <w:r>
              <w:rPr>
                <w:rFonts w:ascii="Calibri" w:eastAsia="Times New Roman" w:hAnsi="Calibri" w:cs="Calibri"/>
                <w:color w:val="000000"/>
                <w:kern w:val="0"/>
                <w:sz w:val="22"/>
                <w:szCs w:val="22"/>
                <w14:ligatures w14:val="none"/>
              </w:rPr>
              <w:t>*</w:t>
            </w:r>
          </w:p>
        </w:tc>
        <w:tc>
          <w:tcPr>
            <w:tcW w:w="704" w:type="pct"/>
            <w:tcBorders>
              <w:top w:val="nil"/>
              <w:left w:val="nil"/>
              <w:bottom w:val="single" w:sz="4" w:space="0" w:color="auto"/>
              <w:right w:val="single" w:sz="4" w:space="0" w:color="auto"/>
            </w:tcBorders>
            <w:noWrap/>
            <w:hideMark/>
          </w:tcPr>
          <w:p w14:paraId="6389619E"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5,950 </w:t>
            </w:r>
          </w:p>
        </w:tc>
        <w:tc>
          <w:tcPr>
            <w:tcW w:w="704" w:type="pct"/>
            <w:tcBorders>
              <w:top w:val="nil"/>
              <w:left w:val="nil"/>
              <w:bottom w:val="single" w:sz="4" w:space="0" w:color="auto"/>
              <w:right w:val="single" w:sz="4" w:space="0" w:color="auto"/>
            </w:tcBorders>
            <w:noWrap/>
            <w:hideMark/>
          </w:tcPr>
          <w:p w14:paraId="2872DBEB"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5,950 </w:t>
            </w:r>
          </w:p>
        </w:tc>
        <w:tc>
          <w:tcPr>
            <w:tcW w:w="704" w:type="pct"/>
            <w:tcBorders>
              <w:top w:val="nil"/>
              <w:left w:val="nil"/>
              <w:bottom w:val="single" w:sz="4" w:space="0" w:color="auto"/>
              <w:right w:val="single" w:sz="4" w:space="0" w:color="auto"/>
            </w:tcBorders>
            <w:noWrap/>
            <w:hideMark/>
          </w:tcPr>
          <w:p w14:paraId="596B80F7"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6,025 </w:t>
            </w:r>
          </w:p>
        </w:tc>
        <w:tc>
          <w:tcPr>
            <w:tcW w:w="704" w:type="pct"/>
            <w:tcBorders>
              <w:top w:val="nil"/>
              <w:left w:val="nil"/>
              <w:bottom w:val="single" w:sz="4" w:space="0" w:color="auto"/>
              <w:right w:val="single" w:sz="4" w:space="0" w:color="auto"/>
            </w:tcBorders>
            <w:noWrap/>
            <w:hideMark/>
          </w:tcPr>
          <w:p w14:paraId="0C3F5F39"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6,187 </w:t>
            </w:r>
          </w:p>
        </w:tc>
        <w:tc>
          <w:tcPr>
            <w:tcW w:w="846" w:type="pct"/>
            <w:tcBorders>
              <w:top w:val="nil"/>
              <w:left w:val="nil"/>
              <w:bottom w:val="single" w:sz="4" w:space="0" w:color="auto"/>
              <w:right w:val="single" w:sz="4" w:space="0" w:color="auto"/>
            </w:tcBorders>
            <w:noWrap/>
            <w:hideMark/>
          </w:tcPr>
          <w:p w14:paraId="7634B8DD"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6,309 </w:t>
            </w:r>
          </w:p>
        </w:tc>
        <w:tc>
          <w:tcPr>
            <w:tcW w:w="703" w:type="pct"/>
            <w:tcBorders>
              <w:top w:val="nil"/>
              <w:left w:val="nil"/>
              <w:bottom w:val="single" w:sz="4" w:space="0" w:color="auto"/>
              <w:right w:val="single" w:sz="4" w:space="0" w:color="auto"/>
            </w:tcBorders>
            <w:noWrap/>
            <w:hideMark/>
          </w:tcPr>
          <w:p w14:paraId="5FA4E81A" w14:textId="77777777" w:rsidR="00D24603" w:rsidRPr="00A1732F"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b/>
                <w:bCs/>
                <w:sz w:val="22"/>
                <w:szCs w:val="22"/>
              </w:rPr>
              <w:t xml:space="preserve"> 6,309 </w:t>
            </w:r>
          </w:p>
        </w:tc>
      </w:tr>
      <w:tr w:rsidR="00D24603" w:rsidRPr="0090746C" w14:paraId="51A7723B" w14:textId="77777777" w:rsidTr="00435936">
        <w:trPr>
          <w:trHeight w:val="300"/>
        </w:trPr>
        <w:tc>
          <w:tcPr>
            <w:tcW w:w="634" w:type="pct"/>
            <w:tcBorders>
              <w:top w:val="nil"/>
              <w:left w:val="single" w:sz="4" w:space="0" w:color="auto"/>
              <w:bottom w:val="single" w:sz="4" w:space="0" w:color="auto"/>
              <w:right w:val="single" w:sz="4" w:space="0" w:color="auto"/>
            </w:tcBorders>
            <w:noWrap/>
            <w:vAlign w:val="bottom"/>
            <w:hideMark/>
          </w:tcPr>
          <w:p w14:paraId="5BCAD2E1" w14:textId="77777777" w:rsidR="00D24603" w:rsidRPr="0090746C"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10</w:t>
            </w:r>
          </w:p>
        </w:tc>
        <w:tc>
          <w:tcPr>
            <w:tcW w:w="704" w:type="pct"/>
            <w:tcBorders>
              <w:top w:val="nil"/>
              <w:left w:val="nil"/>
              <w:bottom w:val="single" w:sz="4" w:space="0" w:color="auto"/>
              <w:right w:val="single" w:sz="4" w:space="0" w:color="auto"/>
            </w:tcBorders>
            <w:noWrap/>
            <w:hideMark/>
          </w:tcPr>
          <w:p w14:paraId="0F08F701"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3,129 </w:t>
            </w:r>
          </w:p>
        </w:tc>
        <w:tc>
          <w:tcPr>
            <w:tcW w:w="704" w:type="pct"/>
            <w:tcBorders>
              <w:top w:val="nil"/>
              <w:left w:val="nil"/>
              <w:bottom w:val="single" w:sz="4" w:space="0" w:color="auto"/>
              <w:right w:val="single" w:sz="4" w:space="0" w:color="auto"/>
            </w:tcBorders>
            <w:noWrap/>
            <w:hideMark/>
          </w:tcPr>
          <w:p w14:paraId="65F89F1A"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3,129 </w:t>
            </w:r>
          </w:p>
        </w:tc>
        <w:tc>
          <w:tcPr>
            <w:tcW w:w="704" w:type="pct"/>
            <w:tcBorders>
              <w:top w:val="nil"/>
              <w:left w:val="nil"/>
              <w:bottom w:val="single" w:sz="4" w:space="0" w:color="auto"/>
              <w:right w:val="single" w:sz="4" w:space="0" w:color="auto"/>
            </w:tcBorders>
            <w:noWrap/>
            <w:hideMark/>
          </w:tcPr>
          <w:p w14:paraId="0DFC9C10"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3,155 </w:t>
            </w:r>
          </w:p>
        </w:tc>
        <w:tc>
          <w:tcPr>
            <w:tcW w:w="704" w:type="pct"/>
            <w:tcBorders>
              <w:top w:val="nil"/>
              <w:left w:val="nil"/>
              <w:bottom w:val="single" w:sz="4" w:space="0" w:color="auto"/>
              <w:right w:val="single" w:sz="4" w:space="0" w:color="auto"/>
            </w:tcBorders>
            <w:noWrap/>
            <w:hideMark/>
          </w:tcPr>
          <w:p w14:paraId="2EFBCFB4"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3,272 </w:t>
            </w:r>
          </w:p>
        </w:tc>
        <w:tc>
          <w:tcPr>
            <w:tcW w:w="846" w:type="pct"/>
            <w:tcBorders>
              <w:top w:val="nil"/>
              <w:left w:val="nil"/>
              <w:bottom w:val="single" w:sz="4" w:space="0" w:color="auto"/>
              <w:right w:val="single" w:sz="4" w:space="0" w:color="auto"/>
            </w:tcBorders>
            <w:noWrap/>
            <w:hideMark/>
          </w:tcPr>
          <w:p w14:paraId="0D5C0795"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3,311 </w:t>
            </w:r>
          </w:p>
        </w:tc>
        <w:tc>
          <w:tcPr>
            <w:tcW w:w="703" w:type="pct"/>
            <w:tcBorders>
              <w:top w:val="nil"/>
              <w:left w:val="nil"/>
              <w:bottom w:val="single" w:sz="4" w:space="0" w:color="auto"/>
              <w:right w:val="single" w:sz="4" w:space="0" w:color="auto"/>
            </w:tcBorders>
            <w:noWrap/>
            <w:hideMark/>
          </w:tcPr>
          <w:p w14:paraId="1E9B94C8"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3,311 </w:t>
            </w:r>
          </w:p>
        </w:tc>
      </w:tr>
      <w:tr w:rsidR="00D24603" w:rsidRPr="0090746C" w14:paraId="52F01C26" w14:textId="77777777" w:rsidTr="00435936">
        <w:trPr>
          <w:trHeight w:val="300"/>
        </w:trPr>
        <w:tc>
          <w:tcPr>
            <w:tcW w:w="634" w:type="pct"/>
            <w:tcBorders>
              <w:top w:val="nil"/>
              <w:left w:val="single" w:sz="4" w:space="0" w:color="auto"/>
              <w:bottom w:val="single" w:sz="4" w:space="0" w:color="auto"/>
              <w:right w:val="single" w:sz="4" w:space="0" w:color="auto"/>
            </w:tcBorders>
            <w:noWrap/>
            <w:vAlign w:val="bottom"/>
            <w:hideMark/>
          </w:tcPr>
          <w:p w14:paraId="1FD61668" w14:textId="77777777" w:rsidR="00D24603" w:rsidRPr="0090746C"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11</w:t>
            </w:r>
          </w:p>
        </w:tc>
        <w:tc>
          <w:tcPr>
            <w:tcW w:w="704" w:type="pct"/>
            <w:tcBorders>
              <w:top w:val="nil"/>
              <w:left w:val="nil"/>
              <w:bottom w:val="single" w:sz="4" w:space="0" w:color="auto"/>
              <w:right w:val="single" w:sz="4" w:space="0" w:color="auto"/>
            </w:tcBorders>
            <w:noWrap/>
            <w:hideMark/>
          </w:tcPr>
          <w:p w14:paraId="73264681"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1,946 </w:t>
            </w:r>
          </w:p>
        </w:tc>
        <w:tc>
          <w:tcPr>
            <w:tcW w:w="704" w:type="pct"/>
            <w:tcBorders>
              <w:top w:val="nil"/>
              <w:left w:val="nil"/>
              <w:bottom w:val="single" w:sz="4" w:space="0" w:color="auto"/>
              <w:right w:val="single" w:sz="4" w:space="0" w:color="auto"/>
            </w:tcBorders>
            <w:noWrap/>
            <w:hideMark/>
          </w:tcPr>
          <w:p w14:paraId="1E6BC1F2"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1,947 </w:t>
            </w:r>
          </w:p>
        </w:tc>
        <w:tc>
          <w:tcPr>
            <w:tcW w:w="704" w:type="pct"/>
            <w:tcBorders>
              <w:top w:val="nil"/>
              <w:left w:val="nil"/>
              <w:bottom w:val="single" w:sz="4" w:space="0" w:color="auto"/>
              <w:right w:val="single" w:sz="4" w:space="0" w:color="auto"/>
            </w:tcBorders>
            <w:noWrap/>
            <w:hideMark/>
          </w:tcPr>
          <w:p w14:paraId="26FC16CA"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1,970 </w:t>
            </w:r>
          </w:p>
        </w:tc>
        <w:tc>
          <w:tcPr>
            <w:tcW w:w="704" w:type="pct"/>
            <w:tcBorders>
              <w:top w:val="nil"/>
              <w:left w:val="nil"/>
              <w:bottom w:val="single" w:sz="4" w:space="0" w:color="auto"/>
              <w:right w:val="single" w:sz="4" w:space="0" w:color="auto"/>
            </w:tcBorders>
            <w:noWrap/>
            <w:hideMark/>
          </w:tcPr>
          <w:p w14:paraId="30030DDD"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2,035 </w:t>
            </w:r>
          </w:p>
        </w:tc>
        <w:tc>
          <w:tcPr>
            <w:tcW w:w="846" w:type="pct"/>
            <w:tcBorders>
              <w:top w:val="nil"/>
              <w:left w:val="nil"/>
              <w:bottom w:val="single" w:sz="4" w:space="0" w:color="auto"/>
              <w:right w:val="single" w:sz="4" w:space="0" w:color="auto"/>
            </w:tcBorders>
            <w:noWrap/>
            <w:hideMark/>
          </w:tcPr>
          <w:p w14:paraId="00379FE5"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2,074 </w:t>
            </w:r>
          </w:p>
        </w:tc>
        <w:tc>
          <w:tcPr>
            <w:tcW w:w="703" w:type="pct"/>
            <w:tcBorders>
              <w:top w:val="nil"/>
              <w:left w:val="nil"/>
              <w:bottom w:val="single" w:sz="4" w:space="0" w:color="auto"/>
              <w:right w:val="single" w:sz="4" w:space="0" w:color="auto"/>
            </w:tcBorders>
            <w:noWrap/>
            <w:hideMark/>
          </w:tcPr>
          <w:p w14:paraId="70FDC80A"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2,074 </w:t>
            </w:r>
          </w:p>
        </w:tc>
      </w:tr>
      <w:tr w:rsidR="00D24603" w:rsidRPr="0090746C" w14:paraId="40EC8F14" w14:textId="77777777" w:rsidTr="00435936">
        <w:trPr>
          <w:trHeight w:val="300"/>
        </w:trPr>
        <w:tc>
          <w:tcPr>
            <w:tcW w:w="634" w:type="pct"/>
            <w:tcBorders>
              <w:top w:val="nil"/>
              <w:left w:val="single" w:sz="4" w:space="0" w:color="auto"/>
              <w:bottom w:val="single" w:sz="4" w:space="0" w:color="auto"/>
              <w:right w:val="single" w:sz="4" w:space="0" w:color="auto"/>
            </w:tcBorders>
            <w:noWrap/>
            <w:vAlign w:val="bottom"/>
            <w:hideMark/>
          </w:tcPr>
          <w:p w14:paraId="6074B10C" w14:textId="77777777" w:rsidR="00D24603" w:rsidRPr="0090746C"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12</w:t>
            </w:r>
            <w:r>
              <w:rPr>
                <w:rFonts w:ascii="Calibri" w:eastAsia="Times New Roman" w:hAnsi="Calibri" w:cs="Calibri"/>
                <w:color w:val="000000"/>
                <w:kern w:val="0"/>
                <w:sz w:val="22"/>
                <w:szCs w:val="22"/>
                <w14:ligatures w14:val="none"/>
              </w:rPr>
              <w:t>*</w:t>
            </w:r>
          </w:p>
        </w:tc>
        <w:tc>
          <w:tcPr>
            <w:tcW w:w="704" w:type="pct"/>
            <w:tcBorders>
              <w:top w:val="nil"/>
              <w:left w:val="nil"/>
              <w:bottom w:val="single" w:sz="4" w:space="0" w:color="auto"/>
              <w:right w:val="single" w:sz="4" w:space="0" w:color="auto"/>
            </w:tcBorders>
            <w:noWrap/>
            <w:hideMark/>
          </w:tcPr>
          <w:p w14:paraId="77B911FE"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3,791 </w:t>
            </w:r>
          </w:p>
        </w:tc>
        <w:tc>
          <w:tcPr>
            <w:tcW w:w="704" w:type="pct"/>
            <w:tcBorders>
              <w:top w:val="nil"/>
              <w:left w:val="nil"/>
              <w:bottom w:val="single" w:sz="4" w:space="0" w:color="auto"/>
              <w:right w:val="single" w:sz="4" w:space="0" w:color="auto"/>
            </w:tcBorders>
            <w:noWrap/>
            <w:hideMark/>
          </w:tcPr>
          <w:p w14:paraId="11F4280D"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3,791 </w:t>
            </w:r>
          </w:p>
        </w:tc>
        <w:tc>
          <w:tcPr>
            <w:tcW w:w="704" w:type="pct"/>
            <w:tcBorders>
              <w:top w:val="nil"/>
              <w:left w:val="nil"/>
              <w:bottom w:val="single" w:sz="4" w:space="0" w:color="auto"/>
              <w:right w:val="single" w:sz="4" w:space="0" w:color="auto"/>
            </w:tcBorders>
            <w:noWrap/>
            <w:hideMark/>
          </w:tcPr>
          <w:p w14:paraId="5EB1280D"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3,829 </w:t>
            </w:r>
          </w:p>
        </w:tc>
        <w:tc>
          <w:tcPr>
            <w:tcW w:w="704" w:type="pct"/>
            <w:tcBorders>
              <w:top w:val="nil"/>
              <w:left w:val="nil"/>
              <w:bottom w:val="single" w:sz="4" w:space="0" w:color="auto"/>
              <w:right w:val="single" w:sz="4" w:space="0" w:color="auto"/>
            </w:tcBorders>
            <w:noWrap/>
            <w:hideMark/>
          </w:tcPr>
          <w:p w14:paraId="4D5A76CE"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3,936 </w:t>
            </w:r>
          </w:p>
        </w:tc>
        <w:tc>
          <w:tcPr>
            <w:tcW w:w="846" w:type="pct"/>
            <w:tcBorders>
              <w:top w:val="nil"/>
              <w:left w:val="nil"/>
              <w:bottom w:val="single" w:sz="4" w:space="0" w:color="auto"/>
              <w:right w:val="single" w:sz="4" w:space="0" w:color="auto"/>
            </w:tcBorders>
            <w:noWrap/>
            <w:hideMark/>
          </w:tcPr>
          <w:p w14:paraId="228C8EE2" w14:textId="77777777" w:rsidR="00D24603" w:rsidRPr="007153CD" w:rsidRDefault="00D24603" w:rsidP="00CE3D62">
            <w:pPr>
              <w:spacing w:after="0"/>
              <w:jc w:val="center"/>
              <w:rPr>
                <w:rFonts w:ascii="Calibri" w:eastAsia="Times New Roman" w:hAnsi="Calibri" w:cs="Calibri"/>
                <w:b/>
                <w:bCs/>
                <w:color w:val="000000"/>
                <w:kern w:val="0"/>
                <w:sz w:val="22"/>
                <w:szCs w:val="22"/>
                <w14:ligatures w14:val="none"/>
              </w:rPr>
            </w:pPr>
            <w:r w:rsidRPr="007153CD">
              <w:rPr>
                <w:rFonts w:ascii="Calibri" w:hAnsi="Calibri" w:cs="Calibri"/>
                <w:b/>
                <w:bCs/>
                <w:sz w:val="22"/>
                <w:szCs w:val="22"/>
              </w:rPr>
              <w:t xml:space="preserve"> 3,982 </w:t>
            </w:r>
          </w:p>
        </w:tc>
        <w:tc>
          <w:tcPr>
            <w:tcW w:w="703" w:type="pct"/>
            <w:tcBorders>
              <w:top w:val="nil"/>
              <w:left w:val="nil"/>
              <w:bottom w:val="single" w:sz="4" w:space="0" w:color="auto"/>
              <w:right w:val="single" w:sz="4" w:space="0" w:color="auto"/>
            </w:tcBorders>
            <w:noWrap/>
            <w:hideMark/>
          </w:tcPr>
          <w:p w14:paraId="055249F9" w14:textId="77777777" w:rsidR="00D24603" w:rsidRPr="007153CD" w:rsidRDefault="00D24603" w:rsidP="00CE3D62">
            <w:pPr>
              <w:spacing w:after="0"/>
              <w:jc w:val="center"/>
              <w:rPr>
                <w:rFonts w:ascii="Calibri" w:eastAsia="Times New Roman" w:hAnsi="Calibri" w:cs="Calibri"/>
                <w:b/>
                <w:bCs/>
                <w:color w:val="000000"/>
                <w:kern w:val="0"/>
                <w:sz w:val="22"/>
                <w:szCs w:val="22"/>
                <w14:ligatures w14:val="none"/>
              </w:rPr>
            </w:pPr>
            <w:r w:rsidRPr="007153CD">
              <w:rPr>
                <w:rFonts w:ascii="Calibri" w:hAnsi="Calibri" w:cs="Calibri"/>
                <w:b/>
                <w:bCs/>
                <w:sz w:val="22"/>
                <w:szCs w:val="22"/>
              </w:rPr>
              <w:t>*</w:t>
            </w:r>
          </w:p>
        </w:tc>
      </w:tr>
      <w:tr w:rsidR="00D24603" w:rsidRPr="0090746C" w14:paraId="302F2628" w14:textId="77777777" w:rsidTr="00435936">
        <w:trPr>
          <w:trHeight w:val="300"/>
        </w:trPr>
        <w:tc>
          <w:tcPr>
            <w:tcW w:w="634" w:type="pct"/>
            <w:tcBorders>
              <w:top w:val="nil"/>
              <w:left w:val="single" w:sz="4" w:space="0" w:color="auto"/>
              <w:bottom w:val="single" w:sz="4" w:space="0" w:color="auto"/>
              <w:right w:val="single" w:sz="4" w:space="0" w:color="auto"/>
            </w:tcBorders>
            <w:noWrap/>
            <w:vAlign w:val="bottom"/>
            <w:hideMark/>
          </w:tcPr>
          <w:p w14:paraId="4E39BFE4" w14:textId="77777777" w:rsidR="00D24603" w:rsidRPr="0090746C"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13</w:t>
            </w:r>
          </w:p>
        </w:tc>
        <w:tc>
          <w:tcPr>
            <w:tcW w:w="704" w:type="pct"/>
            <w:tcBorders>
              <w:top w:val="nil"/>
              <w:left w:val="nil"/>
              <w:bottom w:val="single" w:sz="4" w:space="0" w:color="auto"/>
              <w:right w:val="single" w:sz="4" w:space="0" w:color="auto"/>
            </w:tcBorders>
            <w:noWrap/>
            <w:hideMark/>
          </w:tcPr>
          <w:p w14:paraId="18836E90"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3,268 </w:t>
            </w:r>
          </w:p>
        </w:tc>
        <w:tc>
          <w:tcPr>
            <w:tcW w:w="704" w:type="pct"/>
            <w:tcBorders>
              <w:top w:val="nil"/>
              <w:left w:val="nil"/>
              <w:bottom w:val="single" w:sz="4" w:space="0" w:color="auto"/>
              <w:right w:val="single" w:sz="4" w:space="0" w:color="auto"/>
            </w:tcBorders>
            <w:noWrap/>
            <w:hideMark/>
          </w:tcPr>
          <w:p w14:paraId="053550E6"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3,269 </w:t>
            </w:r>
          </w:p>
        </w:tc>
        <w:tc>
          <w:tcPr>
            <w:tcW w:w="704" w:type="pct"/>
            <w:tcBorders>
              <w:top w:val="nil"/>
              <w:left w:val="nil"/>
              <w:bottom w:val="single" w:sz="4" w:space="0" w:color="auto"/>
              <w:right w:val="single" w:sz="4" w:space="0" w:color="auto"/>
            </w:tcBorders>
            <w:noWrap/>
            <w:hideMark/>
          </w:tcPr>
          <w:p w14:paraId="696D3F13"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3,365 </w:t>
            </w:r>
          </w:p>
        </w:tc>
        <w:tc>
          <w:tcPr>
            <w:tcW w:w="704" w:type="pct"/>
            <w:tcBorders>
              <w:top w:val="nil"/>
              <w:left w:val="nil"/>
              <w:bottom w:val="single" w:sz="4" w:space="0" w:color="auto"/>
              <w:right w:val="single" w:sz="4" w:space="0" w:color="auto"/>
            </w:tcBorders>
            <w:noWrap/>
            <w:hideMark/>
          </w:tcPr>
          <w:p w14:paraId="1F19AC99"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3,369 </w:t>
            </w:r>
          </w:p>
        </w:tc>
        <w:tc>
          <w:tcPr>
            <w:tcW w:w="846" w:type="pct"/>
            <w:tcBorders>
              <w:top w:val="nil"/>
              <w:left w:val="nil"/>
              <w:bottom w:val="single" w:sz="4" w:space="0" w:color="auto"/>
              <w:right w:val="single" w:sz="4" w:space="0" w:color="auto"/>
            </w:tcBorders>
            <w:noWrap/>
            <w:hideMark/>
          </w:tcPr>
          <w:p w14:paraId="36FF2440"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3,509 </w:t>
            </w:r>
          </w:p>
        </w:tc>
        <w:tc>
          <w:tcPr>
            <w:tcW w:w="703" w:type="pct"/>
            <w:tcBorders>
              <w:top w:val="nil"/>
              <w:left w:val="nil"/>
              <w:bottom w:val="single" w:sz="4" w:space="0" w:color="auto"/>
              <w:right w:val="single" w:sz="4" w:space="0" w:color="auto"/>
            </w:tcBorders>
            <w:noWrap/>
            <w:hideMark/>
          </w:tcPr>
          <w:p w14:paraId="751E8DB4"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3,509 </w:t>
            </w:r>
          </w:p>
        </w:tc>
      </w:tr>
      <w:tr w:rsidR="00D24603" w:rsidRPr="0090746C" w14:paraId="0C148081" w14:textId="77777777" w:rsidTr="00435936">
        <w:trPr>
          <w:trHeight w:val="300"/>
        </w:trPr>
        <w:tc>
          <w:tcPr>
            <w:tcW w:w="634" w:type="pct"/>
            <w:tcBorders>
              <w:top w:val="nil"/>
              <w:left w:val="single" w:sz="4" w:space="0" w:color="auto"/>
              <w:bottom w:val="single" w:sz="4" w:space="0" w:color="auto"/>
              <w:right w:val="single" w:sz="4" w:space="0" w:color="auto"/>
            </w:tcBorders>
            <w:noWrap/>
            <w:vAlign w:val="bottom"/>
            <w:hideMark/>
          </w:tcPr>
          <w:p w14:paraId="1BD79870" w14:textId="77777777" w:rsidR="00D24603" w:rsidRPr="0090746C"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14</w:t>
            </w:r>
            <w:r>
              <w:rPr>
                <w:rFonts w:ascii="Calibri" w:eastAsia="Times New Roman" w:hAnsi="Calibri" w:cs="Calibri"/>
                <w:color w:val="000000"/>
                <w:kern w:val="0"/>
                <w:sz w:val="22"/>
                <w:szCs w:val="22"/>
                <w14:ligatures w14:val="none"/>
              </w:rPr>
              <w:t>*</w:t>
            </w:r>
          </w:p>
        </w:tc>
        <w:tc>
          <w:tcPr>
            <w:tcW w:w="704" w:type="pct"/>
            <w:tcBorders>
              <w:top w:val="nil"/>
              <w:left w:val="nil"/>
              <w:bottom w:val="single" w:sz="4" w:space="0" w:color="auto"/>
              <w:right w:val="single" w:sz="4" w:space="0" w:color="auto"/>
            </w:tcBorders>
            <w:noWrap/>
            <w:hideMark/>
          </w:tcPr>
          <w:p w14:paraId="38FFB43D"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45,212 </w:t>
            </w:r>
          </w:p>
        </w:tc>
        <w:tc>
          <w:tcPr>
            <w:tcW w:w="704" w:type="pct"/>
            <w:tcBorders>
              <w:top w:val="nil"/>
              <w:left w:val="nil"/>
              <w:bottom w:val="single" w:sz="4" w:space="0" w:color="auto"/>
              <w:right w:val="single" w:sz="4" w:space="0" w:color="auto"/>
            </w:tcBorders>
            <w:noWrap/>
            <w:hideMark/>
          </w:tcPr>
          <w:p w14:paraId="44B260CD"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45,212 </w:t>
            </w:r>
          </w:p>
        </w:tc>
        <w:tc>
          <w:tcPr>
            <w:tcW w:w="704" w:type="pct"/>
            <w:tcBorders>
              <w:top w:val="nil"/>
              <w:left w:val="nil"/>
              <w:bottom w:val="single" w:sz="4" w:space="0" w:color="auto"/>
              <w:right w:val="single" w:sz="4" w:space="0" w:color="auto"/>
            </w:tcBorders>
            <w:noWrap/>
            <w:hideMark/>
          </w:tcPr>
          <w:p w14:paraId="0A386DBF"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45,902 </w:t>
            </w:r>
          </w:p>
        </w:tc>
        <w:tc>
          <w:tcPr>
            <w:tcW w:w="704" w:type="pct"/>
            <w:tcBorders>
              <w:top w:val="nil"/>
              <w:left w:val="nil"/>
              <w:bottom w:val="single" w:sz="4" w:space="0" w:color="auto"/>
              <w:right w:val="single" w:sz="4" w:space="0" w:color="auto"/>
            </w:tcBorders>
            <w:noWrap/>
            <w:hideMark/>
          </w:tcPr>
          <w:p w14:paraId="31D6E0A0"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47,408 </w:t>
            </w:r>
          </w:p>
        </w:tc>
        <w:tc>
          <w:tcPr>
            <w:tcW w:w="846" w:type="pct"/>
            <w:tcBorders>
              <w:top w:val="nil"/>
              <w:left w:val="nil"/>
              <w:bottom w:val="single" w:sz="4" w:space="0" w:color="auto"/>
              <w:right w:val="single" w:sz="4" w:space="0" w:color="auto"/>
            </w:tcBorders>
            <w:noWrap/>
            <w:hideMark/>
          </w:tcPr>
          <w:p w14:paraId="1B74225C"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48,590 </w:t>
            </w:r>
          </w:p>
        </w:tc>
        <w:tc>
          <w:tcPr>
            <w:tcW w:w="703" w:type="pct"/>
            <w:tcBorders>
              <w:top w:val="nil"/>
              <w:left w:val="nil"/>
              <w:bottom w:val="single" w:sz="4" w:space="0" w:color="auto"/>
              <w:right w:val="single" w:sz="4" w:space="0" w:color="auto"/>
            </w:tcBorders>
            <w:noWrap/>
            <w:hideMark/>
          </w:tcPr>
          <w:p w14:paraId="5156DACB" w14:textId="77777777" w:rsidR="00D24603" w:rsidRPr="00A1732F"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b/>
                <w:bCs/>
                <w:sz w:val="22"/>
                <w:szCs w:val="22"/>
              </w:rPr>
              <w:t xml:space="preserve"> 48,590 </w:t>
            </w:r>
          </w:p>
        </w:tc>
      </w:tr>
      <w:tr w:rsidR="00D24603" w:rsidRPr="0090746C" w14:paraId="5C255BB3" w14:textId="77777777" w:rsidTr="00435936">
        <w:trPr>
          <w:trHeight w:val="300"/>
        </w:trPr>
        <w:tc>
          <w:tcPr>
            <w:tcW w:w="634" w:type="pct"/>
            <w:tcBorders>
              <w:top w:val="nil"/>
              <w:left w:val="single" w:sz="4" w:space="0" w:color="auto"/>
              <w:bottom w:val="single" w:sz="4" w:space="0" w:color="auto"/>
              <w:right w:val="single" w:sz="4" w:space="0" w:color="auto"/>
            </w:tcBorders>
            <w:noWrap/>
            <w:vAlign w:val="bottom"/>
            <w:hideMark/>
          </w:tcPr>
          <w:p w14:paraId="099297C7" w14:textId="77777777" w:rsidR="00D24603" w:rsidRPr="0090746C"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15</w:t>
            </w:r>
          </w:p>
        </w:tc>
        <w:tc>
          <w:tcPr>
            <w:tcW w:w="704" w:type="pct"/>
            <w:tcBorders>
              <w:top w:val="nil"/>
              <w:left w:val="nil"/>
              <w:bottom w:val="single" w:sz="4" w:space="0" w:color="auto"/>
              <w:right w:val="single" w:sz="4" w:space="0" w:color="auto"/>
            </w:tcBorders>
            <w:noWrap/>
            <w:hideMark/>
          </w:tcPr>
          <w:p w14:paraId="57D568A3"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15,008 </w:t>
            </w:r>
          </w:p>
        </w:tc>
        <w:tc>
          <w:tcPr>
            <w:tcW w:w="704" w:type="pct"/>
            <w:tcBorders>
              <w:top w:val="nil"/>
              <w:left w:val="nil"/>
              <w:bottom w:val="single" w:sz="4" w:space="0" w:color="auto"/>
              <w:right w:val="single" w:sz="4" w:space="0" w:color="auto"/>
            </w:tcBorders>
            <w:noWrap/>
            <w:hideMark/>
          </w:tcPr>
          <w:p w14:paraId="311C09A9"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15,008 </w:t>
            </w:r>
          </w:p>
        </w:tc>
        <w:tc>
          <w:tcPr>
            <w:tcW w:w="704" w:type="pct"/>
            <w:tcBorders>
              <w:top w:val="nil"/>
              <w:left w:val="nil"/>
              <w:bottom w:val="single" w:sz="4" w:space="0" w:color="auto"/>
              <w:right w:val="single" w:sz="4" w:space="0" w:color="auto"/>
            </w:tcBorders>
            <w:noWrap/>
            <w:hideMark/>
          </w:tcPr>
          <w:p w14:paraId="1BAB6712"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15,240 </w:t>
            </w:r>
          </w:p>
        </w:tc>
        <w:tc>
          <w:tcPr>
            <w:tcW w:w="704" w:type="pct"/>
            <w:tcBorders>
              <w:top w:val="nil"/>
              <w:left w:val="nil"/>
              <w:bottom w:val="single" w:sz="4" w:space="0" w:color="auto"/>
              <w:right w:val="single" w:sz="4" w:space="0" w:color="auto"/>
            </w:tcBorders>
            <w:noWrap/>
            <w:hideMark/>
          </w:tcPr>
          <w:p w14:paraId="199DECBE"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15,671 </w:t>
            </w:r>
          </w:p>
        </w:tc>
        <w:tc>
          <w:tcPr>
            <w:tcW w:w="846" w:type="pct"/>
            <w:tcBorders>
              <w:top w:val="nil"/>
              <w:left w:val="nil"/>
              <w:bottom w:val="single" w:sz="4" w:space="0" w:color="auto"/>
              <w:right w:val="single" w:sz="4" w:space="0" w:color="auto"/>
            </w:tcBorders>
            <w:noWrap/>
            <w:hideMark/>
          </w:tcPr>
          <w:p w14:paraId="5A8FE846"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16,056 </w:t>
            </w:r>
          </w:p>
        </w:tc>
        <w:tc>
          <w:tcPr>
            <w:tcW w:w="703" w:type="pct"/>
            <w:tcBorders>
              <w:top w:val="nil"/>
              <w:left w:val="nil"/>
              <w:bottom w:val="single" w:sz="4" w:space="0" w:color="auto"/>
              <w:right w:val="single" w:sz="4" w:space="0" w:color="auto"/>
            </w:tcBorders>
            <w:noWrap/>
            <w:hideMark/>
          </w:tcPr>
          <w:p w14:paraId="5DCEA88F"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16,056 </w:t>
            </w:r>
          </w:p>
        </w:tc>
      </w:tr>
      <w:tr w:rsidR="00D24603" w:rsidRPr="0090746C" w14:paraId="31C11C52" w14:textId="77777777" w:rsidTr="00435936">
        <w:trPr>
          <w:trHeight w:val="300"/>
        </w:trPr>
        <w:tc>
          <w:tcPr>
            <w:tcW w:w="634" w:type="pct"/>
            <w:tcBorders>
              <w:top w:val="nil"/>
              <w:left w:val="single" w:sz="4" w:space="0" w:color="auto"/>
              <w:bottom w:val="single" w:sz="4" w:space="0" w:color="auto"/>
              <w:right w:val="single" w:sz="4" w:space="0" w:color="auto"/>
            </w:tcBorders>
            <w:noWrap/>
            <w:vAlign w:val="bottom"/>
            <w:hideMark/>
          </w:tcPr>
          <w:p w14:paraId="203BD57E" w14:textId="77777777" w:rsidR="00D24603" w:rsidRPr="0090746C"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16</w:t>
            </w:r>
          </w:p>
        </w:tc>
        <w:tc>
          <w:tcPr>
            <w:tcW w:w="704" w:type="pct"/>
            <w:tcBorders>
              <w:top w:val="nil"/>
              <w:left w:val="nil"/>
              <w:bottom w:val="single" w:sz="4" w:space="0" w:color="auto"/>
              <w:right w:val="single" w:sz="4" w:space="0" w:color="auto"/>
            </w:tcBorders>
            <w:noWrap/>
            <w:hideMark/>
          </w:tcPr>
          <w:p w14:paraId="327A1918"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1,771 </w:t>
            </w:r>
          </w:p>
        </w:tc>
        <w:tc>
          <w:tcPr>
            <w:tcW w:w="704" w:type="pct"/>
            <w:tcBorders>
              <w:top w:val="nil"/>
              <w:left w:val="nil"/>
              <w:bottom w:val="single" w:sz="4" w:space="0" w:color="auto"/>
              <w:right w:val="single" w:sz="4" w:space="0" w:color="auto"/>
            </w:tcBorders>
            <w:noWrap/>
            <w:hideMark/>
          </w:tcPr>
          <w:p w14:paraId="11216ACA"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1,771 </w:t>
            </w:r>
          </w:p>
        </w:tc>
        <w:tc>
          <w:tcPr>
            <w:tcW w:w="704" w:type="pct"/>
            <w:tcBorders>
              <w:top w:val="nil"/>
              <w:left w:val="nil"/>
              <w:bottom w:val="single" w:sz="4" w:space="0" w:color="auto"/>
              <w:right w:val="single" w:sz="4" w:space="0" w:color="auto"/>
            </w:tcBorders>
            <w:noWrap/>
            <w:hideMark/>
          </w:tcPr>
          <w:p w14:paraId="4A0A7C48"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1,804 </w:t>
            </w:r>
          </w:p>
        </w:tc>
        <w:tc>
          <w:tcPr>
            <w:tcW w:w="704" w:type="pct"/>
            <w:tcBorders>
              <w:top w:val="nil"/>
              <w:left w:val="nil"/>
              <w:bottom w:val="single" w:sz="4" w:space="0" w:color="auto"/>
              <w:right w:val="single" w:sz="4" w:space="0" w:color="auto"/>
            </w:tcBorders>
            <w:noWrap/>
            <w:hideMark/>
          </w:tcPr>
          <w:p w14:paraId="0F4EB924"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1,819 </w:t>
            </w:r>
          </w:p>
        </w:tc>
        <w:tc>
          <w:tcPr>
            <w:tcW w:w="846" w:type="pct"/>
            <w:tcBorders>
              <w:top w:val="nil"/>
              <w:left w:val="nil"/>
              <w:bottom w:val="single" w:sz="4" w:space="0" w:color="auto"/>
              <w:right w:val="single" w:sz="4" w:space="0" w:color="auto"/>
            </w:tcBorders>
            <w:noWrap/>
            <w:hideMark/>
          </w:tcPr>
          <w:p w14:paraId="5A214B88"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1,859 </w:t>
            </w:r>
          </w:p>
        </w:tc>
        <w:tc>
          <w:tcPr>
            <w:tcW w:w="703" w:type="pct"/>
            <w:tcBorders>
              <w:top w:val="nil"/>
              <w:left w:val="nil"/>
              <w:bottom w:val="single" w:sz="4" w:space="0" w:color="auto"/>
              <w:right w:val="single" w:sz="4" w:space="0" w:color="auto"/>
            </w:tcBorders>
            <w:noWrap/>
            <w:hideMark/>
          </w:tcPr>
          <w:p w14:paraId="4A5B75C0"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1,859 </w:t>
            </w:r>
          </w:p>
        </w:tc>
      </w:tr>
      <w:tr w:rsidR="00D24603" w:rsidRPr="0090746C" w14:paraId="4B15EACE" w14:textId="77777777" w:rsidTr="00435936">
        <w:trPr>
          <w:trHeight w:val="300"/>
        </w:trPr>
        <w:tc>
          <w:tcPr>
            <w:tcW w:w="634" w:type="pct"/>
            <w:tcBorders>
              <w:top w:val="nil"/>
              <w:left w:val="single" w:sz="4" w:space="0" w:color="auto"/>
              <w:bottom w:val="single" w:sz="4" w:space="0" w:color="auto"/>
              <w:right w:val="single" w:sz="4" w:space="0" w:color="auto"/>
            </w:tcBorders>
            <w:noWrap/>
            <w:vAlign w:val="bottom"/>
            <w:hideMark/>
          </w:tcPr>
          <w:p w14:paraId="586839E6" w14:textId="77777777" w:rsidR="00D24603" w:rsidRPr="0090746C"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17</w:t>
            </w:r>
            <w:r>
              <w:rPr>
                <w:rFonts w:ascii="Calibri" w:eastAsia="Times New Roman" w:hAnsi="Calibri" w:cs="Calibri"/>
                <w:color w:val="000000"/>
                <w:kern w:val="0"/>
                <w:sz w:val="22"/>
                <w:szCs w:val="22"/>
                <w14:ligatures w14:val="none"/>
              </w:rPr>
              <w:t>*</w:t>
            </w:r>
          </w:p>
        </w:tc>
        <w:tc>
          <w:tcPr>
            <w:tcW w:w="704" w:type="pct"/>
            <w:tcBorders>
              <w:top w:val="nil"/>
              <w:left w:val="nil"/>
              <w:bottom w:val="single" w:sz="4" w:space="0" w:color="auto"/>
              <w:right w:val="single" w:sz="4" w:space="0" w:color="auto"/>
            </w:tcBorders>
            <w:noWrap/>
            <w:hideMark/>
          </w:tcPr>
          <w:p w14:paraId="31820AAA"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4,147 </w:t>
            </w:r>
          </w:p>
        </w:tc>
        <w:tc>
          <w:tcPr>
            <w:tcW w:w="704" w:type="pct"/>
            <w:tcBorders>
              <w:top w:val="nil"/>
              <w:left w:val="nil"/>
              <w:bottom w:val="single" w:sz="4" w:space="0" w:color="auto"/>
              <w:right w:val="single" w:sz="4" w:space="0" w:color="auto"/>
            </w:tcBorders>
            <w:noWrap/>
            <w:hideMark/>
          </w:tcPr>
          <w:p w14:paraId="64DFFAFD"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4,147 </w:t>
            </w:r>
          </w:p>
        </w:tc>
        <w:tc>
          <w:tcPr>
            <w:tcW w:w="704" w:type="pct"/>
            <w:tcBorders>
              <w:top w:val="nil"/>
              <w:left w:val="nil"/>
              <w:bottom w:val="single" w:sz="4" w:space="0" w:color="auto"/>
              <w:right w:val="single" w:sz="4" w:space="0" w:color="auto"/>
            </w:tcBorders>
            <w:noWrap/>
            <w:hideMark/>
          </w:tcPr>
          <w:p w14:paraId="7FACB6F0"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4,267 </w:t>
            </w:r>
          </w:p>
        </w:tc>
        <w:tc>
          <w:tcPr>
            <w:tcW w:w="704" w:type="pct"/>
            <w:tcBorders>
              <w:top w:val="nil"/>
              <w:left w:val="nil"/>
              <w:bottom w:val="single" w:sz="4" w:space="0" w:color="auto"/>
              <w:right w:val="single" w:sz="4" w:space="0" w:color="auto"/>
            </w:tcBorders>
            <w:noWrap/>
            <w:hideMark/>
          </w:tcPr>
          <w:p w14:paraId="1FF31F22"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4,251 </w:t>
            </w:r>
          </w:p>
        </w:tc>
        <w:tc>
          <w:tcPr>
            <w:tcW w:w="846" w:type="pct"/>
            <w:tcBorders>
              <w:top w:val="nil"/>
              <w:left w:val="nil"/>
              <w:bottom w:val="single" w:sz="4" w:space="0" w:color="auto"/>
              <w:right w:val="single" w:sz="4" w:space="0" w:color="auto"/>
            </w:tcBorders>
            <w:noWrap/>
            <w:hideMark/>
          </w:tcPr>
          <w:p w14:paraId="4CFE1E43"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4,425 </w:t>
            </w:r>
          </w:p>
        </w:tc>
        <w:tc>
          <w:tcPr>
            <w:tcW w:w="703" w:type="pct"/>
            <w:tcBorders>
              <w:top w:val="nil"/>
              <w:left w:val="nil"/>
              <w:bottom w:val="single" w:sz="4" w:space="0" w:color="auto"/>
              <w:right w:val="single" w:sz="4" w:space="0" w:color="auto"/>
            </w:tcBorders>
            <w:noWrap/>
            <w:hideMark/>
          </w:tcPr>
          <w:p w14:paraId="4BDBD20C" w14:textId="77777777" w:rsidR="00D24603" w:rsidRPr="00A1732F"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b/>
                <w:bCs/>
                <w:sz w:val="22"/>
                <w:szCs w:val="22"/>
              </w:rPr>
              <w:t xml:space="preserve"> 4,425 </w:t>
            </w:r>
          </w:p>
        </w:tc>
      </w:tr>
      <w:tr w:rsidR="00D24603" w:rsidRPr="0090746C" w14:paraId="7E1C3B0D" w14:textId="77777777" w:rsidTr="00435936">
        <w:trPr>
          <w:trHeight w:val="300"/>
        </w:trPr>
        <w:tc>
          <w:tcPr>
            <w:tcW w:w="634" w:type="pct"/>
            <w:tcBorders>
              <w:top w:val="nil"/>
              <w:left w:val="single" w:sz="4" w:space="0" w:color="auto"/>
              <w:bottom w:val="single" w:sz="4" w:space="0" w:color="auto"/>
              <w:right w:val="single" w:sz="4" w:space="0" w:color="auto"/>
            </w:tcBorders>
            <w:noWrap/>
            <w:vAlign w:val="bottom"/>
            <w:hideMark/>
          </w:tcPr>
          <w:p w14:paraId="22DDAF83" w14:textId="77777777" w:rsidR="00D24603" w:rsidRPr="0090746C"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18</w:t>
            </w:r>
          </w:p>
        </w:tc>
        <w:tc>
          <w:tcPr>
            <w:tcW w:w="704" w:type="pct"/>
            <w:tcBorders>
              <w:top w:val="nil"/>
              <w:left w:val="nil"/>
              <w:bottom w:val="single" w:sz="4" w:space="0" w:color="auto"/>
              <w:right w:val="single" w:sz="4" w:space="0" w:color="auto"/>
            </w:tcBorders>
            <w:noWrap/>
            <w:hideMark/>
          </w:tcPr>
          <w:p w14:paraId="2DA303CA"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2,927 </w:t>
            </w:r>
          </w:p>
        </w:tc>
        <w:tc>
          <w:tcPr>
            <w:tcW w:w="704" w:type="pct"/>
            <w:tcBorders>
              <w:top w:val="nil"/>
              <w:left w:val="nil"/>
              <w:bottom w:val="single" w:sz="4" w:space="0" w:color="auto"/>
              <w:right w:val="single" w:sz="4" w:space="0" w:color="auto"/>
            </w:tcBorders>
            <w:noWrap/>
            <w:hideMark/>
          </w:tcPr>
          <w:p w14:paraId="61D535FF"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2,927 </w:t>
            </w:r>
          </w:p>
        </w:tc>
        <w:tc>
          <w:tcPr>
            <w:tcW w:w="704" w:type="pct"/>
            <w:tcBorders>
              <w:top w:val="nil"/>
              <w:left w:val="nil"/>
              <w:bottom w:val="single" w:sz="4" w:space="0" w:color="auto"/>
              <w:right w:val="single" w:sz="4" w:space="0" w:color="auto"/>
            </w:tcBorders>
            <w:noWrap/>
            <w:hideMark/>
          </w:tcPr>
          <w:p w14:paraId="4B855AC4"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2,965 </w:t>
            </w:r>
          </w:p>
        </w:tc>
        <w:tc>
          <w:tcPr>
            <w:tcW w:w="704" w:type="pct"/>
            <w:tcBorders>
              <w:top w:val="nil"/>
              <w:left w:val="nil"/>
              <w:bottom w:val="single" w:sz="4" w:space="0" w:color="auto"/>
              <w:right w:val="single" w:sz="4" w:space="0" w:color="auto"/>
            </w:tcBorders>
            <w:noWrap/>
            <w:hideMark/>
          </w:tcPr>
          <w:p w14:paraId="55F7F6F4"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3,085 </w:t>
            </w:r>
          </w:p>
        </w:tc>
        <w:tc>
          <w:tcPr>
            <w:tcW w:w="846" w:type="pct"/>
            <w:tcBorders>
              <w:top w:val="nil"/>
              <w:left w:val="nil"/>
              <w:bottom w:val="single" w:sz="4" w:space="0" w:color="auto"/>
              <w:right w:val="single" w:sz="4" w:space="0" w:color="auto"/>
            </w:tcBorders>
            <w:noWrap/>
            <w:hideMark/>
          </w:tcPr>
          <w:p w14:paraId="24C9E21B"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3,164 </w:t>
            </w:r>
          </w:p>
        </w:tc>
        <w:tc>
          <w:tcPr>
            <w:tcW w:w="703" w:type="pct"/>
            <w:tcBorders>
              <w:top w:val="nil"/>
              <w:left w:val="nil"/>
              <w:bottom w:val="single" w:sz="4" w:space="0" w:color="auto"/>
              <w:right w:val="single" w:sz="4" w:space="0" w:color="auto"/>
            </w:tcBorders>
            <w:noWrap/>
            <w:hideMark/>
          </w:tcPr>
          <w:p w14:paraId="6FF3FC20"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3,164 </w:t>
            </w:r>
          </w:p>
        </w:tc>
      </w:tr>
      <w:tr w:rsidR="00D24603" w:rsidRPr="0090746C" w14:paraId="17789B77" w14:textId="77777777" w:rsidTr="00435936">
        <w:trPr>
          <w:trHeight w:val="300"/>
        </w:trPr>
        <w:tc>
          <w:tcPr>
            <w:tcW w:w="634" w:type="pct"/>
            <w:tcBorders>
              <w:top w:val="nil"/>
              <w:left w:val="single" w:sz="4" w:space="0" w:color="auto"/>
              <w:bottom w:val="single" w:sz="4" w:space="0" w:color="auto"/>
              <w:right w:val="single" w:sz="4" w:space="0" w:color="auto"/>
            </w:tcBorders>
            <w:noWrap/>
            <w:vAlign w:val="bottom"/>
            <w:hideMark/>
          </w:tcPr>
          <w:p w14:paraId="1C12636D" w14:textId="77777777" w:rsidR="00D24603" w:rsidRPr="0090746C"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19</w:t>
            </w:r>
          </w:p>
        </w:tc>
        <w:tc>
          <w:tcPr>
            <w:tcW w:w="704" w:type="pct"/>
            <w:tcBorders>
              <w:top w:val="nil"/>
              <w:left w:val="nil"/>
              <w:bottom w:val="single" w:sz="4" w:space="0" w:color="auto"/>
              <w:right w:val="single" w:sz="4" w:space="0" w:color="auto"/>
            </w:tcBorders>
            <w:noWrap/>
            <w:hideMark/>
          </w:tcPr>
          <w:p w14:paraId="087D1043"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23,057 </w:t>
            </w:r>
          </w:p>
        </w:tc>
        <w:tc>
          <w:tcPr>
            <w:tcW w:w="704" w:type="pct"/>
            <w:tcBorders>
              <w:top w:val="nil"/>
              <w:left w:val="nil"/>
              <w:bottom w:val="single" w:sz="4" w:space="0" w:color="auto"/>
              <w:right w:val="single" w:sz="4" w:space="0" w:color="auto"/>
            </w:tcBorders>
            <w:noWrap/>
            <w:hideMark/>
          </w:tcPr>
          <w:p w14:paraId="40E58EA4"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23,058 </w:t>
            </w:r>
          </w:p>
        </w:tc>
        <w:tc>
          <w:tcPr>
            <w:tcW w:w="704" w:type="pct"/>
            <w:tcBorders>
              <w:top w:val="nil"/>
              <w:left w:val="nil"/>
              <w:bottom w:val="single" w:sz="4" w:space="0" w:color="auto"/>
              <w:right w:val="single" w:sz="4" w:space="0" w:color="auto"/>
            </w:tcBorders>
            <w:noWrap/>
            <w:hideMark/>
          </w:tcPr>
          <w:p w14:paraId="419DFB2D"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23,370 </w:t>
            </w:r>
          </w:p>
        </w:tc>
        <w:tc>
          <w:tcPr>
            <w:tcW w:w="704" w:type="pct"/>
            <w:tcBorders>
              <w:top w:val="nil"/>
              <w:left w:val="nil"/>
              <w:bottom w:val="single" w:sz="4" w:space="0" w:color="auto"/>
              <w:right w:val="single" w:sz="4" w:space="0" w:color="auto"/>
            </w:tcBorders>
            <w:noWrap/>
            <w:hideMark/>
          </w:tcPr>
          <w:p w14:paraId="64B9BFC4"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24,169 </w:t>
            </w:r>
          </w:p>
        </w:tc>
        <w:tc>
          <w:tcPr>
            <w:tcW w:w="846" w:type="pct"/>
            <w:tcBorders>
              <w:top w:val="nil"/>
              <w:left w:val="nil"/>
              <w:bottom w:val="single" w:sz="4" w:space="0" w:color="auto"/>
              <w:right w:val="single" w:sz="4" w:space="0" w:color="auto"/>
            </w:tcBorders>
            <w:noWrap/>
            <w:hideMark/>
          </w:tcPr>
          <w:p w14:paraId="44FEBAEA"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24,726 </w:t>
            </w:r>
          </w:p>
        </w:tc>
        <w:tc>
          <w:tcPr>
            <w:tcW w:w="703" w:type="pct"/>
            <w:tcBorders>
              <w:top w:val="nil"/>
              <w:left w:val="nil"/>
              <w:bottom w:val="single" w:sz="4" w:space="0" w:color="auto"/>
              <w:right w:val="single" w:sz="4" w:space="0" w:color="auto"/>
            </w:tcBorders>
            <w:noWrap/>
            <w:hideMark/>
          </w:tcPr>
          <w:p w14:paraId="7B556E62"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24,728 </w:t>
            </w:r>
          </w:p>
        </w:tc>
      </w:tr>
      <w:tr w:rsidR="00D24603" w:rsidRPr="0090746C" w14:paraId="3C6AA7CD" w14:textId="77777777" w:rsidTr="00435936">
        <w:trPr>
          <w:trHeight w:val="300"/>
        </w:trPr>
        <w:tc>
          <w:tcPr>
            <w:tcW w:w="634" w:type="pct"/>
            <w:tcBorders>
              <w:top w:val="nil"/>
              <w:left w:val="single" w:sz="4" w:space="0" w:color="auto"/>
              <w:bottom w:val="single" w:sz="4" w:space="0" w:color="auto"/>
              <w:right w:val="single" w:sz="4" w:space="0" w:color="auto"/>
            </w:tcBorders>
            <w:noWrap/>
            <w:vAlign w:val="bottom"/>
            <w:hideMark/>
          </w:tcPr>
          <w:p w14:paraId="08F0F36F" w14:textId="77777777" w:rsidR="00D24603" w:rsidRPr="0090746C"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20</w:t>
            </w:r>
          </w:p>
        </w:tc>
        <w:tc>
          <w:tcPr>
            <w:tcW w:w="704" w:type="pct"/>
            <w:tcBorders>
              <w:top w:val="nil"/>
              <w:left w:val="nil"/>
              <w:bottom w:val="single" w:sz="4" w:space="0" w:color="auto"/>
              <w:right w:val="single" w:sz="4" w:space="0" w:color="auto"/>
            </w:tcBorders>
            <w:noWrap/>
            <w:hideMark/>
          </w:tcPr>
          <w:p w14:paraId="1EB79C94"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5,735 </w:t>
            </w:r>
          </w:p>
        </w:tc>
        <w:tc>
          <w:tcPr>
            <w:tcW w:w="704" w:type="pct"/>
            <w:tcBorders>
              <w:top w:val="nil"/>
              <w:left w:val="nil"/>
              <w:bottom w:val="single" w:sz="4" w:space="0" w:color="auto"/>
              <w:right w:val="single" w:sz="4" w:space="0" w:color="auto"/>
            </w:tcBorders>
            <w:noWrap/>
            <w:hideMark/>
          </w:tcPr>
          <w:p w14:paraId="04FE9689"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5,737 </w:t>
            </w:r>
          </w:p>
        </w:tc>
        <w:tc>
          <w:tcPr>
            <w:tcW w:w="704" w:type="pct"/>
            <w:tcBorders>
              <w:top w:val="nil"/>
              <w:left w:val="nil"/>
              <w:bottom w:val="single" w:sz="4" w:space="0" w:color="auto"/>
              <w:right w:val="single" w:sz="4" w:space="0" w:color="auto"/>
            </w:tcBorders>
            <w:noWrap/>
            <w:hideMark/>
          </w:tcPr>
          <w:p w14:paraId="35E1C529"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5,882 </w:t>
            </w:r>
          </w:p>
        </w:tc>
        <w:tc>
          <w:tcPr>
            <w:tcW w:w="704" w:type="pct"/>
            <w:tcBorders>
              <w:top w:val="nil"/>
              <w:left w:val="nil"/>
              <w:bottom w:val="single" w:sz="4" w:space="0" w:color="auto"/>
              <w:right w:val="single" w:sz="4" w:space="0" w:color="auto"/>
            </w:tcBorders>
            <w:noWrap/>
            <w:hideMark/>
          </w:tcPr>
          <w:p w14:paraId="315582FF"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5,928 </w:t>
            </w:r>
          </w:p>
        </w:tc>
        <w:tc>
          <w:tcPr>
            <w:tcW w:w="846" w:type="pct"/>
            <w:tcBorders>
              <w:top w:val="nil"/>
              <w:left w:val="nil"/>
              <w:bottom w:val="single" w:sz="4" w:space="0" w:color="auto"/>
              <w:right w:val="single" w:sz="4" w:space="0" w:color="auto"/>
            </w:tcBorders>
            <w:noWrap/>
            <w:hideMark/>
          </w:tcPr>
          <w:p w14:paraId="388F46F4"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6,146 </w:t>
            </w:r>
          </w:p>
        </w:tc>
        <w:tc>
          <w:tcPr>
            <w:tcW w:w="703" w:type="pct"/>
            <w:tcBorders>
              <w:top w:val="nil"/>
              <w:left w:val="nil"/>
              <w:bottom w:val="single" w:sz="4" w:space="0" w:color="auto"/>
              <w:right w:val="single" w:sz="4" w:space="0" w:color="auto"/>
            </w:tcBorders>
            <w:noWrap/>
            <w:hideMark/>
          </w:tcPr>
          <w:p w14:paraId="6BA1E211"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6,148 </w:t>
            </w:r>
          </w:p>
        </w:tc>
      </w:tr>
      <w:tr w:rsidR="00D24603" w:rsidRPr="0090746C" w14:paraId="53831153" w14:textId="77777777" w:rsidTr="00435936">
        <w:trPr>
          <w:trHeight w:val="300"/>
        </w:trPr>
        <w:tc>
          <w:tcPr>
            <w:tcW w:w="634" w:type="pct"/>
            <w:tcBorders>
              <w:top w:val="nil"/>
              <w:left w:val="single" w:sz="4" w:space="0" w:color="auto"/>
              <w:bottom w:val="single" w:sz="4" w:space="0" w:color="auto"/>
              <w:right w:val="single" w:sz="4" w:space="0" w:color="auto"/>
            </w:tcBorders>
            <w:noWrap/>
            <w:vAlign w:val="bottom"/>
            <w:hideMark/>
          </w:tcPr>
          <w:p w14:paraId="62B4469A" w14:textId="77777777" w:rsidR="00D24603" w:rsidRPr="0090746C"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21</w:t>
            </w:r>
            <w:r>
              <w:rPr>
                <w:rFonts w:ascii="Calibri" w:eastAsia="Times New Roman" w:hAnsi="Calibri" w:cs="Calibri"/>
                <w:color w:val="000000"/>
                <w:kern w:val="0"/>
                <w:sz w:val="22"/>
                <w:szCs w:val="22"/>
                <w14:ligatures w14:val="none"/>
              </w:rPr>
              <w:t>*</w:t>
            </w:r>
          </w:p>
        </w:tc>
        <w:tc>
          <w:tcPr>
            <w:tcW w:w="704" w:type="pct"/>
            <w:tcBorders>
              <w:top w:val="nil"/>
              <w:left w:val="nil"/>
              <w:bottom w:val="single" w:sz="4" w:space="0" w:color="auto"/>
              <w:right w:val="single" w:sz="4" w:space="0" w:color="auto"/>
            </w:tcBorders>
            <w:noWrap/>
            <w:hideMark/>
          </w:tcPr>
          <w:p w14:paraId="390567B3"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4,610 </w:t>
            </w:r>
          </w:p>
        </w:tc>
        <w:tc>
          <w:tcPr>
            <w:tcW w:w="704" w:type="pct"/>
            <w:tcBorders>
              <w:top w:val="nil"/>
              <w:left w:val="nil"/>
              <w:bottom w:val="single" w:sz="4" w:space="0" w:color="auto"/>
              <w:right w:val="single" w:sz="4" w:space="0" w:color="auto"/>
            </w:tcBorders>
            <w:noWrap/>
            <w:hideMark/>
          </w:tcPr>
          <w:p w14:paraId="1F680B22"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4,610 </w:t>
            </w:r>
          </w:p>
        </w:tc>
        <w:tc>
          <w:tcPr>
            <w:tcW w:w="704" w:type="pct"/>
            <w:tcBorders>
              <w:top w:val="nil"/>
              <w:left w:val="nil"/>
              <w:bottom w:val="single" w:sz="4" w:space="0" w:color="auto"/>
              <w:right w:val="single" w:sz="4" w:space="0" w:color="auto"/>
            </w:tcBorders>
            <w:noWrap/>
            <w:hideMark/>
          </w:tcPr>
          <w:p w14:paraId="757FC74E"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4,665 </w:t>
            </w:r>
          </w:p>
        </w:tc>
        <w:tc>
          <w:tcPr>
            <w:tcW w:w="704" w:type="pct"/>
            <w:tcBorders>
              <w:top w:val="nil"/>
              <w:left w:val="nil"/>
              <w:bottom w:val="single" w:sz="4" w:space="0" w:color="auto"/>
              <w:right w:val="single" w:sz="4" w:space="0" w:color="auto"/>
            </w:tcBorders>
            <w:noWrap/>
            <w:hideMark/>
          </w:tcPr>
          <w:p w14:paraId="420DDEC4"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4,850 </w:t>
            </w:r>
          </w:p>
        </w:tc>
        <w:tc>
          <w:tcPr>
            <w:tcW w:w="846" w:type="pct"/>
            <w:tcBorders>
              <w:top w:val="nil"/>
              <w:left w:val="nil"/>
              <w:bottom w:val="single" w:sz="4" w:space="0" w:color="auto"/>
              <w:right w:val="single" w:sz="4" w:space="0" w:color="auto"/>
            </w:tcBorders>
            <w:noWrap/>
            <w:hideMark/>
          </w:tcPr>
          <w:p w14:paraId="2927E08B"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4,978 </w:t>
            </w:r>
          </w:p>
        </w:tc>
        <w:tc>
          <w:tcPr>
            <w:tcW w:w="703" w:type="pct"/>
            <w:tcBorders>
              <w:top w:val="nil"/>
              <w:left w:val="nil"/>
              <w:bottom w:val="single" w:sz="4" w:space="0" w:color="auto"/>
              <w:right w:val="single" w:sz="4" w:space="0" w:color="auto"/>
            </w:tcBorders>
            <w:noWrap/>
            <w:hideMark/>
          </w:tcPr>
          <w:p w14:paraId="79DDF814" w14:textId="77777777" w:rsidR="00D24603" w:rsidRPr="00A1732F"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b/>
                <w:bCs/>
                <w:sz w:val="22"/>
                <w:szCs w:val="22"/>
              </w:rPr>
              <w:t xml:space="preserve"> 4,978 </w:t>
            </w:r>
          </w:p>
        </w:tc>
      </w:tr>
      <w:tr w:rsidR="00D24603" w:rsidRPr="0090746C" w14:paraId="3D4FD865" w14:textId="77777777" w:rsidTr="00435936">
        <w:trPr>
          <w:trHeight w:val="300"/>
        </w:trPr>
        <w:tc>
          <w:tcPr>
            <w:tcW w:w="634" w:type="pct"/>
            <w:tcBorders>
              <w:top w:val="nil"/>
              <w:left w:val="single" w:sz="4" w:space="0" w:color="auto"/>
              <w:bottom w:val="single" w:sz="4" w:space="0" w:color="auto"/>
              <w:right w:val="single" w:sz="4" w:space="0" w:color="auto"/>
            </w:tcBorders>
            <w:noWrap/>
            <w:vAlign w:val="bottom"/>
            <w:hideMark/>
          </w:tcPr>
          <w:p w14:paraId="663C72F1" w14:textId="77777777" w:rsidR="00D24603" w:rsidRPr="0090746C"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22</w:t>
            </w:r>
            <w:r>
              <w:rPr>
                <w:rFonts w:ascii="Calibri" w:eastAsia="Times New Roman" w:hAnsi="Calibri" w:cs="Calibri"/>
                <w:color w:val="000000"/>
                <w:kern w:val="0"/>
                <w:sz w:val="22"/>
                <w:szCs w:val="22"/>
                <w14:ligatures w14:val="none"/>
              </w:rPr>
              <w:t>*</w:t>
            </w:r>
          </w:p>
        </w:tc>
        <w:tc>
          <w:tcPr>
            <w:tcW w:w="704" w:type="pct"/>
            <w:tcBorders>
              <w:top w:val="nil"/>
              <w:left w:val="nil"/>
              <w:bottom w:val="single" w:sz="4" w:space="0" w:color="auto"/>
              <w:right w:val="single" w:sz="4" w:space="0" w:color="auto"/>
            </w:tcBorders>
            <w:noWrap/>
            <w:hideMark/>
          </w:tcPr>
          <w:p w14:paraId="381286EE"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4,664 </w:t>
            </w:r>
          </w:p>
        </w:tc>
        <w:tc>
          <w:tcPr>
            <w:tcW w:w="704" w:type="pct"/>
            <w:tcBorders>
              <w:top w:val="nil"/>
              <w:left w:val="nil"/>
              <w:bottom w:val="single" w:sz="4" w:space="0" w:color="auto"/>
              <w:right w:val="single" w:sz="4" w:space="0" w:color="auto"/>
            </w:tcBorders>
            <w:noWrap/>
            <w:hideMark/>
          </w:tcPr>
          <w:p w14:paraId="39CF2A35"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4,664 </w:t>
            </w:r>
          </w:p>
        </w:tc>
        <w:tc>
          <w:tcPr>
            <w:tcW w:w="704" w:type="pct"/>
            <w:tcBorders>
              <w:top w:val="nil"/>
              <w:left w:val="nil"/>
              <w:bottom w:val="single" w:sz="4" w:space="0" w:color="auto"/>
              <w:right w:val="single" w:sz="4" w:space="0" w:color="auto"/>
            </w:tcBorders>
            <w:noWrap/>
            <w:hideMark/>
          </w:tcPr>
          <w:p w14:paraId="5B93139C"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4,803 </w:t>
            </w:r>
          </w:p>
        </w:tc>
        <w:tc>
          <w:tcPr>
            <w:tcW w:w="704" w:type="pct"/>
            <w:tcBorders>
              <w:top w:val="nil"/>
              <w:left w:val="nil"/>
              <w:bottom w:val="single" w:sz="4" w:space="0" w:color="auto"/>
              <w:right w:val="single" w:sz="4" w:space="0" w:color="auto"/>
            </w:tcBorders>
            <w:noWrap/>
            <w:hideMark/>
          </w:tcPr>
          <w:p w14:paraId="34643824"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4,830 </w:t>
            </w:r>
          </w:p>
        </w:tc>
        <w:tc>
          <w:tcPr>
            <w:tcW w:w="846" w:type="pct"/>
            <w:tcBorders>
              <w:top w:val="nil"/>
              <w:left w:val="nil"/>
              <w:bottom w:val="single" w:sz="4" w:space="0" w:color="auto"/>
              <w:right w:val="single" w:sz="4" w:space="0" w:color="auto"/>
            </w:tcBorders>
            <w:noWrap/>
            <w:hideMark/>
          </w:tcPr>
          <w:p w14:paraId="03CA8936"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5,059 </w:t>
            </w:r>
          </w:p>
        </w:tc>
        <w:tc>
          <w:tcPr>
            <w:tcW w:w="703" w:type="pct"/>
            <w:tcBorders>
              <w:top w:val="nil"/>
              <w:left w:val="nil"/>
              <w:bottom w:val="single" w:sz="4" w:space="0" w:color="auto"/>
              <w:right w:val="single" w:sz="4" w:space="0" w:color="auto"/>
            </w:tcBorders>
            <w:noWrap/>
            <w:hideMark/>
          </w:tcPr>
          <w:p w14:paraId="0BFE7EB7" w14:textId="77777777" w:rsidR="00D24603" w:rsidRPr="00A1732F"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b/>
                <w:bCs/>
                <w:sz w:val="22"/>
                <w:szCs w:val="22"/>
              </w:rPr>
              <w:t xml:space="preserve"> 5,059 </w:t>
            </w:r>
          </w:p>
        </w:tc>
      </w:tr>
      <w:tr w:rsidR="00D24603" w:rsidRPr="0090746C" w14:paraId="4ACFA219" w14:textId="77777777" w:rsidTr="00435936">
        <w:trPr>
          <w:trHeight w:val="300"/>
        </w:trPr>
        <w:tc>
          <w:tcPr>
            <w:tcW w:w="634" w:type="pct"/>
            <w:tcBorders>
              <w:top w:val="nil"/>
              <w:left w:val="single" w:sz="4" w:space="0" w:color="auto"/>
              <w:bottom w:val="single" w:sz="4" w:space="0" w:color="auto"/>
              <w:right w:val="single" w:sz="4" w:space="0" w:color="auto"/>
            </w:tcBorders>
            <w:noWrap/>
            <w:vAlign w:val="bottom"/>
            <w:hideMark/>
          </w:tcPr>
          <w:p w14:paraId="3B2D7116" w14:textId="77777777" w:rsidR="00D24603" w:rsidRPr="0090746C"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23</w:t>
            </w:r>
            <w:r>
              <w:rPr>
                <w:rFonts w:ascii="Calibri" w:eastAsia="Times New Roman" w:hAnsi="Calibri" w:cs="Calibri"/>
                <w:color w:val="000000"/>
                <w:kern w:val="0"/>
                <w:sz w:val="22"/>
                <w:szCs w:val="22"/>
                <w14:ligatures w14:val="none"/>
              </w:rPr>
              <w:t>*</w:t>
            </w:r>
          </w:p>
        </w:tc>
        <w:tc>
          <w:tcPr>
            <w:tcW w:w="704" w:type="pct"/>
            <w:tcBorders>
              <w:top w:val="nil"/>
              <w:left w:val="nil"/>
              <w:bottom w:val="single" w:sz="4" w:space="0" w:color="auto"/>
              <w:right w:val="single" w:sz="4" w:space="0" w:color="auto"/>
            </w:tcBorders>
            <w:noWrap/>
            <w:hideMark/>
          </w:tcPr>
          <w:p w14:paraId="59581D07"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8,487 </w:t>
            </w:r>
          </w:p>
        </w:tc>
        <w:tc>
          <w:tcPr>
            <w:tcW w:w="704" w:type="pct"/>
            <w:tcBorders>
              <w:top w:val="nil"/>
              <w:left w:val="nil"/>
              <w:bottom w:val="single" w:sz="4" w:space="0" w:color="auto"/>
              <w:right w:val="single" w:sz="4" w:space="0" w:color="auto"/>
            </w:tcBorders>
            <w:noWrap/>
            <w:hideMark/>
          </w:tcPr>
          <w:p w14:paraId="245E6CB0"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8,487 </w:t>
            </w:r>
          </w:p>
        </w:tc>
        <w:tc>
          <w:tcPr>
            <w:tcW w:w="704" w:type="pct"/>
            <w:tcBorders>
              <w:top w:val="nil"/>
              <w:left w:val="nil"/>
              <w:bottom w:val="single" w:sz="4" w:space="0" w:color="auto"/>
              <w:right w:val="single" w:sz="4" w:space="0" w:color="auto"/>
            </w:tcBorders>
            <w:noWrap/>
            <w:hideMark/>
          </w:tcPr>
          <w:p w14:paraId="557C58EE"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8,667 </w:t>
            </w:r>
          </w:p>
        </w:tc>
        <w:tc>
          <w:tcPr>
            <w:tcW w:w="704" w:type="pct"/>
            <w:tcBorders>
              <w:top w:val="nil"/>
              <w:left w:val="nil"/>
              <w:bottom w:val="single" w:sz="4" w:space="0" w:color="auto"/>
              <w:right w:val="single" w:sz="4" w:space="0" w:color="auto"/>
            </w:tcBorders>
            <w:noWrap/>
            <w:hideMark/>
          </w:tcPr>
          <w:p w14:paraId="1E6C76C2"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8,795 </w:t>
            </w:r>
          </w:p>
        </w:tc>
        <w:tc>
          <w:tcPr>
            <w:tcW w:w="846" w:type="pct"/>
            <w:tcBorders>
              <w:top w:val="nil"/>
              <w:left w:val="nil"/>
              <w:bottom w:val="single" w:sz="4" w:space="0" w:color="auto"/>
              <w:right w:val="single" w:sz="4" w:space="0" w:color="auto"/>
            </w:tcBorders>
            <w:noWrap/>
            <w:hideMark/>
          </w:tcPr>
          <w:p w14:paraId="4214B137"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9,221 </w:t>
            </w:r>
          </w:p>
        </w:tc>
        <w:tc>
          <w:tcPr>
            <w:tcW w:w="703" w:type="pct"/>
            <w:tcBorders>
              <w:top w:val="nil"/>
              <w:left w:val="nil"/>
              <w:bottom w:val="single" w:sz="4" w:space="0" w:color="auto"/>
              <w:right w:val="single" w:sz="4" w:space="0" w:color="auto"/>
            </w:tcBorders>
            <w:noWrap/>
            <w:hideMark/>
          </w:tcPr>
          <w:p w14:paraId="2EDF626C" w14:textId="77777777" w:rsidR="00D24603" w:rsidRPr="00A1732F"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b/>
                <w:bCs/>
                <w:sz w:val="22"/>
                <w:szCs w:val="22"/>
              </w:rPr>
              <w:t xml:space="preserve"> 9,221 </w:t>
            </w:r>
          </w:p>
        </w:tc>
      </w:tr>
      <w:tr w:rsidR="00D24603" w:rsidRPr="0090746C" w14:paraId="6E1BB000" w14:textId="77777777" w:rsidTr="00435936">
        <w:trPr>
          <w:trHeight w:val="300"/>
        </w:trPr>
        <w:tc>
          <w:tcPr>
            <w:tcW w:w="634" w:type="pct"/>
            <w:tcBorders>
              <w:top w:val="nil"/>
              <w:left w:val="single" w:sz="4" w:space="0" w:color="auto"/>
              <w:bottom w:val="single" w:sz="4" w:space="0" w:color="auto"/>
              <w:right w:val="single" w:sz="4" w:space="0" w:color="auto"/>
            </w:tcBorders>
            <w:noWrap/>
            <w:vAlign w:val="bottom"/>
            <w:hideMark/>
          </w:tcPr>
          <w:p w14:paraId="1A8A8342" w14:textId="77777777" w:rsidR="00D24603" w:rsidRPr="0090746C"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24</w:t>
            </w:r>
          </w:p>
        </w:tc>
        <w:tc>
          <w:tcPr>
            <w:tcW w:w="704" w:type="pct"/>
            <w:tcBorders>
              <w:top w:val="nil"/>
              <w:left w:val="nil"/>
              <w:bottom w:val="single" w:sz="4" w:space="0" w:color="auto"/>
              <w:right w:val="single" w:sz="4" w:space="0" w:color="auto"/>
            </w:tcBorders>
            <w:noWrap/>
            <w:hideMark/>
          </w:tcPr>
          <w:p w14:paraId="4EDA3D36"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2,417 </w:t>
            </w:r>
          </w:p>
        </w:tc>
        <w:tc>
          <w:tcPr>
            <w:tcW w:w="704" w:type="pct"/>
            <w:tcBorders>
              <w:top w:val="nil"/>
              <w:left w:val="nil"/>
              <w:bottom w:val="single" w:sz="4" w:space="0" w:color="auto"/>
              <w:right w:val="single" w:sz="4" w:space="0" w:color="auto"/>
            </w:tcBorders>
            <w:noWrap/>
            <w:hideMark/>
          </w:tcPr>
          <w:p w14:paraId="256B3056"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2,417 </w:t>
            </w:r>
          </w:p>
        </w:tc>
        <w:tc>
          <w:tcPr>
            <w:tcW w:w="704" w:type="pct"/>
            <w:tcBorders>
              <w:top w:val="nil"/>
              <w:left w:val="nil"/>
              <w:bottom w:val="single" w:sz="4" w:space="0" w:color="auto"/>
              <w:right w:val="single" w:sz="4" w:space="0" w:color="auto"/>
            </w:tcBorders>
            <w:noWrap/>
            <w:hideMark/>
          </w:tcPr>
          <w:p w14:paraId="1C2A266A"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2,475 </w:t>
            </w:r>
          </w:p>
        </w:tc>
        <w:tc>
          <w:tcPr>
            <w:tcW w:w="704" w:type="pct"/>
            <w:tcBorders>
              <w:top w:val="nil"/>
              <w:left w:val="nil"/>
              <w:bottom w:val="single" w:sz="4" w:space="0" w:color="auto"/>
              <w:right w:val="single" w:sz="4" w:space="0" w:color="auto"/>
            </w:tcBorders>
            <w:noWrap/>
            <w:hideMark/>
          </w:tcPr>
          <w:p w14:paraId="18107BD0"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2,505 </w:t>
            </w:r>
          </w:p>
        </w:tc>
        <w:tc>
          <w:tcPr>
            <w:tcW w:w="846" w:type="pct"/>
            <w:tcBorders>
              <w:top w:val="nil"/>
              <w:left w:val="nil"/>
              <w:bottom w:val="single" w:sz="4" w:space="0" w:color="auto"/>
              <w:right w:val="single" w:sz="4" w:space="0" w:color="auto"/>
            </w:tcBorders>
            <w:noWrap/>
            <w:hideMark/>
          </w:tcPr>
          <w:p w14:paraId="4B6AA318"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2,584 </w:t>
            </w:r>
          </w:p>
        </w:tc>
        <w:tc>
          <w:tcPr>
            <w:tcW w:w="703" w:type="pct"/>
            <w:tcBorders>
              <w:top w:val="nil"/>
              <w:left w:val="nil"/>
              <w:bottom w:val="single" w:sz="4" w:space="0" w:color="auto"/>
              <w:right w:val="single" w:sz="4" w:space="0" w:color="auto"/>
            </w:tcBorders>
            <w:noWrap/>
            <w:hideMark/>
          </w:tcPr>
          <w:p w14:paraId="54FFA2F7"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2,584 </w:t>
            </w:r>
          </w:p>
        </w:tc>
      </w:tr>
      <w:tr w:rsidR="00D24603" w:rsidRPr="0090746C" w14:paraId="71DE8DC2" w14:textId="77777777" w:rsidTr="00435936">
        <w:trPr>
          <w:trHeight w:val="300"/>
        </w:trPr>
        <w:tc>
          <w:tcPr>
            <w:tcW w:w="634" w:type="pct"/>
            <w:tcBorders>
              <w:top w:val="nil"/>
              <w:left w:val="single" w:sz="4" w:space="0" w:color="auto"/>
              <w:bottom w:val="single" w:sz="4" w:space="0" w:color="auto"/>
              <w:right w:val="single" w:sz="4" w:space="0" w:color="auto"/>
            </w:tcBorders>
            <w:noWrap/>
            <w:vAlign w:val="bottom"/>
            <w:hideMark/>
          </w:tcPr>
          <w:p w14:paraId="373BDAC6" w14:textId="77777777" w:rsidR="00D24603" w:rsidRPr="0090746C"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25</w:t>
            </w:r>
          </w:p>
        </w:tc>
        <w:tc>
          <w:tcPr>
            <w:tcW w:w="704" w:type="pct"/>
            <w:tcBorders>
              <w:top w:val="nil"/>
              <w:left w:val="nil"/>
              <w:bottom w:val="single" w:sz="4" w:space="0" w:color="auto"/>
              <w:right w:val="single" w:sz="4" w:space="0" w:color="auto"/>
            </w:tcBorders>
            <w:noWrap/>
            <w:hideMark/>
          </w:tcPr>
          <w:p w14:paraId="0E44B1A1"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7,497 </w:t>
            </w:r>
          </w:p>
        </w:tc>
        <w:tc>
          <w:tcPr>
            <w:tcW w:w="704" w:type="pct"/>
            <w:tcBorders>
              <w:top w:val="nil"/>
              <w:left w:val="nil"/>
              <w:bottom w:val="single" w:sz="4" w:space="0" w:color="auto"/>
              <w:right w:val="single" w:sz="4" w:space="0" w:color="auto"/>
            </w:tcBorders>
            <w:noWrap/>
            <w:hideMark/>
          </w:tcPr>
          <w:p w14:paraId="7C5F1CD7"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7,497 </w:t>
            </w:r>
          </w:p>
        </w:tc>
        <w:tc>
          <w:tcPr>
            <w:tcW w:w="704" w:type="pct"/>
            <w:tcBorders>
              <w:top w:val="nil"/>
              <w:left w:val="nil"/>
              <w:bottom w:val="single" w:sz="4" w:space="0" w:color="auto"/>
              <w:right w:val="single" w:sz="4" w:space="0" w:color="auto"/>
            </w:tcBorders>
            <w:noWrap/>
            <w:hideMark/>
          </w:tcPr>
          <w:p w14:paraId="67E25C83"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7,650 </w:t>
            </w:r>
          </w:p>
        </w:tc>
        <w:tc>
          <w:tcPr>
            <w:tcW w:w="704" w:type="pct"/>
            <w:tcBorders>
              <w:top w:val="nil"/>
              <w:left w:val="nil"/>
              <w:bottom w:val="single" w:sz="4" w:space="0" w:color="auto"/>
              <w:right w:val="single" w:sz="4" w:space="0" w:color="auto"/>
            </w:tcBorders>
            <w:noWrap/>
            <w:hideMark/>
          </w:tcPr>
          <w:p w14:paraId="720409E5"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7,824 </w:t>
            </w:r>
          </w:p>
        </w:tc>
        <w:tc>
          <w:tcPr>
            <w:tcW w:w="846" w:type="pct"/>
            <w:tcBorders>
              <w:top w:val="nil"/>
              <w:left w:val="nil"/>
              <w:bottom w:val="single" w:sz="4" w:space="0" w:color="auto"/>
              <w:right w:val="single" w:sz="4" w:space="0" w:color="auto"/>
            </w:tcBorders>
            <w:noWrap/>
            <w:hideMark/>
          </w:tcPr>
          <w:p w14:paraId="1FFC7D25"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8,256 </w:t>
            </w:r>
          </w:p>
        </w:tc>
        <w:tc>
          <w:tcPr>
            <w:tcW w:w="703" w:type="pct"/>
            <w:tcBorders>
              <w:top w:val="nil"/>
              <w:left w:val="nil"/>
              <w:bottom w:val="single" w:sz="4" w:space="0" w:color="auto"/>
              <w:right w:val="single" w:sz="4" w:space="0" w:color="auto"/>
            </w:tcBorders>
            <w:noWrap/>
            <w:hideMark/>
          </w:tcPr>
          <w:p w14:paraId="3459BE19"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8,256 </w:t>
            </w:r>
          </w:p>
        </w:tc>
      </w:tr>
      <w:tr w:rsidR="00D24603" w:rsidRPr="0090746C" w14:paraId="580D4DA7" w14:textId="77777777" w:rsidTr="00435936">
        <w:trPr>
          <w:trHeight w:val="300"/>
        </w:trPr>
        <w:tc>
          <w:tcPr>
            <w:tcW w:w="634" w:type="pct"/>
            <w:tcBorders>
              <w:top w:val="nil"/>
              <w:left w:val="single" w:sz="4" w:space="0" w:color="auto"/>
              <w:bottom w:val="single" w:sz="4" w:space="0" w:color="auto"/>
              <w:right w:val="single" w:sz="4" w:space="0" w:color="auto"/>
            </w:tcBorders>
            <w:noWrap/>
            <w:vAlign w:val="bottom"/>
            <w:hideMark/>
          </w:tcPr>
          <w:p w14:paraId="01F15307" w14:textId="77777777" w:rsidR="00D24603" w:rsidRPr="0090746C"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26</w:t>
            </w:r>
            <w:r>
              <w:rPr>
                <w:rFonts w:ascii="Calibri" w:eastAsia="Times New Roman" w:hAnsi="Calibri" w:cs="Calibri"/>
                <w:color w:val="000000"/>
                <w:kern w:val="0"/>
                <w:sz w:val="22"/>
                <w:szCs w:val="22"/>
                <w14:ligatures w14:val="none"/>
              </w:rPr>
              <w:t>*</w:t>
            </w:r>
          </w:p>
        </w:tc>
        <w:tc>
          <w:tcPr>
            <w:tcW w:w="704" w:type="pct"/>
            <w:tcBorders>
              <w:top w:val="nil"/>
              <w:left w:val="nil"/>
              <w:bottom w:val="single" w:sz="4" w:space="0" w:color="auto"/>
              <w:right w:val="single" w:sz="4" w:space="0" w:color="auto"/>
            </w:tcBorders>
            <w:noWrap/>
            <w:hideMark/>
          </w:tcPr>
          <w:p w14:paraId="220AD749"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24,918 </w:t>
            </w:r>
          </w:p>
        </w:tc>
        <w:tc>
          <w:tcPr>
            <w:tcW w:w="704" w:type="pct"/>
            <w:tcBorders>
              <w:top w:val="nil"/>
              <w:left w:val="nil"/>
              <w:bottom w:val="single" w:sz="4" w:space="0" w:color="auto"/>
              <w:right w:val="single" w:sz="4" w:space="0" w:color="auto"/>
            </w:tcBorders>
            <w:noWrap/>
            <w:hideMark/>
          </w:tcPr>
          <w:p w14:paraId="14F1D7A7"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24,918 </w:t>
            </w:r>
          </w:p>
        </w:tc>
        <w:tc>
          <w:tcPr>
            <w:tcW w:w="704" w:type="pct"/>
            <w:tcBorders>
              <w:top w:val="nil"/>
              <w:left w:val="nil"/>
              <w:bottom w:val="single" w:sz="4" w:space="0" w:color="auto"/>
              <w:right w:val="single" w:sz="4" w:space="0" w:color="auto"/>
            </w:tcBorders>
            <w:noWrap/>
            <w:hideMark/>
          </w:tcPr>
          <w:p w14:paraId="1CEADAC4"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25,285 </w:t>
            </w:r>
          </w:p>
        </w:tc>
        <w:tc>
          <w:tcPr>
            <w:tcW w:w="704" w:type="pct"/>
            <w:tcBorders>
              <w:top w:val="nil"/>
              <w:left w:val="nil"/>
              <w:bottom w:val="single" w:sz="4" w:space="0" w:color="auto"/>
              <w:right w:val="single" w:sz="4" w:space="0" w:color="auto"/>
            </w:tcBorders>
            <w:noWrap/>
            <w:hideMark/>
          </w:tcPr>
          <w:p w14:paraId="78D75469" w14:textId="77777777" w:rsidR="00D24603" w:rsidRPr="00300B99"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sz w:val="22"/>
                <w:szCs w:val="22"/>
              </w:rPr>
              <w:t xml:space="preserve"> 25,874 </w:t>
            </w:r>
          </w:p>
        </w:tc>
        <w:tc>
          <w:tcPr>
            <w:tcW w:w="846" w:type="pct"/>
            <w:tcBorders>
              <w:top w:val="nil"/>
              <w:left w:val="nil"/>
              <w:bottom w:val="single" w:sz="4" w:space="0" w:color="auto"/>
              <w:right w:val="single" w:sz="4" w:space="0" w:color="auto"/>
            </w:tcBorders>
            <w:noWrap/>
            <w:hideMark/>
          </w:tcPr>
          <w:p w14:paraId="77CE3DB9" w14:textId="77777777" w:rsidR="00D24603" w:rsidRPr="00300B99" w:rsidRDefault="00D24603" w:rsidP="00CE3D62">
            <w:pPr>
              <w:spacing w:after="0"/>
              <w:jc w:val="center"/>
              <w:rPr>
                <w:rFonts w:ascii="Calibri" w:eastAsia="Times New Roman" w:hAnsi="Calibri" w:cs="Calibri"/>
                <w:b/>
                <w:bCs/>
                <w:color w:val="000000"/>
                <w:kern w:val="0"/>
                <w:sz w:val="22"/>
                <w:szCs w:val="22"/>
                <w14:ligatures w14:val="none"/>
              </w:rPr>
            </w:pPr>
            <w:r w:rsidRPr="00300B99">
              <w:rPr>
                <w:rFonts w:ascii="Calibri" w:hAnsi="Calibri" w:cs="Calibri"/>
                <w:b/>
                <w:bCs/>
                <w:sz w:val="22"/>
                <w:szCs w:val="22"/>
              </w:rPr>
              <w:t xml:space="preserve"> 26,430 </w:t>
            </w:r>
          </w:p>
        </w:tc>
        <w:tc>
          <w:tcPr>
            <w:tcW w:w="703" w:type="pct"/>
            <w:tcBorders>
              <w:top w:val="nil"/>
              <w:left w:val="nil"/>
              <w:bottom w:val="single" w:sz="4" w:space="0" w:color="auto"/>
              <w:right w:val="single" w:sz="4" w:space="0" w:color="auto"/>
            </w:tcBorders>
            <w:noWrap/>
            <w:hideMark/>
          </w:tcPr>
          <w:p w14:paraId="3E22CC88" w14:textId="77777777" w:rsidR="00D24603" w:rsidRPr="00A1732F" w:rsidRDefault="00D24603" w:rsidP="00CE3D62">
            <w:pPr>
              <w:spacing w:after="0"/>
              <w:jc w:val="center"/>
              <w:rPr>
                <w:rFonts w:ascii="Calibri" w:eastAsia="Times New Roman" w:hAnsi="Calibri" w:cs="Calibri"/>
                <w:color w:val="000000"/>
                <w:kern w:val="0"/>
                <w:sz w:val="22"/>
                <w:szCs w:val="22"/>
                <w14:ligatures w14:val="none"/>
              </w:rPr>
            </w:pPr>
            <w:r w:rsidRPr="00300B99">
              <w:rPr>
                <w:rFonts w:ascii="Calibri" w:hAnsi="Calibri" w:cs="Calibri"/>
                <w:b/>
                <w:bCs/>
                <w:sz w:val="22"/>
                <w:szCs w:val="22"/>
              </w:rPr>
              <w:t xml:space="preserve"> 26,430 </w:t>
            </w:r>
          </w:p>
        </w:tc>
      </w:tr>
    </w:tbl>
    <w:bookmarkEnd w:id="48"/>
    <w:p w14:paraId="1168EE1E" w14:textId="77777777" w:rsidR="00D24603" w:rsidRDefault="00D24603" w:rsidP="00CE3D62">
      <w:pPr>
        <w:spacing w:after="0"/>
        <w:rPr>
          <w:szCs w:val="20"/>
        </w:rPr>
      </w:pPr>
      <w:r w:rsidRPr="00F06B14">
        <w:rPr>
          <w:szCs w:val="20"/>
        </w:rPr>
        <w:t xml:space="preserve">Abbreviations: </w:t>
      </w:r>
      <w:r>
        <w:rPr>
          <w:szCs w:val="20"/>
        </w:rPr>
        <w:t>C = Community, EBP = Evidence-Based Practice.</w:t>
      </w:r>
    </w:p>
    <w:p w14:paraId="01839E57" w14:textId="77777777" w:rsidR="00D24603" w:rsidRPr="004E3B57" w:rsidRDefault="00D24603" w:rsidP="00CE3D62">
      <w:pPr>
        <w:spacing w:after="0"/>
        <w:rPr>
          <w:szCs w:val="20"/>
        </w:rPr>
      </w:pPr>
      <w:r w:rsidRPr="004E3B57">
        <w:rPr>
          <w:szCs w:val="20"/>
        </w:rPr>
        <w:t>*</w:t>
      </w:r>
      <w:r>
        <w:rPr>
          <w:szCs w:val="20"/>
        </w:rPr>
        <w:t xml:space="preserve"> N</w:t>
      </w:r>
      <w:r w:rsidRPr="004E3B57">
        <w:rPr>
          <w:szCs w:val="20"/>
        </w:rPr>
        <w:t>aloxone improvement scenarios were excluded as communities have already implemented enhanced naloxone distribution</w:t>
      </w:r>
      <w:r>
        <w:rPr>
          <w:szCs w:val="20"/>
        </w:rPr>
        <w:t>. Therefore, Scenarios 1 &amp; 2, and Scenarios 5 &amp; 6 are equivalent.</w:t>
      </w:r>
    </w:p>
    <w:p w14:paraId="315E0DE1" w14:textId="77777777" w:rsidR="00D24603" w:rsidRDefault="00D24603" w:rsidP="00D24603">
      <w:pPr>
        <w:rPr>
          <w:b/>
          <w:bCs/>
        </w:rPr>
      </w:pPr>
      <w:r>
        <w:rPr>
          <w:b/>
          <w:bCs/>
        </w:rPr>
        <w:br w:type="page"/>
      </w:r>
    </w:p>
    <w:p w14:paraId="004732E8" w14:textId="12DF872A" w:rsidR="00D24603" w:rsidRDefault="00CE3D62" w:rsidP="00CE3D62">
      <w:pPr>
        <w:spacing w:after="0"/>
      </w:pPr>
      <w:r>
        <w:rPr>
          <w:b/>
          <w:bCs/>
        </w:rPr>
        <w:lastRenderedPageBreak/>
        <w:t xml:space="preserve">Supplementary </w:t>
      </w:r>
      <w:r w:rsidR="00D24603" w:rsidRPr="00364A1D">
        <w:rPr>
          <w:b/>
          <w:bCs/>
        </w:rPr>
        <w:t xml:space="preserve">Table </w:t>
      </w:r>
      <w:r w:rsidR="00A87FBF">
        <w:rPr>
          <w:b/>
          <w:bCs/>
        </w:rPr>
        <w:t>2</w:t>
      </w:r>
      <w:r w:rsidR="00D24603">
        <w:rPr>
          <w:b/>
          <w:bCs/>
        </w:rPr>
        <w:t>4</w:t>
      </w:r>
      <w:r w:rsidR="00D24603" w:rsidRPr="00364A1D">
        <w:rPr>
          <w:b/>
          <w:bCs/>
        </w:rPr>
        <w:t>.</w:t>
      </w:r>
      <w:r w:rsidR="00D24603" w:rsidRPr="00364A1D">
        <w:t xml:space="preserve"> Distribution</w:t>
      </w:r>
      <w:r w:rsidR="00D24603" w:rsidRPr="009A4737">
        <w:t xml:space="preserve"> of healthc</w:t>
      </w:r>
      <w:r w:rsidR="00D24603" w:rsidRPr="00A87FBF">
        <w:t>are costs (</w:t>
      </w:r>
      <w:r w:rsidR="00A87FBF" w:rsidRPr="00A87FBF">
        <w:rPr>
          <w:szCs w:val="20"/>
        </w:rPr>
        <w:t>million US$,</w:t>
      </w:r>
      <w:r w:rsidR="00A87FBF" w:rsidRPr="00CE3D62">
        <w:rPr>
          <w:szCs w:val="20"/>
        </w:rPr>
        <w:t xml:space="preserve"> </w:t>
      </w:r>
      <w:r w:rsidR="00D24603">
        <w:t>2025-2030</w:t>
      </w:r>
      <w:r w:rsidR="00D24603" w:rsidRPr="00D52816">
        <w:t>)</w:t>
      </w:r>
      <w:r w:rsidR="00D24603" w:rsidRPr="009A4737">
        <w:t xml:space="preserve"> </w:t>
      </w:r>
      <w:r w:rsidR="00D24603">
        <w:t>Scenario 1 (“</w:t>
      </w:r>
      <w:r w:rsidR="00D24603" w:rsidRPr="004E3B57">
        <w:t xml:space="preserve">Maintain </w:t>
      </w:r>
      <w:r w:rsidR="00D24603">
        <w:t>2024</w:t>
      </w:r>
      <w:r w:rsidR="00D24603" w:rsidRPr="004E3B57">
        <w:t xml:space="preserve"> EBP Levels</w:t>
      </w:r>
      <w:r w:rsidR="00D24603">
        <w:t xml:space="preserve">”) </w:t>
      </w:r>
      <w:r w:rsidR="00D24603" w:rsidRPr="009A4737">
        <w:t>associated with opioid misuse in each community</w:t>
      </w:r>
      <w:r w:rsidR="00D24603">
        <w:t>.</w:t>
      </w:r>
    </w:p>
    <w:tbl>
      <w:tblPr>
        <w:tblW w:w="0" w:type="auto"/>
        <w:tblLook w:val="04A0" w:firstRow="1" w:lastRow="0" w:firstColumn="1" w:lastColumn="0" w:noHBand="0" w:noVBand="1"/>
      </w:tblPr>
      <w:tblGrid>
        <w:gridCol w:w="1280"/>
        <w:gridCol w:w="620"/>
        <w:gridCol w:w="1332"/>
        <w:gridCol w:w="1332"/>
        <w:gridCol w:w="1332"/>
        <w:gridCol w:w="1332"/>
        <w:gridCol w:w="840"/>
        <w:gridCol w:w="1090"/>
        <w:gridCol w:w="830"/>
      </w:tblGrid>
      <w:tr w:rsidR="00D24603" w:rsidRPr="00F13CA0" w14:paraId="7ED6DCFB" w14:textId="77777777" w:rsidTr="00435936">
        <w:trPr>
          <w:trHeight w:val="292"/>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467895CE"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sidRPr="00F13CA0">
              <w:rPr>
                <w:rFonts w:ascii="Calibri" w:eastAsia="Times New Roman" w:hAnsi="Calibri" w:cs="Calibri"/>
                <w:b/>
                <w:bCs/>
                <w:color w:val="000000"/>
                <w:kern w:val="0"/>
                <w:sz w:val="22"/>
                <w:szCs w:val="22"/>
                <w14:ligatures w14:val="none"/>
              </w:rPr>
              <w:t>Community</w:t>
            </w:r>
          </w:p>
        </w:tc>
        <w:tc>
          <w:tcPr>
            <w:tcW w:w="0" w:type="auto"/>
            <w:gridSpan w:val="8"/>
            <w:tcBorders>
              <w:top w:val="single" w:sz="4" w:space="0" w:color="auto"/>
              <w:left w:val="nil"/>
              <w:bottom w:val="single" w:sz="4" w:space="0" w:color="auto"/>
              <w:right w:val="single" w:sz="4" w:space="0" w:color="000000"/>
            </w:tcBorders>
            <w:shd w:val="clear" w:color="000000" w:fill="FFFFFF"/>
            <w:noWrap/>
            <w:vAlign w:val="center"/>
            <w:hideMark/>
          </w:tcPr>
          <w:p w14:paraId="1B17E5C8"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sidRPr="00F13CA0">
              <w:rPr>
                <w:rFonts w:ascii="Calibri" w:eastAsia="Times New Roman" w:hAnsi="Calibri" w:cs="Calibri"/>
                <w:b/>
                <w:bCs/>
                <w:color w:val="000000"/>
                <w:kern w:val="0"/>
                <w:sz w:val="22"/>
                <w:szCs w:val="22"/>
                <w14:ligatures w14:val="none"/>
              </w:rPr>
              <w:t>Maintain 2024 EBP Levels</w:t>
            </w:r>
            <w:r>
              <w:rPr>
                <w:rFonts w:ascii="Calibri" w:eastAsia="Times New Roman" w:hAnsi="Calibri" w:cs="Calibri"/>
                <w:b/>
                <w:bCs/>
                <w:color w:val="000000"/>
                <w:kern w:val="0"/>
                <w:sz w:val="22"/>
                <w:szCs w:val="22"/>
                <w14:ligatures w14:val="none"/>
              </w:rPr>
              <w:t xml:space="preserve"> (Scenario 1)</w:t>
            </w:r>
          </w:p>
        </w:tc>
      </w:tr>
      <w:tr w:rsidR="00D24603" w:rsidRPr="00F13CA0" w14:paraId="228270CD" w14:textId="77777777" w:rsidTr="00435936">
        <w:trPr>
          <w:trHeight w:val="87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3E87349" w14:textId="77777777" w:rsidR="00D24603" w:rsidRPr="00F13CA0" w:rsidRDefault="00D24603" w:rsidP="00CE3D62">
            <w:pPr>
              <w:spacing w:after="0"/>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nil"/>
            </w:tcBorders>
            <w:shd w:val="clear" w:color="000000" w:fill="FFFFFF"/>
            <w:noWrap/>
            <w:vAlign w:val="center"/>
            <w:hideMark/>
          </w:tcPr>
          <w:p w14:paraId="579B72C9"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sidRPr="00F13CA0">
              <w:rPr>
                <w:rFonts w:ascii="Calibri" w:eastAsia="Times New Roman" w:hAnsi="Calibri" w:cs="Calibri"/>
                <w:b/>
                <w:bCs/>
                <w:color w:val="000000"/>
                <w:kern w:val="0"/>
                <w:sz w:val="22"/>
                <w:szCs w:val="22"/>
                <w14:ligatures w14:val="none"/>
              </w:rPr>
              <w:t>EMS</w:t>
            </w:r>
          </w:p>
        </w:tc>
        <w:tc>
          <w:tcPr>
            <w:tcW w:w="0" w:type="auto"/>
            <w:tcBorders>
              <w:top w:val="nil"/>
              <w:left w:val="nil"/>
              <w:bottom w:val="single" w:sz="4" w:space="0" w:color="auto"/>
              <w:right w:val="nil"/>
            </w:tcBorders>
            <w:shd w:val="clear" w:color="000000" w:fill="FFFFFF"/>
            <w:vAlign w:val="center"/>
            <w:hideMark/>
          </w:tcPr>
          <w:p w14:paraId="018F7CDD"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sidRPr="00F13CA0">
              <w:rPr>
                <w:rFonts w:ascii="Calibri" w:eastAsia="Times New Roman" w:hAnsi="Calibri" w:cs="Calibri"/>
                <w:b/>
                <w:bCs/>
                <w:color w:val="000000"/>
                <w:kern w:val="0"/>
                <w:sz w:val="22"/>
                <w:szCs w:val="22"/>
                <w14:ligatures w14:val="none"/>
              </w:rPr>
              <w:t>Health state</w:t>
            </w:r>
            <w:r w:rsidRPr="00F13CA0">
              <w:rPr>
                <w:rFonts w:ascii="Calibri" w:eastAsia="Times New Roman" w:hAnsi="Calibri" w:cs="Calibri"/>
                <w:b/>
                <w:bCs/>
                <w:color w:val="000000"/>
                <w:kern w:val="0"/>
                <w:sz w:val="22"/>
                <w:szCs w:val="22"/>
                <w14:ligatures w14:val="none"/>
              </w:rPr>
              <w:br/>
              <w:t>(ED)</w:t>
            </w:r>
          </w:p>
        </w:tc>
        <w:tc>
          <w:tcPr>
            <w:tcW w:w="0" w:type="auto"/>
            <w:tcBorders>
              <w:top w:val="nil"/>
              <w:left w:val="nil"/>
              <w:bottom w:val="single" w:sz="4" w:space="0" w:color="auto"/>
              <w:right w:val="nil"/>
            </w:tcBorders>
            <w:shd w:val="clear" w:color="000000" w:fill="FFFFFF"/>
            <w:vAlign w:val="center"/>
            <w:hideMark/>
          </w:tcPr>
          <w:p w14:paraId="78B5D6B7"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sidRPr="00F13CA0">
              <w:rPr>
                <w:rFonts w:ascii="Calibri" w:eastAsia="Times New Roman" w:hAnsi="Calibri" w:cs="Calibri"/>
                <w:b/>
                <w:bCs/>
                <w:color w:val="000000"/>
                <w:kern w:val="0"/>
                <w:sz w:val="22"/>
                <w:szCs w:val="22"/>
                <w14:ligatures w14:val="none"/>
              </w:rPr>
              <w:t>Health state</w:t>
            </w:r>
            <w:r w:rsidRPr="00F13CA0">
              <w:rPr>
                <w:rFonts w:ascii="Calibri" w:eastAsia="Times New Roman" w:hAnsi="Calibri" w:cs="Calibri"/>
                <w:b/>
                <w:bCs/>
                <w:color w:val="000000"/>
                <w:kern w:val="0"/>
                <w:sz w:val="22"/>
                <w:szCs w:val="22"/>
                <w14:ligatures w14:val="none"/>
              </w:rPr>
              <w:br/>
              <w:t>(IP)</w:t>
            </w:r>
          </w:p>
        </w:tc>
        <w:tc>
          <w:tcPr>
            <w:tcW w:w="0" w:type="auto"/>
            <w:tcBorders>
              <w:top w:val="nil"/>
              <w:left w:val="nil"/>
              <w:bottom w:val="single" w:sz="4" w:space="0" w:color="auto"/>
              <w:right w:val="nil"/>
            </w:tcBorders>
            <w:shd w:val="clear" w:color="000000" w:fill="FFFFFF"/>
            <w:vAlign w:val="center"/>
            <w:hideMark/>
          </w:tcPr>
          <w:p w14:paraId="72FB1FAB"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sidRPr="00F13CA0">
              <w:rPr>
                <w:rFonts w:ascii="Calibri" w:eastAsia="Times New Roman" w:hAnsi="Calibri" w:cs="Calibri"/>
                <w:b/>
                <w:bCs/>
                <w:color w:val="000000"/>
                <w:kern w:val="0"/>
                <w:sz w:val="22"/>
                <w:szCs w:val="22"/>
                <w14:ligatures w14:val="none"/>
              </w:rPr>
              <w:t>Health state</w:t>
            </w:r>
            <w:r w:rsidRPr="00F13CA0">
              <w:rPr>
                <w:rFonts w:ascii="Calibri" w:eastAsia="Times New Roman" w:hAnsi="Calibri" w:cs="Calibri"/>
                <w:b/>
                <w:bCs/>
                <w:color w:val="000000"/>
                <w:kern w:val="0"/>
                <w:sz w:val="22"/>
                <w:szCs w:val="22"/>
                <w14:ligatures w14:val="none"/>
              </w:rPr>
              <w:br/>
              <w:t>(OP)</w:t>
            </w:r>
          </w:p>
        </w:tc>
        <w:tc>
          <w:tcPr>
            <w:tcW w:w="0" w:type="auto"/>
            <w:tcBorders>
              <w:top w:val="nil"/>
              <w:left w:val="nil"/>
              <w:bottom w:val="single" w:sz="4" w:space="0" w:color="auto"/>
              <w:right w:val="nil"/>
            </w:tcBorders>
            <w:shd w:val="clear" w:color="000000" w:fill="FFFFFF"/>
            <w:vAlign w:val="center"/>
            <w:hideMark/>
          </w:tcPr>
          <w:p w14:paraId="26FACBCC"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sidRPr="00F13CA0">
              <w:rPr>
                <w:rFonts w:ascii="Calibri" w:eastAsia="Times New Roman" w:hAnsi="Calibri" w:cs="Calibri"/>
                <w:b/>
                <w:bCs/>
                <w:color w:val="000000"/>
                <w:kern w:val="0"/>
                <w:sz w:val="22"/>
                <w:szCs w:val="22"/>
                <w14:ligatures w14:val="none"/>
              </w:rPr>
              <w:t>Health state</w:t>
            </w:r>
            <w:r w:rsidRPr="00F13CA0">
              <w:rPr>
                <w:rFonts w:ascii="Calibri" w:eastAsia="Times New Roman" w:hAnsi="Calibri" w:cs="Calibri"/>
                <w:b/>
                <w:bCs/>
                <w:color w:val="000000"/>
                <w:kern w:val="0"/>
                <w:sz w:val="22"/>
                <w:szCs w:val="22"/>
                <w14:ligatures w14:val="none"/>
              </w:rPr>
              <w:br/>
              <w:t>(RES)</w:t>
            </w:r>
          </w:p>
        </w:tc>
        <w:tc>
          <w:tcPr>
            <w:tcW w:w="0" w:type="auto"/>
            <w:tcBorders>
              <w:top w:val="nil"/>
              <w:left w:val="nil"/>
              <w:bottom w:val="single" w:sz="4" w:space="0" w:color="auto"/>
              <w:right w:val="nil"/>
            </w:tcBorders>
            <w:shd w:val="clear" w:color="000000" w:fill="FFFFFF"/>
            <w:noWrap/>
            <w:vAlign w:val="center"/>
            <w:hideMark/>
          </w:tcPr>
          <w:p w14:paraId="7E692181"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sidRPr="00F13CA0">
              <w:rPr>
                <w:rFonts w:ascii="Calibri" w:eastAsia="Times New Roman" w:hAnsi="Calibri" w:cs="Calibri"/>
                <w:b/>
                <w:bCs/>
                <w:color w:val="000000"/>
                <w:kern w:val="0"/>
                <w:sz w:val="22"/>
                <w:szCs w:val="22"/>
                <w14:ligatures w14:val="none"/>
              </w:rPr>
              <w:t>MOUD</w:t>
            </w:r>
          </w:p>
        </w:tc>
        <w:tc>
          <w:tcPr>
            <w:tcW w:w="0" w:type="auto"/>
            <w:tcBorders>
              <w:top w:val="nil"/>
              <w:left w:val="nil"/>
              <w:bottom w:val="single" w:sz="4" w:space="0" w:color="auto"/>
              <w:right w:val="nil"/>
            </w:tcBorders>
            <w:shd w:val="clear" w:color="000000" w:fill="FFFFFF"/>
            <w:noWrap/>
            <w:vAlign w:val="center"/>
            <w:hideMark/>
          </w:tcPr>
          <w:p w14:paraId="22374E3F"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sidRPr="00F13CA0">
              <w:rPr>
                <w:rFonts w:ascii="Calibri" w:eastAsia="Times New Roman" w:hAnsi="Calibri" w:cs="Calibri"/>
                <w:b/>
                <w:bCs/>
                <w:color w:val="000000"/>
                <w:kern w:val="0"/>
                <w:sz w:val="22"/>
                <w:szCs w:val="22"/>
                <w14:ligatures w14:val="none"/>
              </w:rPr>
              <w:t>Naloxone</w:t>
            </w:r>
          </w:p>
        </w:tc>
        <w:tc>
          <w:tcPr>
            <w:tcW w:w="0" w:type="auto"/>
            <w:tcBorders>
              <w:top w:val="nil"/>
              <w:left w:val="nil"/>
              <w:bottom w:val="single" w:sz="4" w:space="0" w:color="auto"/>
              <w:right w:val="single" w:sz="4" w:space="0" w:color="auto"/>
            </w:tcBorders>
            <w:shd w:val="clear" w:color="000000" w:fill="FFFFFF"/>
            <w:noWrap/>
            <w:vAlign w:val="center"/>
            <w:hideMark/>
          </w:tcPr>
          <w:p w14:paraId="3EC18E72"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sidRPr="00F13CA0">
              <w:rPr>
                <w:rFonts w:ascii="Calibri" w:eastAsia="Times New Roman" w:hAnsi="Calibri" w:cs="Calibri"/>
                <w:b/>
                <w:bCs/>
                <w:color w:val="000000"/>
                <w:kern w:val="0"/>
                <w:sz w:val="22"/>
                <w:szCs w:val="22"/>
                <w14:ligatures w14:val="none"/>
              </w:rPr>
              <w:t>Total</w:t>
            </w:r>
          </w:p>
        </w:tc>
      </w:tr>
      <w:tr w:rsidR="00D24603" w:rsidRPr="00F13CA0" w14:paraId="3FE87266"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012E239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w:t>
            </w:r>
          </w:p>
        </w:tc>
        <w:tc>
          <w:tcPr>
            <w:tcW w:w="0" w:type="auto"/>
            <w:tcBorders>
              <w:top w:val="nil"/>
              <w:left w:val="nil"/>
              <w:bottom w:val="nil"/>
              <w:right w:val="nil"/>
            </w:tcBorders>
            <w:shd w:val="clear" w:color="000000" w:fill="FFFFFF"/>
            <w:noWrap/>
            <w:vAlign w:val="center"/>
            <w:hideMark/>
          </w:tcPr>
          <w:p w14:paraId="62183DC2"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6.6</w:t>
            </w:r>
          </w:p>
        </w:tc>
        <w:tc>
          <w:tcPr>
            <w:tcW w:w="0" w:type="auto"/>
            <w:tcBorders>
              <w:top w:val="nil"/>
              <w:left w:val="nil"/>
              <w:bottom w:val="nil"/>
              <w:right w:val="nil"/>
            </w:tcBorders>
            <w:shd w:val="clear" w:color="000000" w:fill="FFFFFF"/>
            <w:noWrap/>
            <w:vAlign w:val="center"/>
            <w:hideMark/>
          </w:tcPr>
          <w:p w14:paraId="5706168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304.3</w:t>
            </w:r>
          </w:p>
        </w:tc>
        <w:tc>
          <w:tcPr>
            <w:tcW w:w="0" w:type="auto"/>
            <w:tcBorders>
              <w:top w:val="nil"/>
              <w:left w:val="nil"/>
              <w:bottom w:val="nil"/>
              <w:right w:val="nil"/>
            </w:tcBorders>
            <w:shd w:val="clear" w:color="000000" w:fill="FFFFFF"/>
            <w:noWrap/>
            <w:vAlign w:val="center"/>
            <w:hideMark/>
          </w:tcPr>
          <w:p w14:paraId="1F9A9F7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692.3</w:t>
            </w:r>
          </w:p>
        </w:tc>
        <w:tc>
          <w:tcPr>
            <w:tcW w:w="0" w:type="auto"/>
            <w:tcBorders>
              <w:top w:val="nil"/>
              <w:left w:val="nil"/>
              <w:bottom w:val="nil"/>
              <w:right w:val="nil"/>
            </w:tcBorders>
            <w:shd w:val="clear" w:color="000000" w:fill="FFFFFF"/>
            <w:noWrap/>
            <w:vAlign w:val="center"/>
            <w:hideMark/>
          </w:tcPr>
          <w:p w14:paraId="09E580F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143.9</w:t>
            </w:r>
          </w:p>
        </w:tc>
        <w:tc>
          <w:tcPr>
            <w:tcW w:w="0" w:type="auto"/>
            <w:tcBorders>
              <w:top w:val="nil"/>
              <w:left w:val="nil"/>
              <w:bottom w:val="nil"/>
              <w:right w:val="nil"/>
            </w:tcBorders>
            <w:shd w:val="clear" w:color="000000" w:fill="FFFFFF"/>
            <w:noWrap/>
            <w:vAlign w:val="center"/>
            <w:hideMark/>
          </w:tcPr>
          <w:p w14:paraId="44903AB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73.0</w:t>
            </w:r>
          </w:p>
        </w:tc>
        <w:tc>
          <w:tcPr>
            <w:tcW w:w="0" w:type="auto"/>
            <w:tcBorders>
              <w:top w:val="nil"/>
              <w:left w:val="nil"/>
              <w:bottom w:val="nil"/>
              <w:right w:val="nil"/>
            </w:tcBorders>
            <w:shd w:val="clear" w:color="000000" w:fill="FFFFFF"/>
            <w:noWrap/>
            <w:vAlign w:val="center"/>
            <w:hideMark/>
          </w:tcPr>
          <w:p w14:paraId="6C28B1C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111.9</w:t>
            </w:r>
          </w:p>
        </w:tc>
        <w:tc>
          <w:tcPr>
            <w:tcW w:w="0" w:type="auto"/>
            <w:tcBorders>
              <w:top w:val="nil"/>
              <w:left w:val="nil"/>
              <w:bottom w:val="nil"/>
              <w:right w:val="nil"/>
            </w:tcBorders>
            <w:shd w:val="clear" w:color="000000" w:fill="FFFFFF"/>
            <w:noWrap/>
            <w:vAlign w:val="center"/>
            <w:hideMark/>
          </w:tcPr>
          <w:p w14:paraId="703812F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23.1</w:t>
            </w:r>
          </w:p>
        </w:tc>
        <w:tc>
          <w:tcPr>
            <w:tcW w:w="0" w:type="auto"/>
            <w:tcBorders>
              <w:top w:val="nil"/>
              <w:left w:val="nil"/>
              <w:bottom w:val="nil"/>
              <w:right w:val="single" w:sz="4" w:space="0" w:color="auto"/>
            </w:tcBorders>
            <w:shd w:val="clear" w:color="000000" w:fill="FFFFFF"/>
            <w:noWrap/>
            <w:vAlign w:val="center"/>
            <w:hideMark/>
          </w:tcPr>
          <w:p w14:paraId="323BEC6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1355.2</w:t>
            </w:r>
          </w:p>
        </w:tc>
      </w:tr>
      <w:tr w:rsidR="00D24603" w:rsidRPr="00F13CA0" w14:paraId="6F42A4DE"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5379842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w:t>
            </w:r>
          </w:p>
        </w:tc>
        <w:tc>
          <w:tcPr>
            <w:tcW w:w="0" w:type="auto"/>
            <w:tcBorders>
              <w:top w:val="nil"/>
              <w:left w:val="nil"/>
              <w:bottom w:val="nil"/>
              <w:right w:val="nil"/>
            </w:tcBorders>
            <w:shd w:val="clear" w:color="000000" w:fill="FFFFFF"/>
            <w:noWrap/>
            <w:vAlign w:val="center"/>
            <w:hideMark/>
          </w:tcPr>
          <w:p w14:paraId="77CEADF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w:t>
            </w:r>
          </w:p>
        </w:tc>
        <w:tc>
          <w:tcPr>
            <w:tcW w:w="0" w:type="auto"/>
            <w:tcBorders>
              <w:top w:val="nil"/>
              <w:left w:val="nil"/>
              <w:bottom w:val="nil"/>
              <w:right w:val="nil"/>
            </w:tcBorders>
            <w:shd w:val="clear" w:color="000000" w:fill="FFFFFF"/>
            <w:noWrap/>
            <w:vAlign w:val="center"/>
            <w:hideMark/>
          </w:tcPr>
          <w:p w14:paraId="4EF5D87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69.8</w:t>
            </w:r>
          </w:p>
        </w:tc>
        <w:tc>
          <w:tcPr>
            <w:tcW w:w="0" w:type="auto"/>
            <w:tcBorders>
              <w:top w:val="nil"/>
              <w:left w:val="nil"/>
              <w:bottom w:val="nil"/>
              <w:right w:val="nil"/>
            </w:tcBorders>
            <w:shd w:val="clear" w:color="000000" w:fill="FFFFFF"/>
            <w:noWrap/>
            <w:vAlign w:val="center"/>
            <w:hideMark/>
          </w:tcPr>
          <w:p w14:paraId="487E3C5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176.4</w:t>
            </w:r>
          </w:p>
        </w:tc>
        <w:tc>
          <w:tcPr>
            <w:tcW w:w="0" w:type="auto"/>
            <w:tcBorders>
              <w:top w:val="nil"/>
              <w:left w:val="nil"/>
              <w:bottom w:val="nil"/>
              <w:right w:val="nil"/>
            </w:tcBorders>
            <w:shd w:val="clear" w:color="000000" w:fill="FFFFFF"/>
            <w:noWrap/>
            <w:vAlign w:val="center"/>
            <w:hideMark/>
          </w:tcPr>
          <w:p w14:paraId="2DDE0A7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50.3</w:t>
            </w:r>
          </w:p>
        </w:tc>
        <w:tc>
          <w:tcPr>
            <w:tcW w:w="0" w:type="auto"/>
            <w:tcBorders>
              <w:top w:val="nil"/>
              <w:left w:val="nil"/>
              <w:bottom w:val="nil"/>
              <w:right w:val="nil"/>
            </w:tcBorders>
            <w:shd w:val="clear" w:color="000000" w:fill="FFFFFF"/>
            <w:noWrap/>
            <w:vAlign w:val="center"/>
            <w:hideMark/>
          </w:tcPr>
          <w:p w14:paraId="3A44FCF5"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22.5</w:t>
            </w:r>
          </w:p>
        </w:tc>
        <w:tc>
          <w:tcPr>
            <w:tcW w:w="0" w:type="auto"/>
            <w:tcBorders>
              <w:top w:val="nil"/>
              <w:left w:val="nil"/>
              <w:bottom w:val="nil"/>
              <w:right w:val="nil"/>
            </w:tcBorders>
            <w:shd w:val="clear" w:color="000000" w:fill="FFFFFF"/>
            <w:noWrap/>
            <w:vAlign w:val="center"/>
            <w:hideMark/>
          </w:tcPr>
          <w:p w14:paraId="03A9088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33.3</w:t>
            </w:r>
          </w:p>
        </w:tc>
        <w:tc>
          <w:tcPr>
            <w:tcW w:w="0" w:type="auto"/>
            <w:tcBorders>
              <w:top w:val="nil"/>
              <w:left w:val="nil"/>
              <w:bottom w:val="nil"/>
              <w:right w:val="nil"/>
            </w:tcBorders>
            <w:shd w:val="clear" w:color="000000" w:fill="FFFFFF"/>
            <w:noWrap/>
            <w:vAlign w:val="center"/>
            <w:hideMark/>
          </w:tcPr>
          <w:p w14:paraId="06B95F3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4.0</w:t>
            </w:r>
          </w:p>
        </w:tc>
        <w:tc>
          <w:tcPr>
            <w:tcW w:w="0" w:type="auto"/>
            <w:tcBorders>
              <w:top w:val="nil"/>
              <w:left w:val="nil"/>
              <w:bottom w:val="nil"/>
              <w:right w:val="single" w:sz="4" w:space="0" w:color="auto"/>
            </w:tcBorders>
            <w:shd w:val="clear" w:color="000000" w:fill="FFFFFF"/>
            <w:noWrap/>
            <w:vAlign w:val="center"/>
            <w:hideMark/>
          </w:tcPr>
          <w:p w14:paraId="1085921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357.7</w:t>
            </w:r>
          </w:p>
        </w:tc>
      </w:tr>
      <w:tr w:rsidR="00D24603" w:rsidRPr="00F13CA0" w14:paraId="2AF80BAA"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6ABBC60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C3</w:t>
            </w:r>
          </w:p>
        </w:tc>
        <w:tc>
          <w:tcPr>
            <w:tcW w:w="0" w:type="auto"/>
            <w:tcBorders>
              <w:top w:val="nil"/>
              <w:left w:val="nil"/>
              <w:bottom w:val="nil"/>
              <w:right w:val="nil"/>
            </w:tcBorders>
            <w:shd w:val="clear" w:color="000000" w:fill="FFFFFF"/>
            <w:noWrap/>
            <w:vAlign w:val="center"/>
            <w:hideMark/>
          </w:tcPr>
          <w:p w14:paraId="40A9755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1.1</w:t>
            </w:r>
          </w:p>
        </w:tc>
        <w:tc>
          <w:tcPr>
            <w:tcW w:w="0" w:type="auto"/>
            <w:tcBorders>
              <w:top w:val="nil"/>
              <w:left w:val="nil"/>
              <w:bottom w:val="nil"/>
              <w:right w:val="nil"/>
            </w:tcBorders>
            <w:shd w:val="clear" w:color="000000" w:fill="FFFFFF"/>
            <w:noWrap/>
            <w:vAlign w:val="center"/>
            <w:hideMark/>
          </w:tcPr>
          <w:p w14:paraId="4006EF7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11.6</w:t>
            </w:r>
          </w:p>
        </w:tc>
        <w:tc>
          <w:tcPr>
            <w:tcW w:w="0" w:type="auto"/>
            <w:tcBorders>
              <w:top w:val="nil"/>
              <w:left w:val="nil"/>
              <w:bottom w:val="nil"/>
              <w:right w:val="nil"/>
            </w:tcBorders>
            <w:shd w:val="clear" w:color="000000" w:fill="FFFFFF"/>
            <w:noWrap/>
            <w:vAlign w:val="center"/>
            <w:hideMark/>
          </w:tcPr>
          <w:p w14:paraId="651E24F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142.7</w:t>
            </w:r>
          </w:p>
        </w:tc>
        <w:tc>
          <w:tcPr>
            <w:tcW w:w="0" w:type="auto"/>
            <w:tcBorders>
              <w:top w:val="nil"/>
              <w:left w:val="nil"/>
              <w:bottom w:val="nil"/>
              <w:right w:val="nil"/>
            </w:tcBorders>
            <w:shd w:val="clear" w:color="000000" w:fill="FFFFFF"/>
            <w:noWrap/>
            <w:vAlign w:val="center"/>
            <w:hideMark/>
          </w:tcPr>
          <w:p w14:paraId="507CE50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32.4</w:t>
            </w:r>
          </w:p>
        </w:tc>
        <w:tc>
          <w:tcPr>
            <w:tcW w:w="0" w:type="auto"/>
            <w:tcBorders>
              <w:top w:val="nil"/>
              <w:left w:val="nil"/>
              <w:bottom w:val="nil"/>
              <w:right w:val="nil"/>
            </w:tcBorders>
            <w:shd w:val="clear" w:color="000000" w:fill="FFFFFF"/>
            <w:noWrap/>
            <w:vAlign w:val="center"/>
            <w:hideMark/>
          </w:tcPr>
          <w:p w14:paraId="626C354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19.1</w:t>
            </w:r>
          </w:p>
        </w:tc>
        <w:tc>
          <w:tcPr>
            <w:tcW w:w="0" w:type="auto"/>
            <w:tcBorders>
              <w:top w:val="nil"/>
              <w:left w:val="nil"/>
              <w:bottom w:val="nil"/>
              <w:right w:val="nil"/>
            </w:tcBorders>
            <w:shd w:val="clear" w:color="000000" w:fill="FFFFFF"/>
            <w:noWrap/>
            <w:vAlign w:val="center"/>
            <w:hideMark/>
          </w:tcPr>
          <w:p w14:paraId="6C45EEC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55.5</w:t>
            </w:r>
          </w:p>
        </w:tc>
        <w:tc>
          <w:tcPr>
            <w:tcW w:w="0" w:type="auto"/>
            <w:tcBorders>
              <w:top w:val="nil"/>
              <w:left w:val="nil"/>
              <w:bottom w:val="nil"/>
              <w:right w:val="nil"/>
            </w:tcBorders>
            <w:shd w:val="clear" w:color="000000" w:fill="FFFFFF"/>
            <w:noWrap/>
            <w:vAlign w:val="center"/>
            <w:hideMark/>
          </w:tcPr>
          <w:p w14:paraId="51E5B19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14.8</w:t>
            </w:r>
          </w:p>
        </w:tc>
        <w:tc>
          <w:tcPr>
            <w:tcW w:w="0" w:type="auto"/>
            <w:tcBorders>
              <w:top w:val="nil"/>
              <w:left w:val="nil"/>
              <w:bottom w:val="nil"/>
              <w:right w:val="single" w:sz="4" w:space="0" w:color="auto"/>
            </w:tcBorders>
            <w:shd w:val="clear" w:color="000000" w:fill="FFFFFF"/>
            <w:noWrap/>
            <w:vAlign w:val="center"/>
            <w:hideMark/>
          </w:tcPr>
          <w:p w14:paraId="73DAC65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277.3</w:t>
            </w:r>
          </w:p>
        </w:tc>
      </w:tr>
      <w:tr w:rsidR="00D24603" w:rsidRPr="00F13CA0" w14:paraId="7AE6F841"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08E44F9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C4</w:t>
            </w:r>
          </w:p>
        </w:tc>
        <w:tc>
          <w:tcPr>
            <w:tcW w:w="0" w:type="auto"/>
            <w:tcBorders>
              <w:top w:val="nil"/>
              <w:left w:val="nil"/>
              <w:bottom w:val="nil"/>
              <w:right w:val="nil"/>
            </w:tcBorders>
            <w:shd w:val="clear" w:color="000000" w:fill="FFFFFF"/>
            <w:noWrap/>
            <w:vAlign w:val="center"/>
            <w:hideMark/>
          </w:tcPr>
          <w:p w14:paraId="39CE8E6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0.4</w:t>
            </w:r>
          </w:p>
        </w:tc>
        <w:tc>
          <w:tcPr>
            <w:tcW w:w="0" w:type="auto"/>
            <w:tcBorders>
              <w:top w:val="nil"/>
              <w:left w:val="nil"/>
              <w:bottom w:val="nil"/>
              <w:right w:val="nil"/>
            </w:tcBorders>
            <w:shd w:val="clear" w:color="000000" w:fill="FFFFFF"/>
            <w:noWrap/>
            <w:vAlign w:val="center"/>
            <w:hideMark/>
          </w:tcPr>
          <w:p w14:paraId="443AD06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27.8</w:t>
            </w:r>
          </w:p>
        </w:tc>
        <w:tc>
          <w:tcPr>
            <w:tcW w:w="0" w:type="auto"/>
            <w:tcBorders>
              <w:top w:val="nil"/>
              <w:left w:val="nil"/>
              <w:bottom w:val="nil"/>
              <w:right w:val="nil"/>
            </w:tcBorders>
            <w:shd w:val="clear" w:color="000000" w:fill="FFFFFF"/>
            <w:noWrap/>
            <w:vAlign w:val="center"/>
            <w:hideMark/>
          </w:tcPr>
          <w:p w14:paraId="1F58D87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55.1</w:t>
            </w:r>
          </w:p>
        </w:tc>
        <w:tc>
          <w:tcPr>
            <w:tcW w:w="0" w:type="auto"/>
            <w:tcBorders>
              <w:top w:val="nil"/>
              <w:left w:val="nil"/>
              <w:bottom w:val="nil"/>
              <w:right w:val="nil"/>
            </w:tcBorders>
            <w:shd w:val="clear" w:color="000000" w:fill="FFFFFF"/>
            <w:noWrap/>
            <w:vAlign w:val="center"/>
            <w:hideMark/>
          </w:tcPr>
          <w:p w14:paraId="2E75A5D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16.5</w:t>
            </w:r>
          </w:p>
        </w:tc>
        <w:tc>
          <w:tcPr>
            <w:tcW w:w="0" w:type="auto"/>
            <w:tcBorders>
              <w:top w:val="nil"/>
              <w:left w:val="nil"/>
              <w:bottom w:val="nil"/>
              <w:right w:val="nil"/>
            </w:tcBorders>
            <w:shd w:val="clear" w:color="000000" w:fill="FFFFFF"/>
            <w:noWrap/>
            <w:vAlign w:val="center"/>
            <w:hideMark/>
          </w:tcPr>
          <w:p w14:paraId="7268546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7.2</w:t>
            </w:r>
          </w:p>
        </w:tc>
        <w:tc>
          <w:tcPr>
            <w:tcW w:w="0" w:type="auto"/>
            <w:tcBorders>
              <w:top w:val="nil"/>
              <w:left w:val="nil"/>
              <w:bottom w:val="nil"/>
              <w:right w:val="nil"/>
            </w:tcBorders>
            <w:shd w:val="clear" w:color="000000" w:fill="FFFFFF"/>
            <w:noWrap/>
            <w:vAlign w:val="center"/>
            <w:hideMark/>
          </w:tcPr>
          <w:p w14:paraId="277A630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14.6</w:t>
            </w:r>
          </w:p>
        </w:tc>
        <w:tc>
          <w:tcPr>
            <w:tcW w:w="0" w:type="auto"/>
            <w:tcBorders>
              <w:top w:val="nil"/>
              <w:left w:val="nil"/>
              <w:bottom w:val="nil"/>
              <w:right w:val="nil"/>
            </w:tcBorders>
            <w:shd w:val="clear" w:color="000000" w:fill="FFFFFF"/>
            <w:noWrap/>
            <w:vAlign w:val="center"/>
            <w:hideMark/>
          </w:tcPr>
          <w:p w14:paraId="1D35261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1.1</w:t>
            </w:r>
          </w:p>
        </w:tc>
        <w:tc>
          <w:tcPr>
            <w:tcW w:w="0" w:type="auto"/>
            <w:tcBorders>
              <w:top w:val="nil"/>
              <w:left w:val="nil"/>
              <w:bottom w:val="nil"/>
              <w:right w:val="single" w:sz="4" w:space="0" w:color="auto"/>
            </w:tcBorders>
            <w:shd w:val="clear" w:color="000000" w:fill="FFFFFF"/>
            <w:noWrap/>
            <w:vAlign w:val="center"/>
            <w:hideMark/>
          </w:tcPr>
          <w:p w14:paraId="1B03C69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122.7</w:t>
            </w:r>
          </w:p>
        </w:tc>
      </w:tr>
      <w:tr w:rsidR="00D24603" w:rsidRPr="00F13CA0" w14:paraId="773D2534"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09CECE8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C5</w:t>
            </w:r>
          </w:p>
        </w:tc>
        <w:tc>
          <w:tcPr>
            <w:tcW w:w="0" w:type="auto"/>
            <w:tcBorders>
              <w:top w:val="nil"/>
              <w:left w:val="nil"/>
              <w:bottom w:val="nil"/>
              <w:right w:val="nil"/>
            </w:tcBorders>
            <w:shd w:val="clear" w:color="000000" w:fill="FFFFFF"/>
            <w:noWrap/>
            <w:vAlign w:val="center"/>
            <w:hideMark/>
          </w:tcPr>
          <w:p w14:paraId="5DD6B14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0.8</w:t>
            </w:r>
          </w:p>
        </w:tc>
        <w:tc>
          <w:tcPr>
            <w:tcW w:w="0" w:type="auto"/>
            <w:tcBorders>
              <w:top w:val="nil"/>
              <w:left w:val="nil"/>
              <w:bottom w:val="nil"/>
              <w:right w:val="nil"/>
            </w:tcBorders>
            <w:shd w:val="clear" w:color="000000" w:fill="FFFFFF"/>
            <w:noWrap/>
            <w:vAlign w:val="center"/>
            <w:hideMark/>
          </w:tcPr>
          <w:p w14:paraId="105C5B52"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9.4</w:t>
            </w:r>
          </w:p>
        </w:tc>
        <w:tc>
          <w:tcPr>
            <w:tcW w:w="0" w:type="auto"/>
            <w:tcBorders>
              <w:top w:val="nil"/>
              <w:left w:val="nil"/>
              <w:bottom w:val="nil"/>
              <w:right w:val="nil"/>
            </w:tcBorders>
            <w:shd w:val="clear" w:color="000000" w:fill="FFFFFF"/>
            <w:noWrap/>
            <w:vAlign w:val="center"/>
            <w:hideMark/>
          </w:tcPr>
          <w:p w14:paraId="422820C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92.6</w:t>
            </w:r>
          </w:p>
        </w:tc>
        <w:tc>
          <w:tcPr>
            <w:tcW w:w="0" w:type="auto"/>
            <w:tcBorders>
              <w:top w:val="nil"/>
              <w:left w:val="nil"/>
              <w:bottom w:val="nil"/>
              <w:right w:val="nil"/>
            </w:tcBorders>
            <w:shd w:val="clear" w:color="000000" w:fill="FFFFFF"/>
            <w:noWrap/>
            <w:vAlign w:val="center"/>
            <w:hideMark/>
          </w:tcPr>
          <w:p w14:paraId="187EFAF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12.9</w:t>
            </w:r>
          </w:p>
        </w:tc>
        <w:tc>
          <w:tcPr>
            <w:tcW w:w="0" w:type="auto"/>
            <w:tcBorders>
              <w:top w:val="nil"/>
              <w:left w:val="nil"/>
              <w:bottom w:val="nil"/>
              <w:right w:val="nil"/>
            </w:tcBorders>
            <w:shd w:val="clear" w:color="000000" w:fill="FFFFFF"/>
            <w:noWrap/>
            <w:vAlign w:val="center"/>
            <w:hideMark/>
          </w:tcPr>
          <w:p w14:paraId="5A6DB84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9.8</w:t>
            </w:r>
          </w:p>
        </w:tc>
        <w:tc>
          <w:tcPr>
            <w:tcW w:w="0" w:type="auto"/>
            <w:tcBorders>
              <w:top w:val="nil"/>
              <w:left w:val="nil"/>
              <w:bottom w:val="nil"/>
              <w:right w:val="nil"/>
            </w:tcBorders>
            <w:shd w:val="clear" w:color="000000" w:fill="FFFFFF"/>
            <w:noWrap/>
            <w:vAlign w:val="center"/>
            <w:hideMark/>
          </w:tcPr>
          <w:p w14:paraId="3E44707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36.7</w:t>
            </w:r>
          </w:p>
        </w:tc>
        <w:tc>
          <w:tcPr>
            <w:tcW w:w="0" w:type="auto"/>
            <w:tcBorders>
              <w:top w:val="nil"/>
              <w:left w:val="nil"/>
              <w:bottom w:val="nil"/>
              <w:right w:val="nil"/>
            </w:tcBorders>
            <w:shd w:val="clear" w:color="000000" w:fill="FFFFFF"/>
            <w:noWrap/>
            <w:vAlign w:val="center"/>
            <w:hideMark/>
          </w:tcPr>
          <w:p w14:paraId="629C315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4.0</w:t>
            </w:r>
          </w:p>
        </w:tc>
        <w:tc>
          <w:tcPr>
            <w:tcW w:w="0" w:type="auto"/>
            <w:tcBorders>
              <w:top w:val="nil"/>
              <w:left w:val="nil"/>
              <w:bottom w:val="nil"/>
              <w:right w:val="single" w:sz="4" w:space="0" w:color="auto"/>
            </w:tcBorders>
            <w:shd w:val="clear" w:color="000000" w:fill="FFFFFF"/>
            <w:noWrap/>
            <w:vAlign w:val="center"/>
            <w:hideMark/>
          </w:tcPr>
          <w:p w14:paraId="1D1CDC5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166.1</w:t>
            </w:r>
          </w:p>
        </w:tc>
      </w:tr>
      <w:tr w:rsidR="00D24603" w:rsidRPr="00F13CA0" w14:paraId="09A1B0B7"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7FC93FE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C6</w:t>
            </w:r>
          </w:p>
        </w:tc>
        <w:tc>
          <w:tcPr>
            <w:tcW w:w="0" w:type="auto"/>
            <w:tcBorders>
              <w:top w:val="nil"/>
              <w:left w:val="nil"/>
              <w:bottom w:val="nil"/>
              <w:right w:val="nil"/>
            </w:tcBorders>
            <w:shd w:val="clear" w:color="000000" w:fill="FFFFFF"/>
            <w:noWrap/>
            <w:vAlign w:val="center"/>
            <w:hideMark/>
          </w:tcPr>
          <w:p w14:paraId="66A5CFF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6.4</w:t>
            </w:r>
          </w:p>
        </w:tc>
        <w:tc>
          <w:tcPr>
            <w:tcW w:w="0" w:type="auto"/>
            <w:tcBorders>
              <w:top w:val="nil"/>
              <w:left w:val="nil"/>
              <w:bottom w:val="nil"/>
              <w:right w:val="nil"/>
            </w:tcBorders>
            <w:shd w:val="clear" w:color="000000" w:fill="FFFFFF"/>
            <w:noWrap/>
            <w:vAlign w:val="center"/>
            <w:hideMark/>
          </w:tcPr>
          <w:p w14:paraId="02274BF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199.5</w:t>
            </w:r>
          </w:p>
        </w:tc>
        <w:tc>
          <w:tcPr>
            <w:tcW w:w="0" w:type="auto"/>
            <w:tcBorders>
              <w:top w:val="nil"/>
              <w:left w:val="nil"/>
              <w:bottom w:val="nil"/>
              <w:right w:val="nil"/>
            </w:tcBorders>
            <w:shd w:val="clear" w:color="000000" w:fill="FFFFFF"/>
            <w:noWrap/>
            <w:vAlign w:val="center"/>
            <w:hideMark/>
          </w:tcPr>
          <w:p w14:paraId="3899D61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527.1</w:t>
            </w:r>
          </w:p>
        </w:tc>
        <w:tc>
          <w:tcPr>
            <w:tcW w:w="0" w:type="auto"/>
            <w:tcBorders>
              <w:top w:val="nil"/>
              <w:left w:val="nil"/>
              <w:bottom w:val="nil"/>
              <w:right w:val="nil"/>
            </w:tcBorders>
            <w:shd w:val="clear" w:color="000000" w:fill="FFFFFF"/>
            <w:noWrap/>
            <w:vAlign w:val="center"/>
            <w:hideMark/>
          </w:tcPr>
          <w:p w14:paraId="00B5F86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121.1</w:t>
            </w:r>
          </w:p>
        </w:tc>
        <w:tc>
          <w:tcPr>
            <w:tcW w:w="0" w:type="auto"/>
            <w:tcBorders>
              <w:top w:val="nil"/>
              <w:left w:val="nil"/>
              <w:bottom w:val="nil"/>
              <w:right w:val="nil"/>
            </w:tcBorders>
            <w:shd w:val="clear" w:color="000000" w:fill="FFFFFF"/>
            <w:noWrap/>
            <w:vAlign w:val="center"/>
            <w:hideMark/>
          </w:tcPr>
          <w:p w14:paraId="6007A165"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49.0</w:t>
            </w:r>
          </w:p>
        </w:tc>
        <w:tc>
          <w:tcPr>
            <w:tcW w:w="0" w:type="auto"/>
            <w:tcBorders>
              <w:top w:val="nil"/>
              <w:left w:val="nil"/>
              <w:bottom w:val="nil"/>
              <w:right w:val="nil"/>
            </w:tcBorders>
            <w:shd w:val="clear" w:color="000000" w:fill="FFFFFF"/>
            <w:noWrap/>
            <w:vAlign w:val="center"/>
            <w:hideMark/>
          </w:tcPr>
          <w:p w14:paraId="1FC783F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155.7</w:t>
            </w:r>
          </w:p>
        </w:tc>
        <w:tc>
          <w:tcPr>
            <w:tcW w:w="0" w:type="auto"/>
            <w:tcBorders>
              <w:top w:val="nil"/>
              <w:left w:val="nil"/>
              <w:bottom w:val="nil"/>
              <w:right w:val="nil"/>
            </w:tcBorders>
            <w:shd w:val="clear" w:color="000000" w:fill="FFFFFF"/>
            <w:noWrap/>
            <w:vAlign w:val="center"/>
            <w:hideMark/>
          </w:tcPr>
          <w:p w14:paraId="441DC19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11.0</w:t>
            </w:r>
          </w:p>
        </w:tc>
        <w:tc>
          <w:tcPr>
            <w:tcW w:w="0" w:type="auto"/>
            <w:tcBorders>
              <w:top w:val="nil"/>
              <w:left w:val="nil"/>
              <w:bottom w:val="nil"/>
              <w:right w:val="single" w:sz="4" w:space="0" w:color="auto"/>
            </w:tcBorders>
            <w:shd w:val="clear" w:color="000000" w:fill="FFFFFF"/>
            <w:noWrap/>
            <w:vAlign w:val="center"/>
            <w:hideMark/>
          </w:tcPr>
          <w:p w14:paraId="4497ABA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1069.9</w:t>
            </w:r>
          </w:p>
        </w:tc>
      </w:tr>
      <w:tr w:rsidR="00D24603" w:rsidRPr="00F13CA0" w14:paraId="6AC1C0C1"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1B051E0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C7</w:t>
            </w:r>
          </w:p>
        </w:tc>
        <w:tc>
          <w:tcPr>
            <w:tcW w:w="0" w:type="auto"/>
            <w:tcBorders>
              <w:top w:val="nil"/>
              <w:left w:val="nil"/>
              <w:bottom w:val="nil"/>
              <w:right w:val="nil"/>
            </w:tcBorders>
            <w:shd w:val="clear" w:color="000000" w:fill="FFFFFF"/>
            <w:noWrap/>
            <w:vAlign w:val="center"/>
            <w:hideMark/>
          </w:tcPr>
          <w:p w14:paraId="2E5E635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0.8</w:t>
            </w:r>
          </w:p>
        </w:tc>
        <w:tc>
          <w:tcPr>
            <w:tcW w:w="0" w:type="auto"/>
            <w:tcBorders>
              <w:top w:val="nil"/>
              <w:left w:val="nil"/>
              <w:bottom w:val="nil"/>
              <w:right w:val="nil"/>
            </w:tcBorders>
            <w:shd w:val="clear" w:color="000000" w:fill="FFFFFF"/>
            <w:noWrap/>
            <w:vAlign w:val="center"/>
            <w:hideMark/>
          </w:tcPr>
          <w:p w14:paraId="7616B8A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39.8</w:t>
            </w:r>
          </w:p>
        </w:tc>
        <w:tc>
          <w:tcPr>
            <w:tcW w:w="0" w:type="auto"/>
            <w:tcBorders>
              <w:top w:val="nil"/>
              <w:left w:val="nil"/>
              <w:bottom w:val="nil"/>
              <w:right w:val="nil"/>
            </w:tcBorders>
            <w:shd w:val="clear" w:color="000000" w:fill="FFFFFF"/>
            <w:noWrap/>
            <w:vAlign w:val="center"/>
            <w:hideMark/>
          </w:tcPr>
          <w:p w14:paraId="60B7D98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81.4</w:t>
            </w:r>
          </w:p>
        </w:tc>
        <w:tc>
          <w:tcPr>
            <w:tcW w:w="0" w:type="auto"/>
            <w:tcBorders>
              <w:top w:val="nil"/>
              <w:left w:val="nil"/>
              <w:bottom w:val="nil"/>
              <w:right w:val="nil"/>
            </w:tcBorders>
            <w:shd w:val="clear" w:color="000000" w:fill="FFFFFF"/>
            <w:noWrap/>
            <w:vAlign w:val="center"/>
            <w:hideMark/>
          </w:tcPr>
          <w:p w14:paraId="0820121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25.5</w:t>
            </w:r>
          </w:p>
        </w:tc>
        <w:tc>
          <w:tcPr>
            <w:tcW w:w="0" w:type="auto"/>
            <w:tcBorders>
              <w:top w:val="nil"/>
              <w:left w:val="nil"/>
              <w:bottom w:val="nil"/>
              <w:right w:val="nil"/>
            </w:tcBorders>
            <w:shd w:val="clear" w:color="000000" w:fill="FFFFFF"/>
            <w:noWrap/>
            <w:vAlign w:val="center"/>
            <w:hideMark/>
          </w:tcPr>
          <w:p w14:paraId="5162C93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13.1</w:t>
            </w:r>
          </w:p>
        </w:tc>
        <w:tc>
          <w:tcPr>
            <w:tcW w:w="0" w:type="auto"/>
            <w:tcBorders>
              <w:top w:val="nil"/>
              <w:left w:val="nil"/>
              <w:bottom w:val="nil"/>
              <w:right w:val="nil"/>
            </w:tcBorders>
            <w:shd w:val="clear" w:color="000000" w:fill="FFFFFF"/>
            <w:noWrap/>
            <w:vAlign w:val="center"/>
            <w:hideMark/>
          </w:tcPr>
          <w:p w14:paraId="55CEC435"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14.5</w:t>
            </w:r>
          </w:p>
        </w:tc>
        <w:tc>
          <w:tcPr>
            <w:tcW w:w="0" w:type="auto"/>
            <w:tcBorders>
              <w:top w:val="nil"/>
              <w:left w:val="nil"/>
              <w:bottom w:val="nil"/>
              <w:right w:val="nil"/>
            </w:tcBorders>
            <w:shd w:val="clear" w:color="000000" w:fill="FFFFFF"/>
            <w:noWrap/>
            <w:vAlign w:val="center"/>
            <w:hideMark/>
          </w:tcPr>
          <w:p w14:paraId="784A150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3.4</w:t>
            </w:r>
          </w:p>
        </w:tc>
        <w:tc>
          <w:tcPr>
            <w:tcW w:w="0" w:type="auto"/>
            <w:tcBorders>
              <w:top w:val="nil"/>
              <w:left w:val="nil"/>
              <w:bottom w:val="nil"/>
              <w:right w:val="single" w:sz="4" w:space="0" w:color="auto"/>
            </w:tcBorders>
            <w:shd w:val="clear" w:color="000000" w:fill="FFFFFF"/>
            <w:noWrap/>
            <w:vAlign w:val="center"/>
            <w:hideMark/>
          </w:tcPr>
          <w:p w14:paraId="4D16477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178.6</w:t>
            </w:r>
          </w:p>
        </w:tc>
      </w:tr>
      <w:tr w:rsidR="00D24603" w:rsidRPr="00F13CA0" w14:paraId="0B5501CC"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260CA25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C8</w:t>
            </w:r>
          </w:p>
        </w:tc>
        <w:tc>
          <w:tcPr>
            <w:tcW w:w="0" w:type="auto"/>
            <w:tcBorders>
              <w:top w:val="nil"/>
              <w:left w:val="nil"/>
              <w:bottom w:val="nil"/>
              <w:right w:val="nil"/>
            </w:tcBorders>
            <w:shd w:val="clear" w:color="000000" w:fill="FFFFFF"/>
            <w:noWrap/>
            <w:vAlign w:val="center"/>
            <w:hideMark/>
          </w:tcPr>
          <w:p w14:paraId="4DBD224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0.8</w:t>
            </w:r>
          </w:p>
        </w:tc>
        <w:tc>
          <w:tcPr>
            <w:tcW w:w="0" w:type="auto"/>
            <w:tcBorders>
              <w:top w:val="nil"/>
              <w:left w:val="nil"/>
              <w:bottom w:val="nil"/>
              <w:right w:val="nil"/>
            </w:tcBorders>
            <w:shd w:val="clear" w:color="000000" w:fill="FFFFFF"/>
            <w:noWrap/>
            <w:vAlign w:val="center"/>
            <w:hideMark/>
          </w:tcPr>
          <w:p w14:paraId="6BD9A20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8.2</w:t>
            </w:r>
          </w:p>
        </w:tc>
        <w:tc>
          <w:tcPr>
            <w:tcW w:w="0" w:type="auto"/>
            <w:tcBorders>
              <w:top w:val="nil"/>
              <w:left w:val="nil"/>
              <w:bottom w:val="nil"/>
              <w:right w:val="nil"/>
            </w:tcBorders>
            <w:shd w:val="clear" w:color="000000" w:fill="FFFFFF"/>
            <w:noWrap/>
            <w:vAlign w:val="center"/>
            <w:hideMark/>
          </w:tcPr>
          <w:p w14:paraId="1729363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75.7</w:t>
            </w:r>
          </w:p>
        </w:tc>
        <w:tc>
          <w:tcPr>
            <w:tcW w:w="0" w:type="auto"/>
            <w:tcBorders>
              <w:top w:val="nil"/>
              <w:left w:val="nil"/>
              <w:bottom w:val="nil"/>
              <w:right w:val="nil"/>
            </w:tcBorders>
            <w:shd w:val="clear" w:color="000000" w:fill="FFFFFF"/>
            <w:noWrap/>
            <w:vAlign w:val="center"/>
            <w:hideMark/>
          </w:tcPr>
          <w:p w14:paraId="2311AFD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17.0</w:t>
            </w:r>
          </w:p>
        </w:tc>
        <w:tc>
          <w:tcPr>
            <w:tcW w:w="0" w:type="auto"/>
            <w:tcBorders>
              <w:top w:val="nil"/>
              <w:left w:val="nil"/>
              <w:bottom w:val="nil"/>
              <w:right w:val="nil"/>
            </w:tcBorders>
            <w:shd w:val="clear" w:color="000000" w:fill="FFFFFF"/>
            <w:noWrap/>
            <w:vAlign w:val="center"/>
            <w:hideMark/>
          </w:tcPr>
          <w:p w14:paraId="7893154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14.1</w:t>
            </w:r>
          </w:p>
        </w:tc>
        <w:tc>
          <w:tcPr>
            <w:tcW w:w="0" w:type="auto"/>
            <w:tcBorders>
              <w:top w:val="nil"/>
              <w:left w:val="nil"/>
              <w:bottom w:val="nil"/>
              <w:right w:val="nil"/>
            </w:tcBorders>
            <w:shd w:val="clear" w:color="000000" w:fill="FFFFFF"/>
            <w:noWrap/>
            <w:vAlign w:val="center"/>
            <w:hideMark/>
          </w:tcPr>
          <w:p w14:paraId="3DA5418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43.7</w:t>
            </w:r>
          </w:p>
        </w:tc>
        <w:tc>
          <w:tcPr>
            <w:tcW w:w="0" w:type="auto"/>
            <w:tcBorders>
              <w:top w:val="nil"/>
              <w:left w:val="nil"/>
              <w:bottom w:val="nil"/>
              <w:right w:val="nil"/>
            </w:tcBorders>
            <w:shd w:val="clear" w:color="000000" w:fill="FFFFFF"/>
            <w:noWrap/>
            <w:vAlign w:val="center"/>
            <w:hideMark/>
          </w:tcPr>
          <w:p w14:paraId="07CEC88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1.2</w:t>
            </w:r>
          </w:p>
        </w:tc>
        <w:tc>
          <w:tcPr>
            <w:tcW w:w="0" w:type="auto"/>
            <w:tcBorders>
              <w:top w:val="nil"/>
              <w:left w:val="nil"/>
              <w:bottom w:val="nil"/>
              <w:right w:val="single" w:sz="4" w:space="0" w:color="auto"/>
            </w:tcBorders>
            <w:shd w:val="clear" w:color="000000" w:fill="FFFFFF"/>
            <w:noWrap/>
            <w:vAlign w:val="center"/>
            <w:hideMark/>
          </w:tcPr>
          <w:p w14:paraId="22F0CF7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160.7</w:t>
            </w:r>
          </w:p>
        </w:tc>
      </w:tr>
      <w:tr w:rsidR="00D24603" w:rsidRPr="00F13CA0" w14:paraId="3C893D4E"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5732AD9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C9</w:t>
            </w:r>
          </w:p>
        </w:tc>
        <w:tc>
          <w:tcPr>
            <w:tcW w:w="0" w:type="auto"/>
            <w:tcBorders>
              <w:top w:val="nil"/>
              <w:left w:val="nil"/>
              <w:bottom w:val="nil"/>
              <w:right w:val="nil"/>
            </w:tcBorders>
            <w:shd w:val="clear" w:color="000000" w:fill="FFFFFF"/>
            <w:noWrap/>
            <w:vAlign w:val="center"/>
            <w:hideMark/>
          </w:tcPr>
          <w:p w14:paraId="4E3AB32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0.7</w:t>
            </w:r>
          </w:p>
        </w:tc>
        <w:tc>
          <w:tcPr>
            <w:tcW w:w="0" w:type="auto"/>
            <w:tcBorders>
              <w:top w:val="nil"/>
              <w:left w:val="nil"/>
              <w:bottom w:val="nil"/>
              <w:right w:val="nil"/>
            </w:tcBorders>
            <w:shd w:val="clear" w:color="000000" w:fill="FFFFFF"/>
            <w:noWrap/>
            <w:vAlign w:val="center"/>
            <w:hideMark/>
          </w:tcPr>
          <w:p w14:paraId="3CF7C09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22.7</w:t>
            </w:r>
          </w:p>
        </w:tc>
        <w:tc>
          <w:tcPr>
            <w:tcW w:w="0" w:type="auto"/>
            <w:tcBorders>
              <w:top w:val="nil"/>
              <w:left w:val="nil"/>
              <w:bottom w:val="nil"/>
              <w:right w:val="nil"/>
            </w:tcBorders>
            <w:shd w:val="clear" w:color="000000" w:fill="FFFFFF"/>
            <w:noWrap/>
            <w:vAlign w:val="center"/>
            <w:hideMark/>
          </w:tcPr>
          <w:p w14:paraId="07A3A65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48.2</w:t>
            </w:r>
          </w:p>
        </w:tc>
        <w:tc>
          <w:tcPr>
            <w:tcW w:w="0" w:type="auto"/>
            <w:tcBorders>
              <w:top w:val="nil"/>
              <w:left w:val="nil"/>
              <w:bottom w:val="nil"/>
              <w:right w:val="nil"/>
            </w:tcBorders>
            <w:shd w:val="clear" w:color="000000" w:fill="FFFFFF"/>
            <w:noWrap/>
            <w:vAlign w:val="center"/>
            <w:hideMark/>
          </w:tcPr>
          <w:p w14:paraId="2C31106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16.2</w:t>
            </w:r>
          </w:p>
        </w:tc>
        <w:tc>
          <w:tcPr>
            <w:tcW w:w="0" w:type="auto"/>
            <w:tcBorders>
              <w:top w:val="nil"/>
              <w:left w:val="nil"/>
              <w:bottom w:val="nil"/>
              <w:right w:val="nil"/>
            </w:tcBorders>
            <w:shd w:val="clear" w:color="000000" w:fill="FFFFFF"/>
            <w:noWrap/>
            <w:vAlign w:val="center"/>
            <w:hideMark/>
          </w:tcPr>
          <w:p w14:paraId="714F0D1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15.5</w:t>
            </w:r>
          </w:p>
        </w:tc>
        <w:tc>
          <w:tcPr>
            <w:tcW w:w="0" w:type="auto"/>
            <w:tcBorders>
              <w:top w:val="nil"/>
              <w:left w:val="nil"/>
              <w:bottom w:val="nil"/>
              <w:right w:val="nil"/>
            </w:tcBorders>
            <w:shd w:val="clear" w:color="000000" w:fill="FFFFFF"/>
            <w:noWrap/>
            <w:vAlign w:val="center"/>
            <w:hideMark/>
          </w:tcPr>
          <w:p w14:paraId="00B71F9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8.8</w:t>
            </w:r>
          </w:p>
        </w:tc>
        <w:tc>
          <w:tcPr>
            <w:tcW w:w="0" w:type="auto"/>
            <w:tcBorders>
              <w:top w:val="nil"/>
              <w:left w:val="nil"/>
              <w:bottom w:val="nil"/>
              <w:right w:val="nil"/>
            </w:tcBorders>
            <w:shd w:val="clear" w:color="000000" w:fill="FFFFFF"/>
            <w:noWrap/>
            <w:vAlign w:val="center"/>
            <w:hideMark/>
          </w:tcPr>
          <w:p w14:paraId="0C44196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1.1</w:t>
            </w:r>
          </w:p>
        </w:tc>
        <w:tc>
          <w:tcPr>
            <w:tcW w:w="0" w:type="auto"/>
            <w:tcBorders>
              <w:top w:val="nil"/>
              <w:left w:val="nil"/>
              <w:bottom w:val="nil"/>
              <w:right w:val="single" w:sz="4" w:space="0" w:color="auto"/>
            </w:tcBorders>
            <w:shd w:val="clear" w:color="000000" w:fill="FFFFFF"/>
            <w:noWrap/>
            <w:vAlign w:val="center"/>
            <w:hideMark/>
          </w:tcPr>
          <w:p w14:paraId="2B8F890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113.2</w:t>
            </w:r>
          </w:p>
        </w:tc>
      </w:tr>
      <w:tr w:rsidR="00D24603" w:rsidRPr="00F13CA0" w14:paraId="2BB673BD"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7801B46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C10</w:t>
            </w:r>
          </w:p>
        </w:tc>
        <w:tc>
          <w:tcPr>
            <w:tcW w:w="0" w:type="auto"/>
            <w:tcBorders>
              <w:top w:val="nil"/>
              <w:left w:val="nil"/>
              <w:bottom w:val="nil"/>
              <w:right w:val="nil"/>
            </w:tcBorders>
            <w:shd w:val="clear" w:color="000000" w:fill="FFFFFF"/>
            <w:noWrap/>
            <w:vAlign w:val="center"/>
            <w:hideMark/>
          </w:tcPr>
          <w:p w14:paraId="747304D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0.5</w:t>
            </w:r>
          </w:p>
        </w:tc>
        <w:tc>
          <w:tcPr>
            <w:tcW w:w="0" w:type="auto"/>
            <w:tcBorders>
              <w:top w:val="nil"/>
              <w:left w:val="nil"/>
              <w:bottom w:val="nil"/>
              <w:right w:val="nil"/>
            </w:tcBorders>
            <w:shd w:val="clear" w:color="000000" w:fill="FFFFFF"/>
            <w:noWrap/>
            <w:vAlign w:val="center"/>
            <w:hideMark/>
          </w:tcPr>
          <w:p w14:paraId="7B8DD77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8.0</w:t>
            </w:r>
          </w:p>
        </w:tc>
        <w:tc>
          <w:tcPr>
            <w:tcW w:w="0" w:type="auto"/>
            <w:tcBorders>
              <w:top w:val="nil"/>
              <w:left w:val="nil"/>
              <w:bottom w:val="nil"/>
              <w:right w:val="nil"/>
            </w:tcBorders>
            <w:shd w:val="clear" w:color="000000" w:fill="FFFFFF"/>
            <w:noWrap/>
            <w:vAlign w:val="center"/>
            <w:hideMark/>
          </w:tcPr>
          <w:p w14:paraId="0B8FD9F5"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55.6</w:t>
            </w:r>
          </w:p>
        </w:tc>
        <w:tc>
          <w:tcPr>
            <w:tcW w:w="0" w:type="auto"/>
            <w:tcBorders>
              <w:top w:val="nil"/>
              <w:left w:val="nil"/>
              <w:bottom w:val="nil"/>
              <w:right w:val="nil"/>
            </w:tcBorders>
            <w:shd w:val="clear" w:color="000000" w:fill="FFFFFF"/>
            <w:noWrap/>
            <w:vAlign w:val="center"/>
            <w:hideMark/>
          </w:tcPr>
          <w:p w14:paraId="28A94AD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7.9</w:t>
            </w:r>
          </w:p>
        </w:tc>
        <w:tc>
          <w:tcPr>
            <w:tcW w:w="0" w:type="auto"/>
            <w:tcBorders>
              <w:top w:val="nil"/>
              <w:left w:val="nil"/>
              <w:bottom w:val="nil"/>
              <w:right w:val="nil"/>
            </w:tcBorders>
            <w:shd w:val="clear" w:color="000000" w:fill="FFFFFF"/>
            <w:noWrap/>
            <w:vAlign w:val="center"/>
            <w:hideMark/>
          </w:tcPr>
          <w:p w14:paraId="01AA0FB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11.3</w:t>
            </w:r>
          </w:p>
        </w:tc>
        <w:tc>
          <w:tcPr>
            <w:tcW w:w="0" w:type="auto"/>
            <w:tcBorders>
              <w:top w:val="nil"/>
              <w:left w:val="nil"/>
              <w:bottom w:val="nil"/>
              <w:right w:val="nil"/>
            </w:tcBorders>
            <w:shd w:val="clear" w:color="000000" w:fill="FFFFFF"/>
            <w:noWrap/>
            <w:vAlign w:val="center"/>
            <w:hideMark/>
          </w:tcPr>
          <w:p w14:paraId="742912D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55.8</w:t>
            </w:r>
          </w:p>
        </w:tc>
        <w:tc>
          <w:tcPr>
            <w:tcW w:w="0" w:type="auto"/>
            <w:tcBorders>
              <w:top w:val="nil"/>
              <w:left w:val="nil"/>
              <w:bottom w:val="nil"/>
              <w:right w:val="nil"/>
            </w:tcBorders>
            <w:shd w:val="clear" w:color="000000" w:fill="FFFFFF"/>
            <w:noWrap/>
            <w:vAlign w:val="center"/>
            <w:hideMark/>
          </w:tcPr>
          <w:p w14:paraId="66C42FD2"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2.8</w:t>
            </w:r>
          </w:p>
        </w:tc>
        <w:tc>
          <w:tcPr>
            <w:tcW w:w="0" w:type="auto"/>
            <w:tcBorders>
              <w:top w:val="nil"/>
              <w:left w:val="nil"/>
              <w:bottom w:val="nil"/>
              <w:right w:val="single" w:sz="4" w:space="0" w:color="auto"/>
            </w:tcBorders>
            <w:shd w:val="clear" w:color="000000" w:fill="FFFFFF"/>
            <w:noWrap/>
            <w:vAlign w:val="center"/>
            <w:hideMark/>
          </w:tcPr>
          <w:p w14:paraId="0F6B8AB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141.8</w:t>
            </w:r>
          </w:p>
        </w:tc>
      </w:tr>
      <w:tr w:rsidR="00D24603" w:rsidRPr="00F13CA0" w14:paraId="0D9CC964"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1182F5E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C11</w:t>
            </w:r>
          </w:p>
        </w:tc>
        <w:tc>
          <w:tcPr>
            <w:tcW w:w="0" w:type="auto"/>
            <w:tcBorders>
              <w:top w:val="nil"/>
              <w:left w:val="nil"/>
              <w:bottom w:val="nil"/>
              <w:right w:val="nil"/>
            </w:tcBorders>
            <w:shd w:val="clear" w:color="000000" w:fill="FFFFFF"/>
            <w:noWrap/>
            <w:vAlign w:val="center"/>
            <w:hideMark/>
          </w:tcPr>
          <w:p w14:paraId="6820430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0.3</w:t>
            </w:r>
          </w:p>
        </w:tc>
        <w:tc>
          <w:tcPr>
            <w:tcW w:w="0" w:type="auto"/>
            <w:tcBorders>
              <w:top w:val="nil"/>
              <w:left w:val="nil"/>
              <w:bottom w:val="nil"/>
              <w:right w:val="nil"/>
            </w:tcBorders>
            <w:shd w:val="clear" w:color="000000" w:fill="FFFFFF"/>
            <w:noWrap/>
            <w:vAlign w:val="center"/>
            <w:hideMark/>
          </w:tcPr>
          <w:p w14:paraId="38B878E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13.4</w:t>
            </w:r>
          </w:p>
        </w:tc>
        <w:tc>
          <w:tcPr>
            <w:tcW w:w="0" w:type="auto"/>
            <w:tcBorders>
              <w:top w:val="nil"/>
              <w:left w:val="nil"/>
              <w:bottom w:val="nil"/>
              <w:right w:val="nil"/>
            </w:tcBorders>
            <w:shd w:val="clear" w:color="000000" w:fill="FFFFFF"/>
            <w:noWrap/>
            <w:vAlign w:val="center"/>
            <w:hideMark/>
          </w:tcPr>
          <w:p w14:paraId="1802039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23.2</w:t>
            </w:r>
          </w:p>
        </w:tc>
        <w:tc>
          <w:tcPr>
            <w:tcW w:w="0" w:type="auto"/>
            <w:tcBorders>
              <w:top w:val="nil"/>
              <w:left w:val="nil"/>
              <w:bottom w:val="nil"/>
              <w:right w:val="nil"/>
            </w:tcBorders>
            <w:shd w:val="clear" w:color="000000" w:fill="FFFFFF"/>
            <w:noWrap/>
            <w:vAlign w:val="center"/>
            <w:hideMark/>
          </w:tcPr>
          <w:p w14:paraId="20508602"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7.9</w:t>
            </w:r>
          </w:p>
        </w:tc>
        <w:tc>
          <w:tcPr>
            <w:tcW w:w="0" w:type="auto"/>
            <w:tcBorders>
              <w:top w:val="nil"/>
              <w:left w:val="nil"/>
              <w:bottom w:val="nil"/>
              <w:right w:val="nil"/>
            </w:tcBorders>
            <w:shd w:val="clear" w:color="000000" w:fill="FFFFFF"/>
            <w:noWrap/>
            <w:vAlign w:val="center"/>
            <w:hideMark/>
          </w:tcPr>
          <w:p w14:paraId="4C31BF8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2.5</w:t>
            </w:r>
          </w:p>
        </w:tc>
        <w:tc>
          <w:tcPr>
            <w:tcW w:w="0" w:type="auto"/>
            <w:tcBorders>
              <w:top w:val="nil"/>
              <w:left w:val="nil"/>
              <w:bottom w:val="nil"/>
              <w:right w:val="nil"/>
            </w:tcBorders>
            <w:shd w:val="clear" w:color="000000" w:fill="FFFFFF"/>
            <w:noWrap/>
            <w:vAlign w:val="center"/>
            <w:hideMark/>
          </w:tcPr>
          <w:p w14:paraId="2B8CD4B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16.5</w:t>
            </w:r>
          </w:p>
        </w:tc>
        <w:tc>
          <w:tcPr>
            <w:tcW w:w="0" w:type="auto"/>
            <w:tcBorders>
              <w:top w:val="nil"/>
              <w:left w:val="nil"/>
              <w:bottom w:val="nil"/>
              <w:right w:val="nil"/>
            </w:tcBorders>
            <w:shd w:val="clear" w:color="000000" w:fill="FFFFFF"/>
            <w:noWrap/>
            <w:vAlign w:val="center"/>
            <w:hideMark/>
          </w:tcPr>
          <w:p w14:paraId="54C84472"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0.5</w:t>
            </w:r>
          </w:p>
        </w:tc>
        <w:tc>
          <w:tcPr>
            <w:tcW w:w="0" w:type="auto"/>
            <w:tcBorders>
              <w:top w:val="nil"/>
              <w:left w:val="nil"/>
              <w:bottom w:val="nil"/>
              <w:right w:val="single" w:sz="4" w:space="0" w:color="auto"/>
            </w:tcBorders>
            <w:shd w:val="clear" w:color="000000" w:fill="FFFFFF"/>
            <w:noWrap/>
            <w:vAlign w:val="center"/>
            <w:hideMark/>
          </w:tcPr>
          <w:p w14:paraId="21F6A175"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64.4</w:t>
            </w:r>
          </w:p>
        </w:tc>
      </w:tr>
      <w:tr w:rsidR="00D24603" w:rsidRPr="00F13CA0" w14:paraId="7ED79F7C"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52E6CA8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C12</w:t>
            </w:r>
          </w:p>
        </w:tc>
        <w:tc>
          <w:tcPr>
            <w:tcW w:w="0" w:type="auto"/>
            <w:tcBorders>
              <w:top w:val="nil"/>
              <w:left w:val="nil"/>
              <w:bottom w:val="nil"/>
              <w:right w:val="nil"/>
            </w:tcBorders>
            <w:shd w:val="clear" w:color="000000" w:fill="FFFFFF"/>
            <w:noWrap/>
            <w:vAlign w:val="center"/>
            <w:hideMark/>
          </w:tcPr>
          <w:p w14:paraId="7AF4AF0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3.5</w:t>
            </w:r>
          </w:p>
        </w:tc>
        <w:tc>
          <w:tcPr>
            <w:tcW w:w="0" w:type="auto"/>
            <w:tcBorders>
              <w:top w:val="nil"/>
              <w:left w:val="nil"/>
              <w:bottom w:val="nil"/>
              <w:right w:val="nil"/>
            </w:tcBorders>
            <w:shd w:val="clear" w:color="000000" w:fill="FFFFFF"/>
            <w:noWrap/>
            <w:vAlign w:val="center"/>
            <w:hideMark/>
          </w:tcPr>
          <w:p w14:paraId="17EA8CE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124.6</w:t>
            </w:r>
          </w:p>
        </w:tc>
        <w:tc>
          <w:tcPr>
            <w:tcW w:w="0" w:type="auto"/>
            <w:tcBorders>
              <w:top w:val="nil"/>
              <w:left w:val="nil"/>
              <w:bottom w:val="nil"/>
              <w:right w:val="nil"/>
            </w:tcBorders>
            <w:shd w:val="clear" w:color="000000" w:fill="FFFFFF"/>
            <w:noWrap/>
            <w:vAlign w:val="center"/>
            <w:hideMark/>
          </w:tcPr>
          <w:p w14:paraId="1C2C8E8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300.4</w:t>
            </w:r>
          </w:p>
        </w:tc>
        <w:tc>
          <w:tcPr>
            <w:tcW w:w="0" w:type="auto"/>
            <w:tcBorders>
              <w:top w:val="nil"/>
              <w:left w:val="nil"/>
              <w:bottom w:val="nil"/>
              <w:right w:val="nil"/>
            </w:tcBorders>
            <w:shd w:val="clear" w:color="000000" w:fill="FFFFFF"/>
            <w:noWrap/>
            <w:vAlign w:val="center"/>
            <w:hideMark/>
          </w:tcPr>
          <w:p w14:paraId="7463A5C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65.4</w:t>
            </w:r>
          </w:p>
        </w:tc>
        <w:tc>
          <w:tcPr>
            <w:tcW w:w="0" w:type="auto"/>
            <w:tcBorders>
              <w:top w:val="nil"/>
              <w:left w:val="nil"/>
              <w:bottom w:val="nil"/>
              <w:right w:val="nil"/>
            </w:tcBorders>
            <w:shd w:val="clear" w:color="000000" w:fill="FFFFFF"/>
            <w:noWrap/>
            <w:vAlign w:val="center"/>
            <w:hideMark/>
          </w:tcPr>
          <w:p w14:paraId="2DDAD47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41.3</w:t>
            </w:r>
          </w:p>
        </w:tc>
        <w:tc>
          <w:tcPr>
            <w:tcW w:w="0" w:type="auto"/>
            <w:tcBorders>
              <w:top w:val="nil"/>
              <w:left w:val="nil"/>
              <w:bottom w:val="nil"/>
              <w:right w:val="nil"/>
            </w:tcBorders>
            <w:shd w:val="clear" w:color="000000" w:fill="FFFFFF"/>
            <w:noWrap/>
            <w:vAlign w:val="center"/>
            <w:hideMark/>
          </w:tcPr>
          <w:p w14:paraId="3F160D6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116.1</w:t>
            </w:r>
          </w:p>
        </w:tc>
        <w:tc>
          <w:tcPr>
            <w:tcW w:w="0" w:type="auto"/>
            <w:tcBorders>
              <w:top w:val="nil"/>
              <w:left w:val="nil"/>
              <w:bottom w:val="nil"/>
              <w:right w:val="nil"/>
            </w:tcBorders>
            <w:shd w:val="clear" w:color="000000" w:fill="FFFFFF"/>
            <w:noWrap/>
            <w:vAlign w:val="center"/>
            <w:hideMark/>
          </w:tcPr>
          <w:p w14:paraId="4C0E2F3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9.0</w:t>
            </w:r>
          </w:p>
        </w:tc>
        <w:tc>
          <w:tcPr>
            <w:tcW w:w="0" w:type="auto"/>
            <w:tcBorders>
              <w:top w:val="nil"/>
              <w:left w:val="nil"/>
              <w:bottom w:val="nil"/>
              <w:right w:val="single" w:sz="4" w:space="0" w:color="auto"/>
            </w:tcBorders>
            <w:shd w:val="clear" w:color="000000" w:fill="FFFFFF"/>
            <w:noWrap/>
            <w:vAlign w:val="center"/>
            <w:hideMark/>
          </w:tcPr>
          <w:p w14:paraId="57374825"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660.5</w:t>
            </w:r>
          </w:p>
        </w:tc>
      </w:tr>
      <w:tr w:rsidR="00D24603" w:rsidRPr="00F13CA0" w14:paraId="2704D788"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310E556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C13</w:t>
            </w:r>
          </w:p>
        </w:tc>
        <w:tc>
          <w:tcPr>
            <w:tcW w:w="0" w:type="auto"/>
            <w:tcBorders>
              <w:top w:val="nil"/>
              <w:left w:val="nil"/>
              <w:bottom w:val="nil"/>
              <w:right w:val="nil"/>
            </w:tcBorders>
            <w:shd w:val="clear" w:color="000000" w:fill="FFFFFF"/>
            <w:noWrap/>
            <w:vAlign w:val="center"/>
            <w:hideMark/>
          </w:tcPr>
          <w:p w14:paraId="0DEF25E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9.2</w:t>
            </w:r>
          </w:p>
        </w:tc>
        <w:tc>
          <w:tcPr>
            <w:tcW w:w="0" w:type="auto"/>
            <w:tcBorders>
              <w:top w:val="nil"/>
              <w:left w:val="nil"/>
              <w:bottom w:val="nil"/>
              <w:right w:val="nil"/>
            </w:tcBorders>
            <w:shd w:val="clear" w:color="000000" w:fill="FFFFFF"/>
            <w:noWrap/>
            <w:vAlign w:val="center"/>
            <w:hideMark/>
          </w:tcPr>
          <w:p w14:paraId="2A8E3F2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329.0</w:t>
            </w:r>
          </w:p>
        </w:tc>
        <w:tc>
          <w:tcPr>
            <w:tcW w:w="0" w:type="auto"/>
            <w:tcBorders>
              <w:top w:val="nil"/>
              <w:left w:val="nil"/>
              <w:bottom w:val="nil"/>
              <w:right w:val="nil"/>
            </w:tcBorders>
            <w:shd w:val="clear" w:color="000000" w:fill="FFFFFF"/>
            <w:noWrap/>
            <w:vAlign w:val="center"/>
            <w:hideMark/>
          </w:tcPr>
          <w:p w14:paraId="2E19770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934.0</w:t>
            </w:r>
          </w:p>
        </w:tc>
        <w:tc>
          <w:tcPr>
            <w:tcW w:w="0" w:type="auto"/>
            <w:tcBorders>
              <w:top w:val="nil"/>
              <w:left w:val="nil"/>
              <w:bottom w:val="nil"/>
              <w:right w:val="nil"/>
            </w:tcBorders>
            <w:shd w:val="clear" w:color="000000" w:fill="FFFFFF"/>
            <w:noWrap/>
            <w:vAlign w:val="center"/>
            <w:hideMark/>
          </w:tcPr>
          <w:p w14:paraId="21F87322"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208.9</w:t>
            </w:r>
          </w:p>
        </w:tc>
        <w:tc>
          <w:tcPr>
            <w:tcW w:w="0" w:type="auto"/>
            <w:tcBorders>
              <w:top w:val="nil"/>
              <w:left w:val="nil"/>
              <w:bottom w:val="nil"/>
              <w:right w:val="nil"/>
            </w:tcBorders>
            <w:shd w:val="clear" w:color="000000" w:fill="FFFFFF"/>
            <w:noWrap/>
            <w:vAlign w:val="center"/>
            <w:hideMark/>
          </w:tcPr>
          <w:p w14:paraId="5365912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110.1</w:t>
            </w:r>
          </w:p>
        </w:tc>
        <w:tc>
          <w:tcPr>
            <w:tcW w:w="0" w:type="auto"/>
            <w:tcBorders>
              <w:top w:val="nil"/>
              <w:left w:val="nil"/>
              <w:bottom w:val="nil"/>
              <w:right w:val="nil"/>
            </w:tcBorders>
            <w:shd w:val="clear" w:color="000000" w:fill="FFFFFF"/>
            <w:noWrap/>
            <w:vAlign w:val="center"/>
            <w:hideMark/>
          </w:tcPr>
          <w:p w14:paraId="7A7F638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271.1</w:t>
            </w:r>
          </w:p>
        </w:tc>
        <w:tc>
          <w:tcPr>
            <w:tcW w:w="0" w:type="auto"/>
            <w:tcBorders>
              <w:top w:val="nil"/>
              <w:left w:val="nil"/>
              <w:bottom w:val="nil"/>
              <w:right w:val="nil"/>
            </w:tcBorders>
            <w:shd w:val="clear" w:color="000000" w:fill="FFFFFF"/>
            <w:noWrap/>
            <w:vAlign w:val="center"/>
            <w:hideMark/>
          </w:tcPr>
          <w:p w14:paraId="041A3FB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40.6</w:t>
            </w:r>
          </w:p>
        </w:tc>
        <w:tc>
          <w:tcPr>
            <w:tcW w:w="0" w:type="auto"/>
            <w:tcBorders>
              <w:top w:val="nil"/>
              <w:left w:val="nil"/>
              <w:bottom w:val="nil"/>
              <w:right w:val="single" w:sz="4" w:space="0" w:color="auto"/>
            </w:tcBorders>
            <w:shd w:val="clear" w:color="000000" w:fill="FFFFFF"/>
            <w:noWrap/>
            <w:vAlign w:val="center"/>
            <w:hideMark/>
          </w:tcPr>
          <w:p w14:paraId="7E0BD55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1903.0</w:t>
            </w:r>
          </w:p>
        </w:tc>
      </w:tr>
      <w:tr w:rsidR="00D24603" w:rsidRPr="00F13CA0" w14:paraId="7BB5A578"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7FCD3D5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C14</w:t>
            </w:r>
          </w:p>
        </w:tc>
        <w:tc>
          <w:tcPr>
            <w:tcW w:w="0" w:type="auto"/>
            <w:tcBorders>
              <w:top w:val="nil"/>
              <w:left w:val="nil"/>
              <w:bottom w:val="nil"/>
              <w:right w:val="nil"/>
            </w:tcBorders>
            <w:shd w:val="clear" w:color="000000" w:fill="FFFFFF"/>
            <w:noWrap/>
            <w:vAlign w:val="center"/>
            <w:hideMark/>
          </w:tcPr>
          <w:p w14:paraId="7FB82B7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1.5</w:t>
            </w:r>
          </w:p>
        </w:tc>
        <w:tc>
          <w:tcPr>
            <w:tcW w:w="0" w:type="auto"/>
            <w:tcBorders>
              <w:top w:val="nil"/>
              <w:left w:val="nil"/>
              <w:bottom w:val="nil"/>
              <w:right w:val="nil"/>
            </w:tcBorders>
            <w:shd w:val="clear" w:color="000000" w:fill="FFFFFF"/>
            <w:noWrap/>
            <w:vAlign w:val="center"/>
            <w:hideMark/>
          </w:tcPr>
          <w:p w14:paraId="576973C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21.3</w:t>
            </w:r>
          </w:p>
        </w:tc>
        <w:tc>
          <w:tcPr>
            <w:tcW w:w="0" w:type="auto"/>
            <w:tcBorders>
              <w:top w:val="nil"/>
              <w:left w:val="nil"/>
              <w:bottom w:val="nil"/>
              <w:right w:val="nil"/>
            </w:tcBorders>
            <w:shd w:val="clear" w:color="000000" w:fill="FFFFFF"/>
            <w:noWrap/>
            <w:vAlign w:val="center"/>
            <w:hideMark/>
          </w:tcPr>
          <w:p w14:paraId="038BDF55"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84.3</w:t>
            </w:r>
          </w:p>
        </w:tc>
        <w:tc>
          <w:tcPr>
            <w:tcW w:w="0" w:type="auto"/>
            <w:tcBorders>
              <w:top w:val="nil"/>
              <w:left w:val="nil"/>
              <w:bottom w:val="nil"/>
              <w:right w:val="nil"/>
            </w:tcBorders>
            <w:shd w:val="clear" w:color="000000" w:fill="FFFFFF"/>
            <w:noWrap/>
            <w:vAlign w:val="center"/>
            <w:hideMark/>
          </w:tcPr>
          <w:p w14:paraId="2803764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13.9</w:t>
            </w:r>
          </w:p>
        </w:tc>
        <w:tc>
          <w:tcPr>
            <w:tcW w:w="0" w:type="auto"/>
            <w:tcBorders>
              <w:top w:val="nil"/>
              <w:left w:val="nil"/>
              <w:bottom w:val="nil"/>
              <w:right w:val="nil"/>
            </w:tcBorders>
            <w:shd w:val="clear" w:color="000000" w:fill="FFFFFF"/>
            <w:noWrap/>
            <w:vAlign w:val="center"/>
            <w:hideMark/>
          </w:tcPr>
          <w:p w14:paraId="27DD56B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15.0</w:t>
            </w:r>
          </w:p>
        </w:tc>
        <w:tc>
          <w:tcPr>
            <w:tcW w:w="0" w:type="auto"/>
            <w:tcBorders>
              <w:top w:val="nil"/>
              <w:left w:val="nil"/>
              <w:bottom w:val="nil"/>
              <w:right w:val="nil"/>
            </w:tcBorders>
            <w:shd w:val="clear" w:color="000000" w:fill="FFFFFF"/>
            <w:noWrap/>
            <w:vAlign w:val="center"/>
            <w:hideMark/>
          </w:tcPr>
          <w:p w14:paraId="7153700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42.0</w:t>
            </w:r>
          </w:p>
        </w:tc>
        <w:tc>
          <w:tcPr>
            <w:tcW w:w="0" w:type="auto"/>
            <w:tcBorders>
              <w:top w:val="nil"/>
              <w:left w:val="nil"/>
              <w:bottom w:val="nil"/>
              <w:right w:val="nil"/>
            </w:tcBorders>
            <w:shd w:val="clear" w:color="000000" w:fill="FFFFFF"/>
            <w:noWrap/>
            <w:vAlign w:val="center"/>
            <w:hideMark/>
          </w:tcPr>
          <w:p w14:paraId="28FECC4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4.9</w:t>
            </w:r>
          </w:p>
        </w:tc>
        <w:tc>
          <w:tcPr>
            <w:tcW w:w="0" w:type="auto"/>
            <w:tcBorders>
              <w:top w:val="nil"/>
              <w:left w:val="nil"/>
              <w:bottom w:val="nil"/>
              <w:right w:val="single" w:sz="4" w:space="0" w:color="auto"/>
            </w:tcBorders>
            <w:shd w:val="clear" w:color="000000" w:fill="FFFFFF"/>
            <w:noWrap/>
            <w:vAlign w:val="center"/>
            <w:hideMark/>
          </w:tcPr>
          <w:p w14:paraId="51EFE875"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183.0</w:t>
            </w:r>
          </w:p>
        </w:tc>
      </w:tr>
      <w:tr w:rsidR="00D24603" w:rsidRPr="00F13CA0" w14:paraId="4393E224"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0299EC0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C15</w:t>
            </w:r>
          </w:p>
        </w:tc>
        <w:tc>
          <w:tcPr>
            <w:tcW w:w="0" w:type="auto"/>
            <w:tcBorders>
              <w:top w:val="nil"/>
              <w:left w:val="nil"/>
              <w:bottom w:val="nil"/>
              <w:right w:val="nil"/>
            </w:tcBorders>
            <w:shd w:val="clear" w:color="000000" w:fill="FFFFFF"/>
            <w:noWrap/>
            <w:vAlign w:val="center"/>
            <w:hideMark/>
          </w:tcPr>
          <w:p w14:paraId="6601612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0.4</w:t>
            </w:r>
          </w:p>
        </w:tc>
        <w:tc>
          <w:tcPr>
            <w:tcW w:w="0" w:type="auto"/>
            <w:tcBorders>
              <w:top w:val="nil"/>
              <w:left w:val="nil"/>
              <w:bottom w:val="nil"/>
              <w:right w:val="nil"/>
            </w:tcBorders>
            <w:shd w:val="clear" w:color="000000" w:fill="FFFFFF"/>
            <w:noWrap/>
            <w:vAlign w:val="center"/>
            <w:hideMark/>
          </w:tcPr>
          <w:p w14:paraId="5DF8D20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4.4</w:t>
            </w:r>
          </w:p>
        </w:tc>
        <w:tc>
          <w:tcPr>
            <w:tcW w:w="0" w:type="auto"/>
            <w:tcBorders>
              <w:top w:val="nil"/>
              <w:left w:val="nil"/>
              <w:bottom w:val="nil"/>
              <w:right w:val="nil"/>
            </w:tcBorders>
            <w:shd w:val="clear" w:color="000000" w:fill="FFFFFF"/>
            <w:noWrap/>
            <w:vAlign w:val="center"/>
            <w:hideMark/>
          </w:tcPr>
          <w:p w14:paraId="2D9D9A7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43.8</w:t>
            </w:r>
          </w:p>
        </w:tc>
        <w:tc>
          <w:tcPr>
            <w:tcW w:w="0" w:type="auto"/>
            <w:tcBorders>
              <w:top w:val="nil"/>
              <w:left w:val="nil"/>
              <w:bottom w:val="nil"/>
              <w:right w:val="nil"/>
            </w:tcBorders>
            <w:shd w:val="clear" w:color="000000" w:fill="FFFFFF"/>
            <w:noWrap/>
            <w:vAlign w:val="center"/>
            <w:hideMark/>
          </w:tcPr>
          <w:p w14:paraId="123B140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9.9</w:t>
            </w:r>
          </w:p>
        </w:tc>
        <w:tc>
          <w:tcPr>
            <w:tcW w:w="0" w:type="auto"/>
            <w:tcBorders>
              <w:top w:val="nil"/>
              <w:left w:val="nil"/>
              <w:bottom w:val="nil"/>
              <w:right w:val="nil"/>
            </w:tcBorders>
            <w:shd w:val="clear" w:color="000000" w:fill="FFFFFF"/>
            <w:noWrap/>
            <w:vAlign w:val="center"/>
            <w:hideMark/>
          </w:tcPr>
          <w:p w14:paraId="7F7D349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9.2</w:t>
            </w:r>
          </w:p>
        </w:tc>
        <w:tc>
          <w:tcPr>
            <w:tcW w:w="0" w:type="auto"/>
            <w:tcBorders>
              <w:top w:val="nil"/>
              <w:left w:val="nil"/>
              <w:bottom w:val="nil"/>
              <w:right w:val="nil"/>
            </w:tcBorders>
            <w:shd w:val="clear" w:color="000000" w:fill="FFFFFF"/>
            <w:noWrap/>
            <w:vAlign w:val="center"/>
            <w:hideMark/>
          </w:tcPr>
          <w:p w14:paraId="0157D7C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31.3</w:t>
            </w:r>
          </w:p>
        </w:tc>
        <w:tc>
          <w:tcPr>
            <w:tcW w:w="0" w:type="auto"/>
            <w:tcBorders>
              <w:top w:val="nil"/>
              <w:left w:val="nil"/>
              <w:bottom w:val="nil"/>
              <w:right w:val="nil"/>
            </w:tcBorders>
            <w:shd w:val="clear" w:color="000000" w:fill="FFFFFF"/>
            <w:noWrap/>
            <w:vAlign w:val="center"/>
            <w:hideMark/>
          </w:tcPr>
          <w:p w14:paraId="21FDD36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1.2</w:t>
            </w:r>
          </w:p>
        </w:tc>
        <w:tc>
          <w:tcPr>
            <w:tcW w:w="0" w:type="auto"/>
            <w:tcBorders>
              <w:top w:val="nil"/>
              <w:left w:val="nil"/>
              <w:bottom w:val="nil"/>
              <w:right w:val="single" w:sz="4" w:space="0" w:color="auto"/>
            </w:tcBorders>
            <w:shd w:val="clear" w:color="000000" w:fill="FFFFFF"/>
            <w:noWrap/>
            <w:vAlign w:val="center"/>
            <w:hideMark/>
          </w:tcPr>
          <w:p w14:paraId="21A49FD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100.2</w:t>
            </w:r>
          </w:p>
        </w:tc>
      </w:tr>
      <w:tr w:rsidR="00D24603" w:rsidRPr="00F13CA0" w14:paraId="01EE7CF4"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1B574CA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C16</w:t>
            </w:r>
          </w:p>
        </w:tc>
        <w:tc>
          <w:tcPr>
            <w:tcW w:w="0" w:type="auto"/>
            <w:tcBorders>
              <w:top w:val="nil"/>
              <w:left w:val="nil"/>
              <w:bottom w:val="nil"/>
              <w:right w:val="nil"/>
            </w:tcBorders>
            <w:shd w:val="clear" w:color="000000" w:fill="FFFFFF"/>
            <w:noWrap/>
            <w:vAlign w:val="center"/>
            <w:hideMark/>
          </w:tcPr>
          <w:p w14:paraId="7F25062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0.3</w:t>
            </w:r>
          </w:p>
        </w:tc>
        <w:tc>
          <w:tcPr>
            <w:tcW w:w="0" w:type="auto"/>
            <w:tcBorders>
              <w:top w:val="nil"/>
              <w:left w:val="nil"/>
              <w:bottom w:val="nil"/>
              <w:right w:val="nil"/>
            </w:tcBorders>
            <w:shd w:val="clear" w:color="000000" w:fill="FFFFFF"/>
            <w:noWrap/>
            <w:vAlign w:val="center"/>
            <w:hideMark/>
          </w:tcPr>
          <w:p w14:paraId="4A69CB5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7.8</w:t>
            </w:r>
          </w:p>
        </w:tc>
        <w:tc>
          <w:tcPr>
            <w:tcW w:w="0" w:type="auto"/>
            <w:tcBorders>
              <w:top w:val="nil"/>
              <w:left w:val="nil"/>
              <w:bottom w:val="nil"/>
              <w:right w:val="nil"/>
            </w:tcBorders>
            <w:shd w:val="clear" w:color="000000" w:fill="FFFFFF"/>
            <w:noWrap/>
            <w:vAlign w:val="center"/>
            <w:hideMark/>
          </w:tcPr>
          <w:p w14:paraId="57AA222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33.7</w:t>
            </w:r>
          </w:p>
        </w:tc>
        <w:tc>
          <w:tcPr>
            <w:tcW w:w="0" w:type="auto"/>
            <w:tcBorders>
              <w:top w:val="nil"/>
              <w:left w:val="nil"/>
              <w:bottom w:val="nil"/>
              <w:right w:val="nil"/>
            </w:tcBorders>
            <w:shd w:val="clear" w:color="000000" w:fill="FFFFFF"/>
            <w:noWrap/>
            <w:vAlign w:val="center"/>
            <w:hideMark/>
          </w:tcPr>
          <w:p w14:paraId="34ED9E7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7.3</w:t>
            </w:r>
          </w:p>
        </w:tc>
        <w:tc>
          <w:tcPr>
            <w:tcW w:w="0" w:type="auto"/>
            <w:tcBorders>
              <w:top w:val="nil"/>
              <w:left w:val="nil"/>
              <w:bottom w:val="nil"/>
              <w:right w:val="nil"/>
            </w:tcBorders>
            <w:shd w:val="clear" w:color="000000" w:fill="FFFFFF"/>
            <w:noWrap/>
            <w:vAlign w:val="center"/>
            <w:hideMark/>
          </w:tcPr>
          <w:p w14:paraId="1AE61D92"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6.9</w:t>
            </w:r>
          </w:p>
        </w:tc>
        <w:tc>
          <w:tcPr>
            <w:tcW w:w="0" w:type="auto"/>
            <w:tcBorders>
              <w:top w:val="nil"/>
              <w:left w:val="nil"/>
              <w:bottom w:val="nil"/>
              <w:right w:val="nil"/>
            </w:tcBorders>
            <w:shd w:val="clear" w:color="000000" w:fill="FFFFFF"/>
            <w:noWrap/>
            <w:vAlign w:val="center"/>
            <w:hideMark/>
          </w:tcPr>
          <w:p w14:paraId="09091CB2"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14.4</w:t>
            </w:r>
          </w:p>
        </w:tc>
        <w:tc>
          <w:tcPr>
            <w:tcW w:w="0" w:type="auto"/>
            <w:tcBorders>
              <w:top w:val="nil"/>
              <w:left w:val="nil"/>
              <w:bottom w:val="nil"/>
              <w:right w:val="nil"/>
            </w:tcBorders>
            <w:shd w:val="clear" w:color="000000" w:fill="FFFFFF"/>
            <w:noWrap/>
            <w:vAlign w:val="center"/>
            <w:hideMark/>
          </w:tcPr>
          <w:p w14:paraId="3D9E840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1.0</w:t>
            </w:r>
          </w:p>
        </w:tc>
        <w:tc>
          <w:tcPr>
            <w:tcW w:w="0" w:type="auto"/>
            <w:tcBorders>
              <w:top w:val="nil"/>
              <w:left w:val="nil"/>
              <w:bottom w:val="nil"/>
              <w:right w:val="single" w:sz="4" w:space="0" w:color="auto"/>
            </w:tcBorders>
            <w:shd w:val="clear" w:color="000000" w:fill="FFFFFF"/>
            <w:noWrap/>
            <w:vAlign w:val="center"/>
            <w:hideMark/>
          </w:tcPr>
          <w:p w14:paraId="053CA0B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71.4</w:t>
            </w:r>
          </w:p>
        </w:tc>
      </w:tr>
      <w:tr w:rsidR="00D24603" w:rsidRPr="00F13CA0" w14:paraId="139A77B8"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353C426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C17</w:t>
            </w:r>
          </w:p>
        </w:tc>
        <w:tc>
          <w:tcPr>
            <w:tcW w:w="0" w:type="auto"/>
            <w:tcBorders>
              <w:top w:val="nil"/>
              <w:left w:val="nil"/>
              <w:bottom w:val="nil"/>
              <w:right w:val="nil"/>
            </w:tcBorders>
            <w:shd w:val="clear" w:color="000000" w:fill="FFFFFF"/>
            <w:noWrap/>
            <w:vAlign w:val="center"/>
            <w:hideMark/>
          </w:tcPr>
          <w:p w14:paraId="63CC583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1.3</w:t>
            </w:r>
          </w:p>
        </w:tc>
        <w:tc>
          <w:tcPr>
            <w:tcW w:w="0" w:type="auto"/>
            <w:tcBorders>
              <w:top w:val="nil"/>
              <w:left w:val="nil"/>
              <w:bottom w:val="nil"/>
              <w:right w:val="nil"/>
            </w:tcBorders>
            <w:shd w:val="clear" w:color="000000" w:fill="FFFFFF"/>
            <w:noWrap/>
            <w:vAlign w:val="center"/>
            <w:hideMark/>
          </w:tcPr>
          <w:p w14:paraId="3161FF7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21.5</w:t>
            </w:r>
          </w:p>
        </w:tc>
        <w:tc>
          <w:tcPr>
            <w:tcW w:w="0" w:type="auto"/>
            <w:tcBorders>
              <w:top w:val="nil"/>
              <w:left w:val="nil"/>
              <w:bottom w:val="nil"/>
              <w:right w:val="nil"/>
            </w:tcBorders>
            <w:shd w:val="clear" w:color="000000" w:fill="FFFFFF"/>
            <w:noWrap/>
            <w:vAlign w:val="center"/>
            <w:hideMark/>
          </w:tcPr>
          <w:p w14:paraId="17915F6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76.7</w:t>
            </w:r>
          </w:p>
        </w:tc>
        <w:tc>
          <w:tcPr>
            <w:tcW w:w="0" w:type="auto"/>
            <w:tcBorders>
              <w:top w:val="nil"/>
              <w:left w:val="nil"/>
              <w:bottom w:val="nil"/>
              <w:right w:val="nil"/>
            </w:tcBorders>
            <w:shd w:val="clear" w:color="000000" w:fill="FFFFFF"/>
            <w:noWrap/>
            <w:vAlign w:val="center"/>
            <w:hideMark/>
          </w:tcPr>
          <w:p w14:paraId="3F04D11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24.4</w:t>
            </w:r>
          </w:p>
        </w:tc>
        <w:tc>
          <w:tcPr>
            <w:tcW w:w="0" w:type="auto"/>
            <w:tcBorders>
              <w:top w:val="nil"/>
              <w:left w:val="nil"/>
              <w:bottom w:val="nil"/>
              <w:right w:val="nil"/>
            </w:tcBorders>
            <w:shd w:val="clear" w:color="000000" w:fill="FFFFFF"/>
            <w:noWrap/>
            <w:vAlign w:val="center"/>
            <w:hideMark/>
          </w:tcPr>
          <w:p w14:paraId="36D6832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20.7</w:t>
            </w:r>
          </w:p>
        </w:tc>
        <w:tc>
          <w:tcPr>
            <w:tcW w:w="0" w:type="auto"/>
            <w:tcBorders>
              <w:top w:val="nil"/>
              <w:left w:val="nil"/>
              <w:bottom w:val="nil"/>
              <w:right w:val="nil"/>
            </w:tcBorders>
            <w:shd w:val="clear" w:color="000000" w:fill="FFFFFF"/>
            <w:noWrap/>
            <w:vAlign w:val="center"/>
            <w:hideMark/>
          </w:tcPr>
          <w:p w14:paraId="5E72253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66.4</w:t>
            </w:r>
          </w:p>
        </w:tc>
        <w:tc>
          <w:tcPr>
            <w:tcW w:w="0" w:type="auto"/>
            <w:tcBorders>
              <w:top w:val="nil"/>
              <w:left w:val="nil"/>
              <w:bottom w:val="nil"/>
              <w:right w:val="nil"/>
            </w:tcBorders>
            <w:shd w:val="clear" w:color="000000" w:fill="FFFFFF"/>
            <w:noWrap/>
            <w:vAlign w:val="center"/>
            <w:hideMark/>
          </w:tcPr>
          <w:p w14:paraId="5C09A13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3.6</w:t>
            </w:r>
          </w:p>
        </w:tc>
        <w:tc>
          <w:tcPr>
            <w:tcW w:w="0" w:type="auto"/>
            <w:tcBorders>
              <w:top w:val="nil"/>
              <w:left w:val="nil"/>
              <w:bottom w:val="nil"/>
              <w:right w:val="single" w:sz="4" w:space="0" w:color="auto"/>
            </w:tcBorders>
            <w:shd w:val="clear" w:color="000000" w:fill="FFFFFF"/>
            <w:noWrap/>
            <w:vAlign w:val="center"/>
            <w:hideMark/>
          </w:tcPr>
          <w:p w14:paraId="787AA1B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214.7</w:t>
            </w:r>
          </w:p>
        </w:tc>
      </w:tr>
      <w:tr w:rsidR="00D24603" w:rsidRPr="00F13CA0" w14:paraId="3222A7A1"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27EF951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C18</w:t>
            </w:r>
          </w:p>
        </w:tc>
        <w:tc>
          <w:tcPr>
            <w:tcW w:w="0" w:type="auto"/>
            <w:tcBorders>
              <w:top w:val="nil"/>
              <w:left w:val="nil"/>
              <w:bottom w:val="nil"/>
              <w:right w:val="nil"/>
            </w:tcBorders>
            <w:shd w:val="clear" w:color="000000" w:fill="FFFFFF"/>
            <w:noWrap/>
            <w:vAlign w:val="center"/>
            <w:hideMark/>
          </w:tcPr>
          <w:p w14:paraId="2D37D652"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0.2</w:t>
            </w:r>
          </w:p>
        </w:tc>
        <w:tc>
          <w:tcPr>
            <w:tcW w:w="0" w:type="auto"/>
            <w:tcBorders>
              <w:top w:val="nil"/>
              <w:left w:val="nil"/>
              <w:bottom w:val="nil"/>
              <w:right w:val="nil"/>
            </w:tcBorders>
            <w:shd w:val="clear" w:color="000000" w:fill="FFFFFF"/>
            <w:noWrap/>
            <w:vAlign w:val="center"/>
            <w:hideMark/>
          </w:tcPr>
          <w:p w14:paraId="5225D36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17.7</w:t>
            </w:r>
          </w:p>
        </w:tc>
        <w:tc>
          <w:tcPr>
            <w:tcW w:w="0" w:type="auto"/>
            <w:tcBorders>
              <w:top w:val="nil"/>
              <w:left w:val="nil"/>
              <w:bottom w:val="nil"/>
              <w:right w:val="nil"/>
            </w:tcBorders>
            <w:shd w:val="clear" w:color="000000" w:fill="FFFFFF"/>
            <w:noWrap/>
            <w:vAlign w:val="center"/>
            <w:hideMark/>
          </w:tcPr>
          <w:p w14:paraId="102B87B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43.5</w:t>
            </w:r>
          </w:p>
        </w:tc>
        <w:tc>
          <w:tcPr>
            <w:tcW w:w="0" w:type="auto"/>
            <w:tcBorders>
              <w:top w:val="nil"/>
              <w:left w:val="nil"/>
              <w:bottom w:val="nil"/>
              <w:right w:val="nil"/>
            </w:tcBorders>
            <w:shd w:val="clear" w:color="000000" w:fill="FFFFFF"/>
            <w:noWrap/>
            <w:vAlign w:val="center"/>
            <w:hideMark/>
          </w:tcPr>
          <w:p w14:paraId="7102FA0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14.6</w:t>
            </w:r>
          </w:p>
        </w:tc>
        <w:tc>
          <w:tcPr>
            <w:tcW w:w="0" w:type="auto"/>
            <w:tcBorders>
              <w:top w:val="nil"/>
              <w:left w:val="nil"/>
              <w:bottom w:val="nil"/>
              <w:right w:val="nil"/>
            </w:tcBorders>
            <w:shd w:val="clear" w:color="000000" w:fill="FFFFFF"/>
            <w:noWrap/>
            <w:vAlign w:val="center"/>
            <w:hideMark/>
          </w:tcPr>
          <w:p w14:paraId="1A3FE53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4.8</w:t>
            </w:r>
          </w:p>
        </w:tc>
        <w:tc>
          <w:tcPr>
            <w:tcW w:w="0" w:type="auto"/>
            <w:tcBorders>
              <w:top w:val="nil"/>
              <w:left w:val="nil"/>
              <w:bottom w:val="nil"/>
              <w:right w:val="nil"/>
            </w:tcBorders>
            <w:shd w:val="clear" w:color="000000" w:fill="FFFFFF"/>
            <w:noWrap/>
            <w:vAlign w:val="center"/>
            <w:hideMark/>
          </w:tcPr>
          <w:p w14:paraId="2049722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17.8</w:t>
            </w:r>
          </w:p>
        </w:tc>
        <w:tc>
          <w:tcPr>
            <w:tcW w:w="0" w:type="auto"/>
            <w:tcBorders>
              <w:top w:val="nil"/>
              <w:left w:val="nil"/>
              <w:bottom w:val="nil"/>
              <w:right w:val="nil"/>
            </w:tcBorders>
            <w:shd w:val="clear" w:color="000000" w:fill="FFFFFF"/>
            <w:noWrap/>
            <w:vAlign w:val="center"/>
            <w:hideMark/>
          </w:tcPr>
          <w:p w14:paraId="3CAE2A9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1.0</w:t>
            </w:r>
          </w:p>
        </w:tc>
        <w:tc>
          <w:tcPr>
            <w:tcW w:w="0" w:type="auto"/>
            <w:tcBorders>
              <w:top w:val="nil"/>
              <w:left w:val="nil"/>
              <w:bottom w:val="nil"/>
              <w:right w:val="single" w:sz="4" w:space="0" w:color="auto"/>
            </w:tcBorders>
            <w:shd w:val="clear" w:color="000000" w:fill="FFFFFF"/>
            <w:noWrap/>
            <w:vAlign w:val="center"/>
            <w:hideMark/>
          </w:tcPr>
          <w:p w14:paraId="00A4176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99.7</w:t>
            </w:r>
          </w:p>
        </w:tc>
      </w:tr>
      <w:tr w:rsidR="00D24603" w:rsidRPr="00F13CA0" w14:paraId="1AF70291"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7685A3D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C19</w:t>
            </w:r>
          </w:p>
        </w:tc>
        <w:tc>
          <w:tcPr>
            <w:tcW w:w="0" w:type="auto"/>
            <w:tcBorders>
              <w:top w:val="nil"/>
              <w:left w:val="nil"/>
              <w:bottom w:val="nil"/>
              <w:right w:val="nil"/>
            </w:tcBorders>
            <w:shd w:val="clear" w:color="000000" w:fill="FFFFFF"/>
            <w:noWrap/>
            <w:vAlign w:val="center"/>
            <w:hideMark/>
          </w:tcPr>
          <w:p w14:paraId="7FEAE74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0.6</w:t>
            </w:r>
          </w:p>
        </w:tc>
        <w:tc>
          <w:tcPr>
            <w:tcW w:w="0" w:type="auto"/>
            <w:tcBorders>
              <w:top w:val="nil"/>
              <w:left w:val="nil"/>
              <w:bottom w:val="nil"/>
              <w:right w:val="nil"/>
            </w:tcBorders>
            <w:shd w:val="clear" w:color="000000" w:fill="FFFFFF"/>
            <w:noWrap/>
            <w:vAlign w:val="center"/>
            <w:hideMark/>
          </w:tcPr>
          <w:p w14:paraId="71B75632"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10.1</w:t>
            </w:r>
          </w:p>
        </w:tc>
        <w:tc>
          <w:tcPr>
            <w:tcW w:w="0" w:type="auto"/>
            <w:tcBorders>
              <w:top w:val="nil"/>
              <w:left w:val="nil"/>
              <w:bottom w:val="nil"/>
              <w:right w:val="nil"/>
            </w:tcBorders>
            <w:shd w:val="clear" w:color="000000" w:fill="FFFFFF"/>
            <w:noWrap/>
            <w:vAlign w:val="center"/>
            <w:hideMark/>
          </w:tcPr>
          <w:p w14:paraId="2172C06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55.4</w:t>
            </w:r>
          </w:p>
        </w:tc>
        <w:tc>
          <w:tcPr>
            <w:tcW w:w="0" w:type="auto"/>
            <w:tcBorders>
              <w:top w:val="nil"/>
              <w:left w:val="nil"/>
              <w:bottom w:val="nil"/>
              <w:right w:val="nil"/>
            </w:tcBorders>
            <w:shd w:val="clear" w:color="000000" w:fill="FFFFFF"/>
            <w:noWrap/>
            <w:vAlign w:val="center"/>
            <w:hideMark/>
          </w:tcPr>
          <w:p w14:paraId="4A4C6CE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11.9</w:t>
            </w:r>
          </w:p>
        </w:tc>
        <w:tc>
          <w:tcPr>
            <w:tcW w:w="0" w:type="auto"/>
            <w:tcBorders>
              <w:top w:val="nil"/>
              <w:left w:val="nil"/>
              <w:bottom w:val="nil"/>
              <w:right w:val="nil"/>
            </w:tcBorders>
            <w:shd w:val="clear" w:color="000000" w:fill="FFFFFF"/>
            <w:noWrap/>
            <w:vAlign w:val="center"/>
            <w:hideMark/>
          </w:tcPr>
          <w:p w14:paraId="70FB0EA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15.0</w:t>
            </w:r>
          </w:p>
        </w:tc>
        <w:tc>
          <w:tcPr>
            <w:tcW w:w="0" w:type="auto"/>
            <w:tcBorders>
              <w:top w:val="nil"/>
              <w:left w:val="nil"/>
              <w:bottom w:val="nil"/>
              <w:right w:val="nil"/>
            </w:tcBorders>
            <w:shd w:val="clear" w:color="000000" w:fill="FFFFFF"/>
            <w:noWrap/>
            <w:vAlign w:val="center"/>
            <w:hideMark/>
          </w:tcPr>
          <w:p w14:paraId="6A6DAE4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27.2</w:t>
            </w:r>
          </w:p>
        </w:tc>
        <w:tc>
          <w:tcPr>
            <w:tcW w:w="0" w:type="auto"/>
            <w:tcBorders>
              <w:top w:val="nil"/>
              <w:left w:val="nil"/>
              <w:bottom w:val="nil"/>
              <w:right w:val="nil"/>
            </w:tcBorders>
            <w:shd w:val="clear" w:color="000000" w:fill="FFFFFF"/>
            <w:noWrap/>
            <w:vAlign w:val="center"/>
            <w:hideMark/>
          </w:tcPr>
          <w:p w14:paraId="0CC3A7A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2.2</w:t>
            </w:r>
          </w:p>
        </w:tc>
        <w:tc>
          <w:tcPr>
            <w:tcW w:w="0" w:type="auto"/>
            <w:tcBorders>
              <w:top w:val="nil"/>
              <w:left w:val="nil"/>
              <w:bottom w:val="nil"/>
              <w:right w:val="single" w:sz="4" w:space="0" w:color="auto"/>
            </w:tcBorders>
            <w:shd w:val="clear" w:color="000000" w:fill="FFFFFF"/>
            <w:noWrap/>
            <w:vAlign w:val="center"/>
            <w:hideMark/>
          </w:tcPr>
          <w:p w14:paraId="4903343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122.2</w:t>
            </w:r>
          </w:p>
        </w:tc>
      </w:tr>
      <w:tr w:rsidR="00D24603" w:rsidRPr="00F13CA0" w14:paraId="2443084E"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112A2D5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C20</w:t>
            </w:r>
          </w:p>
        </w:tc>
        <w:tc>
          <w:tcPr>
            <w:tcW w:w="0" w:type="auto"/>
            <w:tcBorders>
              <w:top w:val="nil"/>
              <w:left w:val="nil"/>
              <w:bottom w:val="nil"/>
              <w:right w:val="nil"/>
            </w:tcBorders>
            <w:shd w:val="clear" w:color="000000" w:fill="FFFFFF"/>
            <w:noWrap/>
            <w:vAlign w:val="center"/>
            <w:hideMark/>
          </w:tcPr>
          <w:p w14:paraId="1A1988E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2.4</w:t>
            </w:r>
          </w:p>
        </w:tc>
        <w:tc>
          <w:tcPr>
            <w:tcW w:w="0" w:type="auto"/>
            <w:tcBorders>
              <w:top w:val="nil"/>
              <w:left w:val="nil"/>
              <w:bottom w:val="nil"/>
              <w:right w:val="nil"/>
            </w:tcBorders>
            <w:shd w:val="clear" w:color="000000" w:fill="FFFFFF"/>
            <w:noWrap/>
            <w:vAlign w:val="center"/>
            <w:hideMark/>
          </w:tcPr>
          <w:p w14:paraId="60A668F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49.4</w:t>
            </w:r>
          </w:p>
        </w:tc>
        <w:tc>
          <w:tcPr>
            <w:tcW w:w="0" w:type="auto"/>
            <w:tcBorders>
              <w:top w:val="nil"/>
              <w:left w:val="nil"/>
              <w:bottom w:val="nil"/>
              <w:right w:val="nil"/>
            </w:tcBorders>
            <w:shd w:val="clear" w:color="000000" w:fill="FFFFFF"/>
            <w:noWrap/>
            <w:vAlign w:val="center"/>
            <w:hideMark/>
          </w:tcPr>
          <w:p w14:paraId="6B151A5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174.2</w:t>
            </w:r>
          </w:p>
        </w:tc>
        <w:tc>
          <w:tcPr>
            <w:tcW w:w="0" w:type="auto"/>
            <w:tcBorders>
              <w:top w:val="nil"/>
              <w:left w:val="nil"/>
              <w:bottom w:val="nil"/>
              <w:right w:val="nil"/>
            </w:tcBorders>
            <w:shd w:val="clear" w:color="000000" w:fill="FFFFFF"/>
            <w:noWrap/>
            <w:vAlign w:val="center"/>
            <w:hideMark/>
          </w:tcPr>
          <w:p w14:paraId="23A0D40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58.7</w:t>
            </w:r>
          </w:p>
        </w:tc>
        <w:tc>
          <w:tcPr>
            <w:tcW w:w="0" w:type="auto"/>
            <w:tcBorders>
              <w:top w:val="nil"/>
              <w:left w:val="nil"/>
              <w:bottom w:val="nil"/>
              <w:right w:val="nil"/>
            </w:tcBorders>
            <w:shd w:val="clear" w:color="000000" w:fill="FFFFFF"/>
            <w:noWrap/>
            <w:vAlign w:val="center"/>
            <w:hideMark/>
          </w:tcPr>
          <w:p w14:paraId="6BF1CDA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55.4</w:t>
            </w:r>
          </w:p>
        </w:tc>
        <w:tc>
          <w:tcPr>
            <w:tcW w:w="0" w:type="auto"/>
            <w:tcBorders>
              <w:top w:val="nil"/>
              <w:left w:val="nil"/>
              <w:bottom w:val="nil"/>
              <w:right w:val="nil"/>
            </w:tcBorders>
            <w:shd w:val="clear" w:color="000000" w:fill="FFFFFF"/>
            <w:noWrap/>
            <w:vAlign w:val="center"/>
            <w:hideMark/>
          </w:tcPr>
          <w:p w14:paraId="366B6EB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151.6</w:t>
            </w:r>
          </w:p>
        </w:tc>
        <w:tc>
          <w:tcPr>
            <w:tcW w:w="0" w:type="auto"/>
            <w:tcBorders>
              <w:top w:val="nil"/>
              <w:left w:val="nil"/>
              <w:bottom w:val="nil"/>
              <w:right w:val="nil"/>
            </w:tcBorders>
            <w:shd w:val="clear" w:color="000000" w:fill="FFFFFF"/>
            <w:noWrap/>
            <w:vAlign w:val="center"/>
            <w:hideMark/>
          </w:tcPr>
          <w:p w14:paraId="52831D7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5.7</w:t>
            </w:r>
          </w:p>
        </w:tc>
        <w:tc>
          <w:tcPr>
            <w:tcW w:w="0" w:type="auto"/>
            <w:tcBorders>
              <w:top w:val="nil"/>
              <w:left w:val="nil"/>
              <w:bottom w:val="nil"/>
              <w:right w:val="single" w:sz="4" w:space="0" w:color="auto"/>
            </w:tcBorders>
            <w:shd w:val="clear" w:color="000000" w:fill="FFFFFF"/>
            <w:noWrap/>
            <w:vAlign w:val="center"/>
            <w:hideMark/>
          </w:tcPr>
          <w:p w14:paraId="0B0D9CB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497.4</w:t>
            </w:r>
          </w:p>
        </w:tc>
      </w:tr>
      <w:tr w:rsidR="00D24603" w:rsidRPr="00F13CA0" w14:paraId="46CA7CE7"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3AA265A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C21</w:t>
            </w:r>
          </w:p>
        </w:tc>
        <w:tc>
          <w:tcPr>
            <w:tcW w:w="0" w:type="auto"/>
            <w:tcBorders>
              <w:top w:val="nil"/>
              <w:left w:val="nil"/>
              <w:bottom w:val="nil"/>
              <w:right w:val="nil"/>
            </w:tcBorders>
            <w:shd w:val="clear" w:color="000000" w:fill="FFFFFF"/>
            <w:noWrap/>
            <w:vAlign w:val="center"/>
            <w:hideMark/>
          </w:tcPr>
          <w:p w14:paraId="0322EF9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0.7</w:t>
            </w:r>
          </w:p>
        </w:tc>
        <w:tc>
          <w:tcPr>
            <w:tcW w:w="0" w:type="auto"/>
            <w:tcBorders>
              <w:top w:val="nil"/>
              <w:left w:val="nil"/>
              <w:bottom w:val="nil"/>
              <w:right w:val="nil"/>
            </w:tcBorders>
            <w:shd w:val="clear" w:color="000000" w:fill="FFFFFF"/>
            <w:noWrap/>
            <w:vAlign w:val="center"/>
            <w:hideMark/>
          </w:tcPr>
          <w:p w14:paraId="6E4F577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18.3</w:t>
            </w:r>
          </w:p>
        </w:tc>
        <w:tc>
          <w:tcPr>
            <w:tcW w:w="0" w:type="auto"/>
            <w:tcBorders>
              <w:top w:val="nil"/>
              <w:left w:val="nil"/>
              <w:bottom w:val="nil"/>
              <w:right w:val="nil"/>
            </w:tcBorders>
            <w:shd w:val="clear" w:color="000000" w:fill="FFFFFF"/>
            <w:noWrap/>
            <w:vAlign w:val="center"/>
            <w:hideMark/>
          </w:tcPr>
          <w:p w14:paraId="74DB4C9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48.3</w:t>
            </w:r>
          </w:p>
        </w:tc>
        <w:tc>
          <w:tcPr>
            <w:tcW w:w="0" w:type="auto"/>
            <w:tcBorders>
              <w:top w:val="nil"/>
              <w:left w:val="nil"/>
              <w:bottom w:val="nil"/>
              <w:right w:val="nil"/>
            </w:tcBorders>
            <w:shd w:val="clear" w:color="000000" w:fill="FFFFFF"/>
            <w:noWrap/>
            <w:vAlign w:val="center"/>
            <w:hideMark/>
          </w:tcPr>
          <w:p w14:paraId="1C1738D2"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22.2</w:t>
            </w:r>
          </w:p>
        </w:tc>
        <w:tc>
          <w:tcPr>
            <w:tcW w:w="0" w:type="auto"/>
            <w:tcBorders>
              <w:top w:val="nil"/>
              <w:left w:val="nil"/>
              <w:bottom w:val="nil"/>
              <w:right w:val="nil"/>
            </w:tcBorders>
            <w:shd w:val="clear" w:color="000000" w:fill="FFFFFF"/>
            <w:noWrap/>
            <w:vAlign w:val="center"/>
            <w:hideMark/>
          </w:tcPr>
          <w:p w14:paraId="41EB87A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11.3</w:t>
            </w:r>
          </w:p>
        </w:tc>
        <w:tc>
          <w:tcPr>
            <w:tcW w:w="0" w:type="auto"/>
            <w:tcBorders>
              <w:top w:val="nil"/>
              <w:left w:val="nil"/>
              <w:bottom w:val="nil"/>
              <w:right w:val="nil"/>
            </w:tcBorders>
            <w:shd w:val="clear" w:color="000000" w:fill="FFFFFF"/>
            <w:noWrap/>
            <w:vAlign w:val="center"/>
            <w:hideMark/>
          </w:tcPr>
          <w:p w14:paraId="03C0412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28.2</w:t>
            </w:r>
          </w:p>
        </w:tc>
        <w:tc>
          <w:tcPr>
            <w:tcW w:w="0" w:type="auto"/>
            <w:tcBorders>
              <w:top w:val="nil"/>
              <w:left w:val="nil"/>
              <w:bottom w:val="nil"/>
              <w:right w:val="nil"/>
            </w:tcBorders>
            <w:shd w:val="clear" w:color="000000" w:fill="FFFFFF"/>
            <w:noWrap/>
            <w:vAlign w:val="center"/>
            <w:hideMark/>
          </w:tcPr>
          <w:p w14:paraId="01903815"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w:t>
            </w:r>
          </w:p>
        </w:tc>
        <w:tc>
          <w:tcPr>
            <w:tcW w:w="0" w:type="auto"/>
            <w:tcBorders>
              <w:top w:val="nil"/>
              <w:left w:val="nil"/>
              <w:bottom w:val="nil"/>
              <w:right w:val="single" w:sz="4" w:space="0" w:color="auto"/>
            </w:tcBorders>
            <w:shd w:val="clear" w:color="000000" w:fill="FFFFFF"/>
            <w:noWrap/>
            <w:vAlign w:val="center"/>
            <w:hideMark/>
          </w:tcPr>
          <w:p w14:paraId="14C438F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130.4</w:t>
            </w:r>
          </w:p>
        </w:tc>
      </w:tr>
      <w:tr w:rsidR="00D24603" w:rsidRPr="00F13CA0" w14:paraId="7E2C7FB7"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6126841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C22</w:t>
            </w:r>
          </w:p>
        </w:tc>
        <w:tc>
          <w:tcPr>
            <w:tcW w:w="0" w:type="auto"/>
            <w:tcBorders>
              <w:top w:val="nil"/>
              <w:left w:val="nil"/>
              <w:bottom w:val="nil"/>
              <w:right w:val="nil"/>
            </w:tcBorders>
            <w:shd w:val="clear" w:color="000000" w:fill="FFFFFF"/>
            <w:noWrap/>
            <w:vAlign w:val="center"/>
            <w:hideMark/>
          </w:tcPr>
          <w:p w14:paraId="1DA66A8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0.8</w:t>
            </w:r>
          </w:p>
        </w:tc>
        <w:tc>
          <w:tcPr>
            <w:tcW w:w="0" w:type="auto"/>
            <w:tcBorders>
              <w:top w:val="nil"/>
              <w:left w:val="nil"/>
              <w:bottom w:val="nil"/>
              <w:right w:val="nil"/>
            </w:tcBorders>
            <w:shd w:val="clear" w:color="000000" w:fill="FFFFFF"/>
            <w:noWrap/>
            <w:vAlign w:val="center"/>
            <w:hideMark/>
          </w:tcPr>
          <w:p w14:paraId="1451A6C5"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13.6</w:t>
            </w:r>
          </w:p>
        </w:tc>
        <w:tc>
          <w:tcPr>
            <w:tcW w:w="0" w:type="auto"/>
            <w:tcBorders>
              <w:top w:val="nil"/>
              <w:left w:val="nil"/>
              <w:bottom w:val="nil"/>
              <w:right w:val="nil"/>
            </w:tcBorders>
            <w:shd w:val="clear" w:color="000000" w:fill="FFFFFF"/>
            <w:noWrap/>
            <w:vAlign w:val="center"/>
            <w:hideMark/>
          </w:tcPr>
          <w:p w14:paraId="1B77925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43.5</w:t>
            </w:r>
          </w:p>
        </w:tc>
        <w:tc>
          <w:tcPr>
            <w:tcW w:w="0" w:type="auto"/>
            <w:tcBorders>
              <w:top w:val="nil"/>
              <w:left w:val="nil"/>
              <w:bottom w:val="nil"/>
              <w:right w:val="nil"/>
            </w:tcBorders>
            <w:shd w:val="clear" w:color="000000" w:fill="FFFFFF"/>
            <w:noWrap/>
            <w:vAlign w:val="center"/>
            <w:hideMark/>
          </w:tcPr>
          <w:p w14:paraId="55368F2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16.4</w:t>
            </w:r>
          </w:p>
        </w:tc>
        <w:tc>
          <w:tcPr>
            <w:tcW w:w="0" w:type="auto"/>
            <w:tcBorders>
              <w:top w:val="nil"/>
              <w:left w:val="nil"/>
              <w:bottom w:val="nil"/>
              <w:right w:val="nil"/>
            </w:tcBorders>
            <w:shd w:val="clear" w:color="000000" w:fill="FFFFFF"/>
            <w:noWrap/>
            <w:vAlign w:val="center"/>
            <w:hideMark/>
          </w:tcPr>
          <w:p w14:paraId="291E290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14.7</w:t>
            </w:r>
          </w:p>
        </w:tc>
        <w:tc>
          <w:tcPr>
            <w:tcW w:w="0" w:type="auto"/>
            <w:tcBorders>
              <w:top w:val="nil"/>
              <w:left w:val="nil"/>
              <w:bottom w:val="nil"/>
              <w:right w:val="nil"/>
            </w:tcBorders>
            <w:shd w:val="clear" w:color="000000" w:fill="FFFFFF"/>
            <w:noWrap/>
            <w:vAlign w:val="center"/>
            <w:hideMark/>
          </w:tcPr>
          <w:p w14:paraId="0517C57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37.3</w:t>
            </w:r>
          </w:p>
        </w:tc>
        <w:tc>
          <w:tcPr>
            <w:tcW w:w="0" w:type="auto"/>
            <w:tcBorders>
              <w:top w:val="nil"/>
              <w:left w:val="nil"/>
              <w:bottom w:val="nil"/>
              <w:right w:val="nil"/>
            </w:tcBorders>
            <w:shd w:val="clear" w:color="000000" w:fill="FFFFFF"/>
            <w:noWrap/>
            <w:vAlign w:val="center"/>
            <w:hideMark/>
          </w:tcPr>
          <w:p w14:paraId="7BFE0465"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1.8</w:t>
            </w:r>
          </w:p>
        </w:tc>
        <w:tc>
          <w:tcPr>
            <w:tcW w:w="0" w:type="auto"/>
            <w:tcBorders>
              <w:top w:val="nil"/>
              <w:left w:val="nil"/>
              <w:bottom w:val="nil"/>
              <w:right w:val="single" w:sz="4" w:space="0" w:color="auto"/>
            </w:tcBorders>
            <w:shd w:val="clear" w:color="000000" w:fill="FFFFFF"/>
            <w:noWrap/>
            <w:vAlign w:val="center"/>
            <w:hideMark/>
          </w:tcPr>
          <w:p w14:paraId="5AFB850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128.1</w:t>
            </w:r>
          </w:p>
        </w:tc>
      </w:tr>
      <w:tr w:rsidR="00D24603" w:rsidRPr="00F13CA0" w14:paraId="130C90F3"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0C2C8592"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C23</w:t>
            </w:r>
          </w:p>
        </w:tc>
        <w:tc>
          <w:tcPr>
            <w:tcW w:w="0" w:type="auto"/>
            <w:tcBorders>
              <w:top w:val="nil"/>
              <w:left w:val="nil"/>
              <w:bottom w:val="nil"/>
              <w:right w:val="nil"/>
            </w:tcBorders>
            <w:shd w:val="clear" w:color="000000" w:fill="FFFFFF"/>
            <w:noWrap/>
            <w:vAlign w:val="center"/>
            <w:hideMark/>
          </w:tcPr>
          <w:p w14:paraId="230CEFB5"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1.0</w:t>
            </w:r>
          </w:p>
        </w:tc>
        <w:tc>
          <w:tcPr>
            <w:tcW w:w="0" w:type="auto"/>
            <w:tcBorders>
              <w:top w:val="nil"/>
              <w:left w:val="nil"/>
              <w:bottom w:val="nil"/>
              <w:right w:val="nil"/>
            </w:tcBorders>
            <w:shd w:val="clear" w:color="000000" w:fill="FFFFFF"/>
            <w:noWrap/>
            <w:vAlign w:val="center"/>
            <w:hideMark/>
          </w:tcPr>
          <w:p w14:paraId="4254B90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24.7</w:t>
            </w:r>
          </w:p>
        </w:tc>
        <w:tc>
          <w:tcPr>
            <w:tcW w:w="0" w:type="auto"/>
            <w:tcBorders>
              <w:top w:val="nil"/>
              <w:left w:val="nil"/>
              <w:bottom w:val="nil"/>
              <w:right w:val="nil"/>
            </w:tcBorders>
            <w:shd w:val="clear" w:color="000000" w:fill="FFFFFF"/>
            <w:noWrap/>
            <w:vAlign w:val="center"/>
            <w:hideMark/>
          </w:tcPr>
          <w:p w14:paraId="474B76A5"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76.0</w:t>
            </w:r>
          </w:p>
        </w:tc>
        <w:tc>
          <w:tcPr>
            <w:tcW w:w="0" w:type="auto"/>
            <w:tcBorders>
              <w:top w:val="nil"/>
              <w:left w:val="nil"/>
              <w:bottom w:val="nil"/>
              <w:right w:val="nil"/>
            </w:tcBorders>
            <w:shd w:val="clear" w:color="000000" w:fill="FFFFFF"/>
            <w:noWrap/>
            <w:vAlign w:val="center"/>
            <w:hideMark/>
          </w:tcPr>
          <w:p w14:paraId="351372C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22.2</w:t>
            </w:r>
          </w:p>
        </w:tc>
        <w:tc>
          <w:tcPr>
            <w:tcW w:w="0" w:type="auto"/>
            <w:tcBorders>
              <w:top w:val="nil"/>
              <w:left w:val="nil"/>
              <w:bottom w:val="nil"/>
              <w:right w:val="nil"/>
            </w:tcBorders>
            <w:shd w:val="clear" w:color="000000" w:fill="FFFFFF"/>
            <w:noWrap/>
            <w:vAlign w:val="center"/>
            <w:hideMark/>
          </w:tcPr>
          <w:p w14:paraId="462635A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8.7</w:t>
            </w:r>
          </w:p>
        </w:tc>
        <w:tc>
          <w:tcPr>
            <w:tcW w:w="0" w:type="auto"/>
            <w:tcBorders>
              <w:top w:val="nil"/>
              <w:left w:val="nil"/>
              <w:bottom w:val="nil"/>
              <w:right w:val="nil"/>
            </w:tcBorders>
            <w:shd w:val="clear" w:color="000000" w:fill="FFFFFF"/>
            <w:noWrap/>
            <w:vAlign w:val="center"/>
            <w:hideMark/>
          </w:tcPr>
          <w:p w14:paraId="42E4EB7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23.7</w:t>
            </w:r>
          </w:p>
        </w:tc>
        <w:tc>
          <w:tcPr>
            <w:tcW w:w="0" w:type="auto"/>
            <w:tcBorders>
              <w:top w:val="nil"/>
              <w:left w:val="nil"/>
              <w:bottom w:val="nil"/>
              <w:right w:val="nil"/>
            </w:tcBorders>
            <w:shd w:val="clear" w:color="000000" w:fill="FFFFFF"/>
            <w:noWrap/>
            <w:vAlign w:val="center"/>
            <w:hideMark/>
          </w:tcPr>
          <w:p w14:paraId="632AC72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1.6</w:t>
            </w:r>
          </w:p>
        </w:tc>
        <w:tc>
          <w:tcPr>
            <w:tcW w:w="0" w:type="auto"/>
            <w:tcBorders>
              <w:top w:val="nil"/>
              <w:left w:val="nil"/>
              <w:bottom w:val="nil"/>
              <w:right w:val="single" w:sz="4" w:space="0" w:color="auto"/>
            </w:tcBorders>
            <w:shd w:val="clear" w:color="000000" w:fill="FFFFFF"/>
            <w:noWrap/>
            <w:vAlign w:val="center"/>
            <w:hideMark/>
          </w:tcPr>
          <w:p w14:paraId="7B269AC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157.9</w:t>
            </w:r>
          </w:p>
        </w:tc>
      </w:tr>
      <w:tr w:rsidR="00D24603" w:rsidRPr="00F13CA0" w14:paraId="04BDC856"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642166D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C24</w:t>
            </w:r>
          </w:p>
        </w:tc>
        <w:tc>
          <w:tcPr>
            <w:tcW w:w="0" w:type="auto"/>
            <w:tcBorders>
              <w:top w:val="nil"/>
              <w:left w:val="nil"/>
              <w:bottom w:val="nil"/>
              <w:right w:val="nil"/>
            </w:tcBorders>
            <w:shd w:val="clear" w:color="000000" w:fill="FFFFFF"/>
            <w:noWrap/>
            <w:vAlign w:val="center"/>
            <w:hideMark/>
          </w:tcPr>
          <w:p w14:paraId="7073E2A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0.5</w:t>
            </w:r>
          </w:p>
        </w:tc>
        <w:tc>
          <w:tcPr>
            <w:tcW w:w="0" w:type="auto"/>
            <w:tcBorders>
              <w:top w:val="nil"/>
              <w:left w:val="nil"/>
              <w:bottom w:val="nil"/>
              <w:right w:val="nil"/>
            </w:tcBorders>
            <w:shd w:val="clear" w:color="000000" w:fill="FFFFFF"/>
            <w:noWrap/>
            <w:vAlign w:val="center"/>
            <w:hideMark/>
          </w:tcPr>
          <w:p w14:paraId="28CC287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12.0</w:t>
            </w:r>
          </w:p>
        </w:tc>
        <w:tc>
          <w:tcPr>
            <w:tcW w:w="0" w:type="auto"/>
            <w:tcBorders>
              <w:top w:val="nil"/>
              <w:left w:val="nil"/>
              <w:bottom w:val="nil"/>
              <w:right w:val="nil"/>
            </w:tcBorders>
            <w:shd w:val="clear" w:color="000000" w:fill="FFFFFF"/>
            <w:noWrap/>
            <w:vAlign w:val="center"/>
            <w:hideMark/>
          </w:tcPr>
          <w:p w14:paraId="3B3955C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50.8</w:t>
            </w:r>
          </w:p>
        </w:tc>
        <w:tc>
          <w:tcPr>
            <w:tcW w:w="0" w:type="auto"/>
            <w:tcBorders>
              <w:top w:val="nil"/>
              <w:left w:val="nil"/>
              <w:bottom w:val="nil"/>
              <w:right w:val="nil"/>
            </w:tcBorders>
            <w:shd w:val="clear" w:color="000000" w:fill="FFFFFF"/>
            <w:noWrap/>
            <w:vAlign w:val="center"/>
            <w:hideMark/>
          </w:tcPr>
          <w:p w14:paraId="219D0A3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14.7</w:t>
            </w:r>
          </w:p>
        </w:tc>
        <w:tc>
          <w:tcPr>
            <w:tcW w:w="0" w:type="auto"/>
            <w:tcBorders>
              <w:top w:val="nil"/>
              <w:left w:val="nil"/>
              <w:bottom w:val="nil"/>
              <w:right w:val="nil"/>
            </w:tcBorders>
            <w:shd w:val="clear" w:color="000000" w:fill="FFFFFF"/>
            <w:noWrap/>
            <w:vAlign w:val="center"/>
            <w:hideMark/>
          </w:tcPr>
          <w:p w14:paraId="209CAB2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16.0</w:t>
            </w:r>
          </w:p>
        </w:tc>
        <w:tc>
          <w:tcPr>
            <w:tcW w:w="0" w:type="auto"/>
            <w:tcBorders>
              <w:top w:val="nil"/>
              <w:left w:val="nil"/>
              <w:bottom w:val="nil"/>
              <w:right w:val="nil"/>
            </w:tcBorders>
            <w:shd w:val="clear" w:color="000000" w:fill="FFFFFF"/>
            <w:noWrap/>
            <w:vAlign w:val="center"/>
            <w:hideMark/>
          </w:tcPr>
          <w:p w14:paraId="355FD21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50.5</w:t>
            </w:r>
          </w:p>
        </w:tc>
        <w:tc>
          <w:tcPr>
            <w:tcW w:w="0" w:type="auto"/>
            <w:tcBorders>
              <w:top w:val="nil"/>
              <w:left w:val="nil"/>
              <w:bottom w:val="nil"/>
              <w:right w:val="nil"/>
            </w:tcBorders>
            <w:shd w:val="clear" w:color="000000" w:fill="FFFFFF"/>
            <w:noWrap/>
            <w:vAlign w:val="center"/>
            <w:hideMark/>
          </w:tcPr>
          <w:p w14:paraId="380B6FA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1.7</w:t>
            </w:r>
          </w:p>
        </w:tc>
        <w:tc>
          <w:tcPr>
            <w:tcW w:w="0" w:type="auto"/>
            <w:tcBorders>
              <w:top w:val="nil"/>
              <w:left w:val="nil"/>
              <w:bottom w:val="nil"/>
              <w:right w:val="single" w:sz="4" w:space="0" w:color="auto"/>
            </w:tcBorders>
            <w:shd w:val="clear" w:color="000000" w:fill="FFFFFF"/>
            <w:noWrap/>
            <w:vAlign w:val="center"/>
            <w:hideMark/>
          </w:tcPr>
          <w:p w14:paraId="29C8505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146.3</w:t>
            </w:r>
          </w:p>
        </w:tc>
      </w:tr>
      <w:tr w:rsidR="00D24603" w:rsidRPr="00F13CA0" w14:paraId="1C161701"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7FBB325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C25</w:t>
            </w:r>
          </w:p>
        </w:tc>
        <w:tc>
          <w:tcPr>
            <w:tcW w:w="0" w:type="auto"/>
            <w:tcBorders>
              <w:top w:val="nil"/>
              <w:left w:val="nil"/>
              <w:bottom w:val="nil"/>
              <w:right w:val="nil"/>
            </w:tcBorders>
            <w:shd w:val="clear" w:color="000000" w:fill="FFFFFF"/>
            <w:noWrap/>
            <w:vAlign w:val="center"/>
            <w:hideMark/>
          </w:tcPr>
          <w:p w14:paraId="4B879FD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0.8</w:t>
            </w:r>
          </w:p>
        </w:tc>
        <w:tc>
          <w:tcPr>
            <w:tcW w:w="0" w:type="auto"/>
            <w:tcBorders>
              <w:top w:val="nil"/>
              <w:left w:val="nil"/>
              <w:bottom w:val="nil"/>
              <w:right w:val="nil"/>
            </w:tcBorders>
            <w:shd w:val="clear" w:color="000000" w:fill="FFFFFF"/>
            <w:noWrap/>
            <w:vAlign w:val="center"/>
            <w:hideMark/>
          </w:tcPr>
          <w:p w14:paraId="2D0C637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20.4</w:t>
            </w:r>
          </w:p>
        </w:tc>
        <w:tc>
          <w:tcPr>
            <w:tcW w:w="0" w:type="auto"/>
            <w:tcBorders>
              <w:top w:val="nil"/>
              <w:left w:val="nil"/>
              <w:bottom w:val="nil"/>
              <w:right w:val="nil"/>
            </w:tcBorders>
            <w:shd w:val="clear" w:color="000000" w:fill="FFFFFF"/>
            <w:noWrap/>
            <w:vAlign w:val="center"/>
            <w:hideMark/>
          </w:tcPr>
          <w:p w14:paraId="4F50639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77.4</w:t>
            </w:r>
          </w:p>
        </w:tc>
        <w:tc>
          <w:tcPr>
            <w:tcW w:w="0" w:type="auto"/>
            <w:tcBorders>
              <w:top w:val="nil"/>
              <w:left w:val="nil"/>
              <w:bottom w:val="nil"/>
              <w:right w:val="nil"/>
            </w:tcBorders>
            <w:shd w:val="clear" w:color="000000" w:fill="FFFFFF"/>
            <w:noWrap/>
            <w:vAlign w:val="center"/>
            <w:hideMark/>
          </w:tcPr>
          <w:p w14:paraId="5A0A24E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45.0</w:t>
            </w:r>
          </w:p>
        </w:tc>
        <w:tc>
          <w:tcPr>
            <w:tcW w:w="0" w:type="auto"/>
            <w:tcBorders>
              <w:top w:val="nil"/>
              <w:left w:val="nil"/>
              <w:bottom w:val="nil"/>
              <w:right w:val="nil"/>
            </w:tcBorders>
            <w:shd w:val="clear" w:color="000000" w:fill="FFFFFF"/>
            <w:noWrap/>
            <w:vAlign w:val="center"/>
            <w:hideMark/>
          </w:tcPr>
          <w:p w14:paraId="523755F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22.6</w:t>
            </w:r>
          </w:p>
        </w:tc>
        <w:tc>
          <w:tcPr>
            <w:tcW w:w="0" w:type="auto"/>
            <w:tcBorders>
              <w:top w:val="nil"/>
              <w:left w:val="nil"/>
              <w:bottom w:val="nil"/>
              <w:right w:val="nil"/>
            </w:tcBorders>
            <w:shd w:val="clear" w:color="000000" w:fill="FFFFFF"/>
            <w:noWrap/>
            <w:vAlign w:val="center"/>
            <w:hideMark/>
          </w:tcPr>
          <w:p w14:paraId="2FEAA61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56.4</w:t>
            </w:r>
          </w:p>
        </w:tc>
        <w:tc>
          <w:tcPr>
            <w:tcW w:w="0" w:type="auto"/>
            <w:tcBorders>
              <w:top w:val="nil"/>
              <w:left w:val="nil"/>
              <w:bottom w:val="nil"/>
              <w:right w:val="nil"/>
            </w:tcBorders>
            <w:shd w:val="clear" w:color="000000" w:fill="FFFFFF"/>
            <w:noWrap/>
            <w:vAlign w:val="center"/>
            <w:hideMark/>
          </w:tcPr>
          <w:p w14:paraId="57F2E91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3.3</w:t>
            </w:r>
          </w:p>
        </w:tc>
        <w:tc>
          <w:tcPr>
            <w:tcW w:w="0" w:type="auto"/>
            <w:tcBorders>
              <w:top w:val="nil"/>
              <w:left w:val="nil"/>
              <w:bottom w:val="nil"/>
              <w:right w:val="single" w:sz="4" w:space="0" w:color="auto"/>
            </w:tcBorders>
            <w:shd w:val="clear" w:color="000000" w:fill="FFFFFF"/>
            <w:noWrap/>
            <w:vAlign w:val="center"/>
            <w:hideMark/>
          </w:tcPr>
          <w:p w14:paraId="1CE519A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226.0</w:t>
            </w:r>
          </w:p>
        </w:tc>
      </w:tr>
      <w:tr w:rsidR="00D24603" w:rsidRPr="00F13CA0" w14:paraId="5F87CCE7" w14:textId="77777777" w:rsidTr="00435936">
        <w:trPr>
          <w:trHeight w:val="292"/>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67D341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C26</w:t>
            </w:r>
          </w:p>
        </w:tc>
        <w:tc>
          <w:tcPr>
            <w:tcW w:w="0" w:type="auto"/>
            <w:tcBorders>
              <w:top w:val="nil"/>
              <w:left w:val="nil"/>
              <w:bottom w:val="single" w:sz="4" w:space="0" w:color="auto"/>
              <w:right w:val="nil"/>
            </w:tcBorders>
            <w:shd w:val="clear" w:color="000000" w:fill="FFFFFF"/>
            <w:noWrap/>
            <w:vAlign w:val="center"/>
            <w:hideMark/>
          </w:tcPr>
          <w:p w14:paraId="5C442F12"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0.6</w:t>
            </w:r>
          </w:p>
        </w:tc>
        <w:tc>
          <w:tcPr>
            <w:tcW w:w="0" w:type="auto"/>
            <w:tcBorders>
              <w:top w:val="nil"/>
              <w:left w:val="nil"/>
              <w:bottom w:val="single" w:sz="4" w:space="0" w:color="auto"/>
              <w:right w:val="nil"/>
            </w:tcBorders>
            <w:shd w:val="clear" w:color="000000" w:fill="FFFFFF"/>
            <w:noWrap/>
            <w:vAlign w:val="center"/>
            <w:hideMark/>
          </w:tcPr>
          <w:p w14:paraId="3ECEA1C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15.2</w:t>
            </w:r>
          </w:p>
        </w:tc>
        <w:tc>
          <w:tcPr>
            <w:tcW w:w="0" w:type="auto"/>
            <w:tcBorders>
              <w:top w:val="nil"/>
              <w:left w:val="nil"/>
              <w:bottom w:val="single" w:sz="4" w:space="0" w:color="auto"/>
              <w:right w:val="nil"/>
            </w:tcBorders>
            <w:shd w:val="clear" w:color="000000" w:fill="FFFFFF"/>
            <w:noWrap/>
            <w:vAlign w:val="center"/>
            <w:hideMark/>
          </w:tcPr>
          <w:p w14:paraId="182119C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45.2</w:t>
            </w:r>
          </w:p>
        </w:tc>
        <w:tc>
          <w:tcPr>
            <w:tcW w:w="0" w:type="auto"/>
            <w:tcBorders>
              <w:top w:val="nil"/>
              <w:left w:val="nil"/>
              <w:bottom w:val="single" w:sz="4" w:space="0" w:color="auto"/>
              <w:right w:val="nil"/>
            </w:tcBorders>
            <w:shd w:val="clear" w:color="000000" w:fill="FFFFFF"/>
            <w:noWrap/>
            <w:vAlign w:val="center"/>
            <w:hideMark/>
          </w:tcPr>
          <w:p w14:paraId="48E6898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23.8</w:t>
            </w:r>
          </w:p>
        </w:tc>
        <w:tc>
          <w:tcPr>
            <w:tcW w:w="0" w:type="auto"/>
            <w:tcBorders>
              <w:top w:val="nil"/>
              <w:left w:val="nil"/>
              <w:bottom w:val="single" w:sz="4" w:space="0" w:color="auto"/>
              <w:right w:val="nil"/>
            </w:tcBorders>
            <w:shd w:val="clear" w:color="000000" w:fill="FFFFFF"/>
            <w:noWrap/>
            <w:vAlign w:val="center"/>
            <w:hideMark/>
          </w:tcPr>
          <w:p w14:paraId="4F3726F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16.4</w:t>
            </w:r>
          </w:p>
        </w:tc>
        <w:tc>
          <w:tcPr>
            <w:tcW w:w="0" w:type="auto"/>
            <w:tcBorders>
              <w:top w:val="nil"/>
              <w:left w:val="nil"/>
              <w:bottom w:val="single" w:sz="4" w:space="0" w:color="auto"/>
              <w:right w:val="nil"/>
            </w:tcBorders>
            <w:shd w:val="clear" w:color="000000" w:fill="FFFFFF"/>
            <w:noWrap/>
            <w:vAlign w:val="center"/>
            <w:hideMark/>
          </w:tcPr>
          <w:p w14:paraId="11DF5FB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63.1</w:t>
            </w:r>
          </w:p>
        </w:tc>
        <w:tc>
          <w:tcPr>
            <w:tcW w:w="0" w:type="auto"/>
            <w:tcBorders>
              <w:top w:val="nil"/>
              <w:left w:val="nil"/>
              <w:bottom w:val="single" w:sz="4" w:space="0" w:color="auto"/>
              <w:right w:val="nil"/>
            </w:tcBorders>
            <w:shd w:val="clear" w:color="000000" w:fill="FFFFFF"/>
            <w:noWrap/>
            <w:vAlign w:val="center"/>
            <w:hideMark/>
          </w:tcPr>
          <w:p w14:paraId="41671AD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4.7</w:t>
            </w:r>
          </w:p>
        </w:tc>
        <w:tc>
          <w:tcPr>
            <w:tcW w:w="0" w:type="auto"/>
            <w:tcBorders>
              <w:top w:val="nil"/>
              <w:left w:val="nil"/>
              <w:bottom w:val="single" w:sz="4" w:space="0" w:color="auto"/>
              <w:right w:val="single" w:sz="4" w:space="0" w:color="auto"/>
            </w:tcBorders>
            <w:shd w:val="clear" w:color="000000" w:fill="FFFFFF"/>
            <w:noWrap/>
            <w:vAlign w:val="center"/>
            <w:hideMark/>
          </w:tcPr>
          <w:p w14:paraId="2B7C6DA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169.1</w:t>
            </w:r>
          </w:p>
        </w:tc>
      </w:tr>
    </w:tbl>
    <w:p w14:paraId="77CC91F5" w14:textId="77777777" w:rsidR="00D24603" w:rsidRPr="00F06B14" w:rsidRDefault="00D24603" w:rsidP="00CE3D62">
      <w:pPr>
        <w:spacing w:after="0"/>
        <w:rPr>
          <w:szCs w:val="20"/>
        </w:rPr>
      </w:pPr>
      <w:r w:rsidRPr="00F06B14">
        <w:rPr>
          <w:szCs w:val="20"/>
        </w:rPr>
        <w:t xml:space="preserve">Abbreviations: </w:t>
      </w:r>
      <w:r>
        <w:rPr>
          <w:szCs w:val="20"/>
        </w:rPr>
        <w:t xml:space="preserve">C = Community; </w:t>
      </w:r>
      <w:r w:rsidRPr="00F06B14">
        <w:rPr>
          <w:szCs w:val="20"/>
        </w:rPr>
        <w:t>EBP = Evidence-Based Practice; ED</w:t>
      </w:r>
      <w:r>
        <w:rPr>
          <w:szCs w:val="20"/>
        </w:rPr>
        <w:t xml:space="preserve"> =</w:t>
      </w:r>
      <w:r w:rsidRPr="00F06B14">
        <w:rPr>
          <w:szCs w:val="20"/>
        </w:rPr>
        <w:t xml:space="preserve"> Emergency Department</w:t>
      </w:r>
      <w:r>
        <w:rPr>
          <w:szCs w:val="20"/>
        </w:rPr>
        <w:t>;</w:t>
      </w:r>
      <w:r w:rsidRPr="00F06B14">
        <w:rPr>
          <w:szCs w:val="20"/>
        </w:rPr>
        <w:t xml:space="preserve"> EMS</w:t>
      </w:r>
      <w:r>
        <w:rPr>
          <w:szCs w:val="20"/>
        </w:rPr>
        <w:t xml:space="preserve"> =</w:t>
      </w:r>
      <w:r w:rsidRPr="00F06B14">
        <w:rPr>
          <w:szCs w:val="20"/>
        </w:rPr>
        <w:t xml:space="preserve"> Emergency Medical Services</w:t>
      </w:r>
      <w:r>
        <w:rPr>
          <w:szCs w:val="20"/>
        </w:rPr>
        <w:t>;</w:t>
      </w:r>
      <w:r w:rsidRPr="00F06B14">
        <w:rPr>
          <w:szCs w:val="20"/>
        </w:rPr>
        <w:t xml:space="preserve"> </w:t>
      </w:r>
      <w:r w:rsidRPr="00F7297C">
        <w:rPr>
          <w:szCs w:val="20"/>
        </w:rPr>
        <w:t xml:space="preserve">IP = Inpatient; </w:t>
      </w:r>
      <w:r w:rsidRPr="00F06B14">
        <w:rPr>
          <w:szCs w:val="20"/>
        </w:rPr>
        <w:t>MOUD: Medications for Opioid Use Disorder</w:t>
      </w:r>
      <w:r>
        <w:rPr>
          <w:szCs w:val="20"/>
        </w:rPr>
        <w:t xml:space="preserve">; </w:t>
      </w:r>
      <w:r w:rsidRPr="00F7297C">
        <w:rPr>
          <w:szCs w:val="20"/>
        </w:rPr>
        <w:t>OP = Outpatient; RES = Residential Services</w:t>
      </w:r>
      <w:r>
        <w:rPr>
          <w:szCs w:val="20"/>
        </w:rPr>
        <w:t>.</w:t>
      </w:r>
    </w:p>
    <w:p w14:paraId="7E084E40" w14:textId="77777777" w:rsidR="00D24603" w:rsidRPr="00F06B14" w:rsidRDefault="00D24603" w:rsidP="00D24603">
      <w:pPr>
        <w:rPr>
          <w:szCs w:val="20"/>
        </w:rPr>
      </w:pPr>
    </w:p>
    <w:p w14:paraId="1FAEDCF8" w14:textId="77777777" w:rsidR="00D24603" w:rsidRDefault="00D24603" w:rsidP="00D24603">
      <w:r>
        <w:br w:type="page"/>
      </w:r>
    </w:p>
    <w:p w14:paraId="125FE958" w14:textId="0C4A20F8" w:rsidR="00D24603" w:rsidRPr="00CE3D62" w:rsidRDefault="00CE3D62" w:rsidP="00CE3D62">
      <w:pPr>
        <w:pStyle w:val="Caption"/>
        <w:keepNext/>
        <w:spacing w:after="0"/>
        <w:rPr>
          <w:i w:val="0"/>
          <w:iCs w:val="0"/>
          <w:sz w:val="20"/>
          <w:szCs w:val="20"/>
        </w:rPr>
      </w:pPr>
      <w:r w:rsidRPr="00CE3D62">
        <w:rPr>
          <w:b/>
          <w:bCs/>
          <w:i w:val="0"/>
          <w:iCs w:val="0"/>
          <w:sz w:val="20"/>
          <w:szCs w:val="20"/>
        </w:rPr>
        <w:lastRenderedPageBreak/>
        <w:t xml:space="preserve">Supplementary </w:t>
      </w:r>
      <w:r w:rsidR="00D24603" w:rsidRPr="00CE3D62">
        <w:rPr>
          <w:b/>
          <w:bCs/>
          <w:i w:val="0"/>
          <w:iCs w:val="0"/>
          <w:sz w:val="20"/>
          <w:szCs w:val="20"/>
        </w:rPr>
        <w:t xml:space="preserve">Table </w:t>
      </w:r>
      <w:r w:rsidR="00A87FBF">
        <w:rPr>
          <w:b/>
          <w:bCs/>
          <w:i w:val="0"/>
          <w:iCs w:val="0"/>
          <w:sz w:val="20"/>
          <w:szCs w:val="20"/>
        </w:rPr>
        <w:t>2</w:t>
      </w:r>
      <w:r w:rsidR="00D24603" w:rsidRPr="00CE3D62">
        <w:rPr>
          <w:b/>
          <w:bCs/>
          <w:i w:val="0"/>
          <w:iCs w:val="0"/>
          <w:sz w:val="20"/>
          <w:szCs w:val="20"/>
        </w:rPr>
        <w:t>5.</w:t>
      </w:r>
      <w:r w:rsidR="00D24603" w:rsidRPr="00CE3D62">
        <w:rPr>
          <w:i w:val="0"/>
          <w:iCs w:val="0"/>
          <w:sz w:val="20"/>
          <w:szCs w:val="20"/>
        </w:rPr>
        <w:t xml:space="preserve"> Distribution of healthcare costs (</w:t>
      </w:r>
      <w:r w:rsidR="00A87FBF">
        <w:rPr>
          <w:i w:val="0"/>
          <w:iCs w:val="0"/>
          <w:sz w:val="20"/>
          <w:szCs w:val="20"/>
        </w:rPr>
        <w:t xml:space="preserve">million </w:t>
      </w:r>
      <w:r w:rsidR="00D24603" w:rsidRPr="00CE3D62">
        <w:rPr>
          <w:i w:val="0"/>
          <w:iCs w:val="0"/>
          <w:sz w:val="20"/>
          <w:szCs w:val="20"/>
        </w:rPr>
        <w:t>US</w:t>
      </w:r>
      <w:r w:rsidR="00A87FBF">
        <w:rPr>
          <w:i w:val="0"/>
          <w:iCs w:val="0"/>
          <w:sz w:val="20"/>
          <w:szCs w:val="20"/>
        </w:rPr>
        <w:t>$</w:t>
      </w:r>
      <w:r w:rsidR="00D24603" w:rsidRPr="00CE3D62">
        <w:rPr>
          <w:i w:val="0"/>
          <w:iCs w:val="0"/>
          <w:sz w:val="20"/>
          <w:szCs w:val="20"/>
        </w:rPr>
        <w:t>, 2025-2030) Scenario 6 (“Improve All”) associated with opioid misuse in each community.</w:t>
      </w:r>
    </w:p>
    <w:tbl>
      <w:tblPr>
        <w:tblW w:w="0" w:type="auto"/>
        <w:tblLook w:val="04A0" w:firstRow="1" w:lastRow="0" w:firstColumn="1" w:lastColumn="0" w:noHBand="0" w:noVBand="1"/>
      </w:tblPr>
      <w:tblGrid>
        <w:gridCol w:w="1280"/>
        <w:gridCol w:w="620"/>
        <w:gridCol w:w="1332"/>
        <w:gridCol w:w="1332"/>
        <w:gridCol w:w="1332"/>
        <w:gridCol w:w="1332"/>
        <w:gridCol w:w="840"/>
        <w:gridCol w:w="1090"/>
        <w:gridCol w:w="830"/>
      </w:tblGrid>
      <w:tr w:rsidR="00D24603" w:rsidRPr="00F13CA0" w14:paraId="7941116C" w14:textId="77777777" w:rsidTr="00435936">
        <w:trPr>
          <w:trHeight w:val="292"/>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048780E1"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sidRPr="00F13CA0">
              <w:rPr>
                <w:rFonts w:ascii="Calibri" w:eastAsia="Times New Roman" w:hAnsi="Calibri" w:cs="Calibri"/>
                <w:b/>
                <w:bCs/>
                <w:color w:val="000000"/>
                <w:kern w:val="0"/>
                <w:sz w:val="22"/>
                <w:szCs w:val="22"/>
                <w14:ligatures w14:val="none"/>
              </w:rPr>
              <w:t>Community</w:t>
            </w:r>
          </w:p>
        </w:tc>
        <w:tc>
          <w:tcPr>
            <w:tcW w:w="0" w:type="auto"/>
            <w:gridSpan w:val="8"/>
            <w:tcBorders>
              <w:top w:val="single" w:sz="4" w:space="0" w:color="auto"/>
              <w:left w:val="nil"/>
              <w:bottom w:val="single" w:sz="4" w:space="0" w:color="auto"/>
              <w:right w:val="single" w:sz="4" w:space="0" w:color="000000"/>
            </w:tcBorders>
            <w:shd w:val="clear" w:color="000000" w:fill="FFFFFF"/>
            <w:noWrap/>
            <w:vAlign w:val="center"/>
            <w:hideMark/>
          </w:tcPr>
          <w:p w14:paraId="5D67FC25"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Improve All (Scenario 6)</w:t>
            </w:r>
          </w:p>
        </w:tc>
      </w:tr>
      <w:tr w:rsidR="00D24603" w:rsidRPr="00F13CA0" w14:paraId="44C2F701" w14:textId="77777777" w:rsidTr="00435936">
        <w:trPr>
          <w:trHeight w:val="87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0465159" w14:textId="77777777" w:rsidR="00D24603" w:rsidRPr="00F13CA0" w:rsidRDefault="00D24603" w:rsidP="00CE3D62">
            <w:pPr>
              <w:spacing w:after="0"/>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nil"/>
            </w:tcBorders>
            <w:shd w:val="clear" w:color="000000" w:fill="FFFFFF"/>
            <w:noWrap/>
            <w:vAlign w:val="center"/>
            <w:hideMark/>
          </w:tcPr>
          <w:p w14:paraId="34AB9993"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sidRPr="00F13CA0">
              <w:rPr>
                <w:rFonts w:ascii="Calibri" w:eastAsia="Times New Roman" w:hAnsi="Calibri" w:cs="Calibri"/>
                <w:b/>
                <w:bCs/>
                <w:color w:val="000000"/>
                <w:kern w:val="0"/>
                <w:sz w:val="22"/>
                <w:szCs w:val="22"/>
                <w14:ligatures w14:val="none"/>
              </w:rPr>
              <w:t>EMS</w:t>
            </w:r>
          </w:p>
        </w:tc>
        <w:tc>
          <w:tcPr>
            <w:tcW w:w="0" w:type="auto"/>
            <w:tcBorders>
              <w:top w:val="nil"/>
              <w:left w:val="nil"/>
              <w:bottom w:val="single" w:sz="4" w:space="0" w:color="auto"/>
              <w:right w:val="nil"/>
            </w:tcBorders>
            <w:shd w:val="clear" w:color="000000" w:fill="FFFFFF"/>
            <w:vAlign w:val="center"/>
            <w:hideMark/>
          </w:tcPr>
          <w:p w14:paraId="362F78DD"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sidRPr="00F13CA0">
              <w:rPr>
                <w:rFonts w:ascii="Calibri" w:eastAsia="Times New Roman" w:hAnsi="Calibri" w:cs="Calibri"/>
                <w:b/>
                <w:bCs/>
                <w:color w:val="000000"/>
                <w:kern w:val="0"/>
                <w:sz w:val="22"/>
                <w:szCs w:val="22"/>
                <w14:ligatures w14:val="none"/>
              </w:rPr>
              <w:t>Health state</w:t>
            </w:r>
            <w:r w:rsidRPr="00F13CA0">
              <w:rPr>
                <w:rFonts w:ascii="Calibri" w:eastAsia="Times New Roman" w:hAnsi="Calibri" w:cs="Calibri"/>
                <w:b/>
                <w:bCs/>
                <w:color w:val="000000"/>
                <w:kern w:val="0"/>
                <w:sz w:val="22"/>
                <w:szCs w:val="22"/>
                <w14:ligatures w14:val="none"/>
              </w:rPr>
              <w:br/>
              <w:t>(ED)</w:t>
            </w:r>
          </w:p>
        </w:tc>
        <w:tc>
          <w:tcPr>
            <w:tcW w:w="0" w:type="auto"/>
            <w:tcBorders>
              <w:top w:val="nil"/>
              <w:left w:val="nil"/>
              <w:bottom w:val="single" w:sz="4" w:space="0" w:color="auto"/>
              <w:right w:val="nil"/>
            </w:tcBorders>
            <w:shd w:val="clear" w:color="000000" w:fill="FFFFFF"/>
            <w:vAlign w:val="center"/>
            <w:hideMark/>
          </w:tcPr>
          <w:p w14:paraId="563C95AB"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sidRPr="00F13CA0">
              <w:rPr>
                <w:rFonts w:ascii="Calibri" w:eastAsia="Times New Roman" w:hAnsi="Calibri" w:cs="Calibri"/>
                <w:b/>
                <w:bCs/>
                <w:color w:val="000000"/>
                <w:kern w:val="0"/>
                <w:sz w:val="22"/>
                <w:szCs w:val="22"/>
                <w14:ligatures w14:val="none"/>
              </w:rPr>
              <w:t>Health state</w:t>
            </w:r>
            <w:r w:rsidRPr="00F13CA0">
              <w:rPr>
                <w:rFonts w:ascii="Calibri" w:eastAsia="Times New Roman" w:hAnsi="Calibri" w:cs="Calibri"/>
                <w:b/>
                <w:bCs/>
                <w:color w:val="000000"/>
                <w:kern w:val="0"/>
                <w:sz w:val="22"/>
                <w:szCs w:val="22"/>
                <w14:ligatures w14:val="none"/>
              </w:rPr>
              <w:br/>
              <w:t>(IP)</w:t>
            </w:r>
          </w:p>
        </w:tc>
        <w:tc>
          <w:tcPr>
            <w:tcW w:w="0" w:type="auto"/>
            <w:tcBorders>
              <w:top w:val="nil"/>
              <w:left w:val="nil"/>
              <w:bottom w:val="single" w:sz="4" w:space="0" w:color="auto"/>
              <w:right w:val="nil"/>
            </w:tcBorders>
            <w:shd w:val="clear" w:color="000000" w:fill="FFFFFF"/>
            <w:vAlign w:val="center"/>
            <w:hideMark/>
          </w:tcPr>
          <w:p w14:paraId="6D46A3B9"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sidRPr="00F13CA0">
              <w:rPr>
                <w:rFonts w:ascii="Calibri" w:eastAsia="Times New Roman" w:hAnsi="Calibri" w:cs="Calibri"/>
                <w:b/>
                <w:bCs/>
                <w:color w:val="000000"/>
                <w:kern w:val="0"/>
                <w:sz w:val="22"/>
                <w:szCs w:val="22"/>
                <w14:ligatures w14:val="none"/>
              </w:rPr>
              <w:t>Health state</w:t>
            </w:r>
            <w:r w:rsidRPr="00F13CA0">
              <w:rPr>
                <w:rFonts w:ascii="Calibri" w:eastAsia="Times New Roman" w:hAnsi="Calibri" w:cs="Calibri"/>
                <w:b/>
                <w:bCs/>
                <w:color w:val="000000"/>
                <w:kern w:val="0"/>
                <w:sz w:val="22"/>
                <w:szCs w:val="22"/>
                <w14:ligatures w14:val="none"/>
              </w:rPr>
              <w:br/>
              <w:t>(OP)</w:t>
            </w:r>
          </w:p>
        </w:tc>
        <w:tc>
          <w:tcPr>
            <w:tcW w:w="0" w:type="auto"/>
            <w:tcBorders>
              <w:top w:val="nil"/>
              <w:left w:val="nil"/>
              <w:bottom w:val="single" w:sz="4" w:space="0" w:color="auto"/>
              <w:right w:val="nil"/>
            </w:tcBorders>
            <w:shd w:val="clear" w:color="000000" w:fill="FFFFFF"/>
            <w:vAlign w:val="center"/>
            <w:hideMark/>
          </w:tcPr>
          <w:p w14:paraId="4A03F1E8"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sidRPr="00F13CA0">
              <w:rPr>
                <w:rFonts w:ascii="Calibri" w:eastAsia="Times New Roman" w:hAnsi="Calibri" w:cs="Calibri"/>
                <w:b/>
                <w:bCs/>
                <w:color w:val="000000"/>
                <w:kern w:val="0"/>
                <w:sz w:val="22"/>
                <w:szCs w:val="22"/>
                <w14:ligatures w14:val="none"/>
              </w:rPr>
              <w:t>Health state</w:t>
            </w:r>
            <w:r w:rsidRPr="00F13CA0">
              <w:rPr>
                <w:rFonts w:ascii="Calibri" w:eastAsia="Times New Roman" w:hAnsi="Calibri" w:cs="Calibri"/>
                <w:b/>
                <w:bCs/>
                <w:color w:val="000000"/>
                <w:kern w:val="0"/>
                <w:sz w:val="22"/>
                <w:szCs w:val="22"/>
                <w14:ligatures w14:val="none"/>
              </w:rPr>
              <w:br/>
              <w:t>(RES)</w:t>
            </w:r>
          </w:p>
        </w:tc>
        <w:tc>
          <w:tcPr>
            <w:tcW w:w="0" w:type="auto"/>
            <w:tcBorders>
              <w:top w:val="nil"/>
              <w:left w:val="nil"/>
              <w:bottom w:val="single" w:sz="4" w:space="0" w:color="auto"/>
              <w:right w:val="nil"/>
            </w:tcBorders>
            <w:shd w:val="clear" w:color="000000" w:fill="FFFFFF"/>
            <w:noWrap/>
            <w:vAlign w:val="center"/>
            <w:hideMark/>
          </w:tcPr>
          <w:p w14:paraId="14643B4F"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sidRPr="00F13CA0">
              <w:rPr>
                <w:rFonts w:ascii="Calibri" w:eastAsia="Times New Roman" w:hAnsi="Calibri" w:cs="Calibri"/>
                <w:b/>
                <w:bCs/>
                <w:color w:val="000000"/>
                <w:kern w:val="0"/>
                <w:sz w:val="22"/>
                <w:szCs w:val="22"/>
                <w14:ligatures w14:val="none"/>
              </w:rPr>
              <w:t>MOUD</w:t>
            </w:r>
          </w:p>
        </w:tc>
        <w:tc>
          <w:tcPr>
            <w:tcW w:w="0" w:type="auto"/>
            <w:tcBorders>
              <w:top w:val="nil"/>
              <w:left w:val="nil"/>
              <w:bottom w:val="single" w:sz="4" w:space="0" w:color="auto"/>
              <w:right w:val="nil"/>
            </w:tcBorders>
            <w:shd w:val="clear" w:color="000000" w:fill="FFFFFF"/>
            <w:noWrap/>
            <w:vAlign w:val="center"/>
            <w:hideMark/>
          </w:tcPr>
          <w:p w14:paraId="6443F9FF"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sidRPr="00F13CA0">
              <w:rPr>
                <w:rFonts w:ascii="Calibri" w:eastAsia="Times New Roman" w:hAnsi="Calibri" w:cs="Calibri"/>
                <w:b/>
                <w:bCs/>
                <w:color w:val="000000"/>
                <w:kern w:val="0"/>
                <w:sz w:val="22"/>
                <w:szCs w:val="22"/>
                <w14:ligatures w14:val="none"/>
              </w:rPr>
              <w:t>Naloxone</w:t>
            </w:r>
          </w:p>
        </w:tc>
        <w:tc>
          <w:tcPr>
            <w:tcW w:w="0" w:type="auto"/>
            <w:tcBorders>
              <w:top w:val="nil"/>
              <w:left w:val="nil"/>
              <w:bottom w:val="single" w:sz="4" w:space="0" w:color="auto"/>
              <w:right w:val="single" w:sz="4" w:space="0" w:color="auto"/>
            </w:tcBorders>
            <w:shd w:val="clear" w:color="000000" w:fill="FFFFFF"/>
            <w:noWrap/>
            <w:vAlign w:val="center"/>
            <w:hideMark/>
          </w:tcPr>
          <w:p w14:paraId="1EDAA399"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sidRPr="00F13CA0">
              <w:rPr>
                <w:rFonts w:ascii="Calibri" w:eastAsia="Times New Roman" w:hAnsi="Calibri" w:cs="Calibri"/>
                <w:b/>
                <w:bCs/>
                <w:color w:val="000000"/>
                <w:kern w:val="0"/>
                <w:sz w:val="22"/>
                <w:szCs w:val="22"/>
                <w14:ligatures w14:val="none"/>
              </w:rPr>
              <w:t>Total</w:t>
            </w:r>
          </w:p>
        </w:tc>
      </w:tr>
      <w:tr w:rsidR="00D24603" w:rsidRPr="00F13CA0" w14:paraId="161048C4"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068AB3B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w:t>
            </w:r>
          </w:p>
        </w:tc>
        <w:tc>
          <w:tcPr>
            <w:tcW w:w="0" w:type="auto"/>
            <w:tcBorders>
              <w:top w:val="nil"/>
              <w:left w:val="nil"/>
              <w:bottom w:val="nil"/>
              <w:right w:val="nil"/>
            </w:tcBorders>
            <w:shd w:val="clear" w:color="000000" w:fill="FFFFFF"/>
            <w:noWrap/>
            <w:vAlign w:val="center"/>
            <w:hideMark/>
          </w:tcPr>
          <w:p w14:paraId="121D188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6.6</w:t>
            </w:r>
          </w:p>
        </w:tc>
        <w:tc>
          <w:tcPr>
            <w:tcW w:w="0" w:type="auto"/>
            <w:tcBorders>
              <w:top w:val="nil"/>
              <w:left w:val="nil"/>
              <w:bottom w:val="nil"/>
              <w:right w:val="nil"/>
            </w:tcBorders>
            <w:shd w:val="clear" w:color="000000" w:fill="FFFFFF"/>
            <w:noWrap/>
            <w:vAlign w:val="center"/>
            <w:hideMark/>
          </w:tcPr>
          <w:p w14:paraId="01418FA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274.6</w:t>
            </w:r>
          </w:p>
        </w:tc>
        <w:tc>
          <w:tcPr>
            <w:tcW w:w="0" w:type="auto"/>
            <w:tcBorders>
              <w:top w:val="nil"/>
              <w:left w:val="nil"/>
              <w:bottom w:val="nil"/>
              <w:right w:val="nil"/>
            </w:tcBorders>
            <w:shd w:val="clear" w:color="000000" w:fill="FFFFFF"/>
            <w:noWrap/>
            <w:vAlign w:val="center"/>
            <w:hideMark/>
          </w:tcPr>
          <w:p w14:paraId="4B302F5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543.4</w:t>
            </w:r>
          </w:p>
        </w:tc>
        <w:tc>
          <w:tcPr>
            <w:tcW w:w="0" w:type="auto"/>
            <w:tcBorders>
              <w:top w:val="nil"/>
              <w:left w:val="nil"/>
              <w:bottom w:val="nil"/>
              <w:right w:val="nil"/>
            </w:tcBorders>
            <w:shd w:val="clear" w:color="000000" w:fill="FFFFFF"/>
            <w:noWrap/>
            <w:vAlign w:val="center"/>
            <w:hideMark/>
          </w:tcPr>
          <w:p w14:paraId="1294EF4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141.4</w:t>
            </w:r>
          </w:p>
        </w:tc>
        <w:tc>
          <w:tcPr>
            <w:tcW w:w="0" w:type="auto"/>
            <w:tcBorders>
              <w:top w:val="nil"/>
              <w:left w:val="nil"/>
              <w:bottom w:val="nil"/>
              <w:right w:val="nil"/>
            </w:tcBorders>
            <w:shd w:val="clear" w:color="000000" w:fill="FFFFFF"/>
            <w:noWrap/>
            <w:vAlign w:val="center"/>
            <w:hideMark/>
          </w:tcPr>
          <w:p w14:paraId="76AB5CF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62.8</w:t>
            </w:r>
          </w:p>
        </w:tc>
        <w:tc>
          <w:tcPr>
            <w:tcW w:w="0" w:type="auto"/>
            <w:tcBorders>
              <w:top w:val="nil"/>
              <w:left w:val="nil"/>
              <w:bottom w:val="nil"/>
              <w:right w:val="nil"/>
            </w:tcBorders>
            <w:shd w:val="clear" w:color="000000" w:fill="FFFFFF"/>
            <w:noWrap/>
            <w:vAlign w:val="center"/>
            <w:hideMark/>
          </w:tcPr>
          <w:p w14:paraId="271A4D1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425.9</w:t>
            </w:r>
          </w:p>
        </w:tc>
        <w:tc>
          <w:tcPr>
            <w:tcW w:w="0" w:type="auto"/>
            <w:tcBorders>
              <w:top w:val="nil"/>
              <w:left w:val="nil"/>
              <w:bottom w:val="nil"/>
              <w:right w:val="nil"/>
            </w:tcBorders>
            <w:shd w:val="clear" w:color="000000" w:fill="FFFFFF"/>
            <w:noWrap/>
            <w:vAlign w:val="center"/>
            <w:hideMark/>
          </w:tcPr>
          <w:p w14:paraId="370C51C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23.1</w:t>
            </w:r>
          </w:p>
        </w:tc>
        <w:tc>
          <w:tcPr>
            <w:tcW w:w="0" w:type="auto"/>
            <w:tcBorders>
              <w:top w:val="nil"/>
              <w:left w:val="nil"/>
              <w:bottom w:val="nil"/>
              <w:right w:val="single" w:sz="4" w:space="0" w:color="auto"/>
            </w:tcBorders>
            <w:shd w:val="clear" w:color="000000" w:fill="FFFFFF"/>
            <w:noWrap/>
            <w:vAlign w:val="center"/>
            <w:hideMark/>
          </w:tcPr>
          <w:p w14:paraId="6EAA4B1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1477.8</w:t>
            </w:r>
          </w:p>
        </w:tc>
      </w:tr>
      <w:tr w:rsidR="00D24603" w:rsidRPr="00F13CA0" w14:paraId="0E078CA5"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09C447B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w:t>
            </w:r>
          </w:p>
        </w:tc>
        <w:tc>
          <w:tcPr>
            <w:tcW w:w="0" w:type="auto"/>
            <w:tcBorders>
              <w:top w:val="nil"/>
              <w:left w:val="nil"/>
              <w:bottom w:val="nil"/>
              <w:right w:val="nil"/>
            </w:tcBorders>
            <w:shd w:val="clear" w:color="000000" w:fill="FFFFFF"/>
            <w:noWrap/>
            <w:vAlign w:val="center"/>
            <w:hideMark/>
          </w:tcPr>
          <w:p w14:paraId="4A00206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w:t>
            </w:r>
          </w:p>
        </w:tc>
        <w:tc>
          <w:tcPr>
            <w:tcW w:w="0" w:type="auto"/>
            <w:tcBorders>
              <w:top w:val="nil"/>
              <w:left w:val="nil"/>
              <w:bottom w:val="nil"/>
              <w:right w:val="nil"/>
            </w:tcBorders>
            <w:shd w:val="clear" w:color="000000" w:fill="FFFFFF"/>
            <w:noWrap/>
            <w:vAlign w:val="center"/>
            <w:hideMark/>
          </w:tcPr>
          <w:p w14:paraId="01E70E7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59.7</w:t>
            </w:r>
          </w:p>
        </w:tc>
        <w:tc>
          <w:tcPr>
            <w:tcW w:w="0" w:type="auto"/>
            <w:tcBorders>
              <w:top w:val="nil"/>
              <w:left w:val="nil"/>
              <w:bottom w:val="nil"/>
              <w:right w:val="nil"/>
            </w:tcBorders>
            <w:shd w:val="clear" w:color="000000" w:fill="FFFFFF"/>
            <w:noWrap/>
            <w:vAlign w:val="center"/>
            <w:hideMark/>
          </w:tcPr>
          <w:p w14:paraId="1822D44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121.3</w:t>
            </w:r>
          </w:p>
        </w:tc>
        <w:tc>
          <w:tcPr>
            <w:tcW w:w="0" w:type="auto"/>
            <w:tcBorders>
              <w:top w:val="nil"/>
              <w:left w:val="nil"/>
              <w:bottom w:val="nil"/>
              <w:right w:val="nil"/>
            </w:tcBorders>
            <w:shd w:val="clear" w:color="000000" w:fill="FFFFFF"/>
            <w:noWrap/>
            <w:vAlign w:val="center"/>
            <w:hideMark/>
          </w:tcPr>
          <w:p w14:paraId="0B369AF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49.9</w:t>
            </w:r>
          </w:p>
        </w:tc>
        <w:tc>
          <w:tcPr>
            <w:tcW w:w="0" w:type="auto"/>
            <w:tcBorders>
              <w:top w:val="nil"/>
              <w:left w:val="nil"/>
              <w:bottom w:val="nil"/>
              <w:right w:val="nil"/>
            </w:tcBorders>
            <w:shd w:val="clear" w:color="000000" w:fill="FFFFFF"/>
            <w:noWrap/>
            <w:vAlign w:val="center"/>
            <w:hideMark/>
          </w:tcPr>
          <w:p w14:paraId="48E3A0D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18.0</w:t>
            </w:r>
          </w:p>
        </w:tc>
        <w:tc>
          <w:tcPr>
            <w:tcW w:w="0" w:type="auto"/>
            <w:tcBorders>
              <w:top w:val="nil"/>
              <w:left w:val="nil"/>
              <w:bottom w:val="nil"/>
              <w:right w:val="nil"/>
            </w:tcBorders>
            <w:shd w:val="clear" w:color="000000" w:fill="FFFFFF"/>
            <w:noWrap/>
            <w:vAlign w:val="center"/>
            <w:hideMark/>
          </w:tcPr>
          <w:p w14:paraId="5F9D366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200.8</w:t>
            </w:r>
          </w:p>
        </w:tc>
        <w:tc>
          <w:tcPr>
            <w:tcW w:w="0" w:type="auto"/>
            <w:tcBorders>
              <w:top w:val="nil"/>
              <w:left w:val="nil"/>
              <w:bottom w:val="nil"/>
              <w:right w:val="nil"/>
            </w:tcBorders>
            <w:shd w:val="clear" w:color="000000" w:fill="FFFFFF"/>
            <w:noWrap/>
            <w:vAlign w:val="center"/>
            <w:hideMark/>
          </w:tcPr>
          <w:p w14:paraId="2D3D34B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4.6</w:t>
            </w:r>
          </w:p>
        </w:tc>
        <w:tc>
          <w:tcPr>
            <w:tcW w:w="0" w:type="auto"/>
            <w:tcBorders>
              <w:top w:val="nil"/>
              <w:left w:val="nil"/>
              <w:bottom w:val="nil"/>
              <w:right w:val="single" w:sz="4" w:space="0" w:color="auto"/>
            </w:tcBorders>
            <w:shd w:val="clear" w:color="000000" w:fill="FFFFFF"/>
            <w:noWrap/>
            <w:vAlign w:val="center"/>
            <w:hideMark/>
          </w:tcPr>
          <w:p w14:paraId="201CDAE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455.8</w:t>
            </w:r>
          </w:p>
        </w:tc>
      </w:tr>
      <w:tr w:rsidR="00D24603" w:rsidRPr="00F13CA0" w14:paraId="224C86BE"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52AB418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C3</w:t>
            </w:r>
          </w:p>
        </w:tc>
        <w:tc>
          <w:tcPr>
            <w:tcW w:w="0" w:type="auto"/>
            <w:tcBorders>
              <w:top w:val="nil"/>
              <w:left w:val="nil"/>
              <w:bottom w:val="nil"/>
              <w:right w:val="nil"/>
            </w:tcBorders>
            <w:shd w:val="clear" w:color="000000" w:fill="FFFFFF"/>
            <w:noWrap/>
            <w:vAlign w:val="center"/>
            <w:hideMark/>
          </w:tcPr>
          <w:p w14:paraId="0EFE8D2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1.1</w:t>
            </w:r>
          </w:p>
        </w:tc>
        <w:tc>
          <w:tcPr>
            <w:tcW w:w="0" w:type="auto"/>
            <w:tcBorders>
              <w:top w:val="nil"/>
              <w:left w:val="nil"/>
              <w:bottom w:val="nil"/>
              <w:right w:val="nil"/>
            </w:tcBorders>
            <w:shd w:val="clear" w:color="000000" w:fill="FFFFFF"/>
            <w:noWrap/>
            <w:vAlign w:val="center"/>
            <w:hideMark/>
          </w:tcPr>
          <w:p w14:paraId="5678C25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10.0</w:t>
            </w:r>
          </w:p>
        </w:tc>
        <w:tc>
          <w:tcPr>
            <w:tcW w:w="0" w:type="auto"/>
            <w:tcBorders>
              <w:top w:val="nil"/>
              <w:left w:val="nil"/>
              <w:bottom w:val="nil"/>
              <w:right w:val="nil"/>
            </w:tcBorders>
            <w:shd w:val="clear" w:color="000000" w:fill="FFFFFF"/>
            <w:noWrap/>
            <w:vAlign w:val="center"/>
            <w:hideMark/>
          </w:tcPr>
          <w:p w14:paraId="71C55D6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98.4</w:t>
            </w:r>
          </w:p>
        </w:tc>
        <w:tc>
          <w:tcPr>
            <w:tcW w:w="0" w:type="auto"/>
            <w:tcBorders>
              <w:top w:val="nil"/>
              <w:left w:val="nil"/>
              <w:bottom w:val="nil"/>
              <w:right w:val="nil"/>
            </w:tcBorders>
            <w:shd w:val="clear" w:color="000000" w:fill="FFFFFF"/>
            <w:noWrap/>
            <w:vAlign w:val="center"/>
            <w:hideMark/>
          </w:tcPr>
          <w:p w14:paraId="3B9CF64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31.7</w:t>
            </w:r>
          </w:p>
        </w:tc>
        <w:tc>
          <w:tcPr>
            <w:tcW w:w="0" w:type="auto"/>
            <w:tcBorders>
              <w:top w:val="nil"/>
              <w:left w:val="nil"/>
              <w:bottom w:val="nil"/>
              <w:right w:val="nil"/>
            </w:tcBorders>
            <w:shd w:val="clear" w:color="000000" w:fill="FFFFFF"/>
            <w:noWrap/>
            <w:vAlign w:val="center"/>
            <w:hideMark/>
          </w:tcPr>
          <w:p w14:paraId="0FA2100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15.3</w:t>
            </w:r>
          </w:p>
        </w:tc>
        <w:tc>
          <w:tcPr>
            <w:tcW w:w="0" w:type="auto"/>
            <w:tcBorders>
              <w:top w:val="nil"/>
              <w:left w:val="nil"/>
              <w:bottom w:val="nil"/>
              <w:right w:val="nil"/>
            </w:tcBorders>
            <w:shd w:val="clear" w:color="000000" w:fill="FFFFFF"/>
            <w:noWrap/>
            <w:vAlign w:val="center"/>
            <w:hideMark/>
          </w:tcPr>
          <w:p w14:paraId="574E133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297.4</w:t>
            </w:r>
          </w:p>
        </w:tc>
        <w:tc>
          <w:tcPr>
            <w:tcW w:w="0" w:type="auto"/>
            <w:tcBorders>
              <w:top w:val="nil"/>
              <w:left w:val="nil"/>
              <w:bottom w:val="nil"/>
              <w:right w:val="nil"/>
            </w:tcBorders>
            <w:shd w:val="clear" w:color="000000" w:fill="FFFFFF"/>
            <w:noWrap/>
            <w:vAlign w:val="center"/>
            <w:hideMark/>
          </w:tcPr>
          <w:p w14:paraId="69441F0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14.8</w:t>
            </w:r>
          </w:p>
        </w:tc>
        <w:tc>
          <w:tcPr>
            <w:tcW w:w="0" w:type="auto"/>
            <w:tcBorders>
              <w:top w:val="nil"/>
              <w:left w:val="nil"/>
              <w:bottom w:val="nil"/>
              <w:right w:val="single" w:sz="4" w:space="0" w:color="auto"/>
            </w:tcBorders>
            <w:shd w:val="clear" w:color="000000" w:fill="FFFFFF"/>
            <w:noWrap/>
            <w:vAlign w:val="center"/>
            <w:hideMark/>
          </w:tcPr>
          <w:p w14:paraId="7567985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468.7</w:t>
            </w:r>
          </w:p>
        </w:tc>
      </w:tr>
      <w:tr w:rsidR="00D24603" w:rsidRPr="00F13CA0" w14:paraId="4CBB5631"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6CD9FCF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C4</w:t>
            </w:r>
          </w:p>
        </w:tc>
        <w:tc>
          <w:tcPr>
            <w:tcW w:w="0" w:type="auto"/>
            <w:tcBorders>
              <w:top w:val="nil"/>
              <w:left w:val="nil"/>
              <w:bottom w:val="nil"/>
              <w:right w:val="nil"/>
            </w:tcBorders>
            <w:shd w:val="clear" w:color="000000" w:fill="FFFFFF"/>
            <w:noWrap/>
            <w:vAlign w:val="center"/>
            <w:hideMark/>
          </w:tcPr>
          <w:p w14:paraId="01CA76B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0.4</w:t>
            </w:r>
          </w:p>
        </w:tc>
        <w:tc>
          <w:tcPr>
            <w:tcW w:w="0" w:type="auto"/>
            <w:tcBorders>
              <w:top w:val="nil"/>
              <w:left w:val="nil"/>
              <w:bottom w:val="nil"/>
              <w:right w:val="nil"/>
            </w:tcBorders>
            <w:shd w:val="clear" w:color="000000" w:fill="FFFFFF"/>
            <w:noWrap/>
            <w:vAlign w:val="center"/>
            <w:hideMark/>
          </w:tcPr>
          <w:p w14:paraId="4F37E13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24.1</w:t>
            </w:r>
          </w:p>
        </w:tc>
        <w:tc>
          <w:tcPr>
            <w:tcW w:w="0" w:type="auto"/>
            <w:tcBorders>
              <w:top w:val="nil"/>
              <w:left w:val="nil"/>
              <w:bottom w:val="nil"/>
              <w:right w:val="nil"/>
            </w:tcBorders>
            <w:shd w:val="clear" w:color="000000" w:fill="FFFFFF"/>
            <w:noWrap/>
            <w:vAlign w:val="center"/>
            <w:hideMark/>
          </w:tcPr>
          <w:p w14:paraId="2DC85D1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40.9</w:t>
            </w:r>
          </w:p>
        </w:tc>
        <w:tc>
          <w:tcPr>
            <w:tcW w:w="0" w:type="auto"/>
            <w:tcBorders>
              <w:top w:val="nil"/>
              <w:left w:val="nil"/>
              <w:bottom w:val="nil"/>
              <w:right w:val="nil"/>
            </w:tcBorders>
            <w:shd w:val="clear" w:color="000000" w:fill="FFFFFF"/>
            <w:noWrap/>
            <w:vAlign w:val="center"/>
            <w:hideMark/>
          </w:tcPr>
          <w:p w14:paraId="7AA919B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15.8</w:t>
            </w:r>
          </w:p>
        </w:tc>
        <w:tc>
          <w:tcPr>
            <w:tcW w:w="0" w:type="auto"/>
            <w:tcBorders>
              <w:top w:val="nil"/>
              <w:left w:val="nil"/>
              <w:bottom w:val="nil"/>
              <w:right w:val="nil"/>
            </w:tcBorders>
            <w:shd w:val="clear" w:color="000000" w:fill="FFFFFF"/>
            <w:noWrap/>
            <w:vAlign w:val="center"/>
            <w:hideMark/>
          </w:tcPr>
          <w:p w14:paraId="444C8F2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6.0</w:t>
            </w:r>
          </w:p>
        </w:tc>
        <w:tc>
          <w:tcPr>
            <w:tcW w:w="0" w:type="auto"/>
            <w:tcBorders>
              <w:top w:val="nil"/>
              <w:left w:val="nil"/>
              <w:bottom w:val="nil"/>
              <w:right w:val="nil"/>
            </w:tcBorders>
            <w:shd w:val="clear" w:color="000000" w:fill="FFFFFF"/>
            <w:noWrap/>
            <w:vAlign w:val="center"/>
            <w:hideMark/>
          </w:tcPr>
          <w:p w14:paraId="481D510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58.7</w:t>
            </w:r>
          </w:p>
        </w:tc>
        <w:tc>
          <w:tcPr>
            <w:tcW w:w="0" w:type="auto"/>
            <w:tcBorders>
              <w:top w:val="nil"/>
              <w:left w:val="nil"/>
              <w:bottom w:val="nil"/>
              <w:right w:val="nil"/>
            </w:tcBorders>
            <w:shd w:val="clear" w:color="000000" w:fill="FFFFFF"/>
            <w:noWrap/>
            <w:vAlign w:val="center"/>
            <w:hideMark/>
          </w:tcPr>
          <w:p w14:paraId="27BAE67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w:t>
            </w:r>
          </w:p>
        </w:tc>
        <w:tc>
          <w:tcPr>
            <w:tcW w:w="0" w:type="auto"/>
            <w:tcBorders>
              <w:top w:val="nil"/>
              <w:left w:val="nil"/>
              <w:bottom w:val="nil"/>
              <w:right w:val="single" w:sz="4" w:space="0" w:color="auto"/>
            </w:tcBorders>
            <w:shd w:val="clear" w:color="000000" w:fill="FFFFFF"/>
            <w:noWrap/>
            <w:vAlign w:val="center"/>
            <w:hideMark/>
          </w:tcPr>
          <w:p w14:paraId="48284A6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147.3</w:t>
            </w:r>
          </w:p>
        </w:tc>
      </w:tr>
      <w:tr w:rsidR="00D24603" w:rsidRPr="00F13CA0" w14:paraId="1A95E76E"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49E66A8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C5</w:t>
            </w:r>
          </w:p>
        </w:tc>
        <w:tc>
          <w:tcPr>
            <w:tcW w:w="0" w:type="auto"/>
            <w:tcBorders>
              <w:top w:val="nil"/>
              <w:left w:val="nil"/>
              <w:bottom w:val="nil"/>
              <w:right w:val="nil"/>
            </w:tcBorders>
            <w:shd w:val="clear" w:color="000000" w:fill="FFFFFF"/>
            <w:noWrap/>
            <w:vAlign w:val="center"/>
            <w:hideMark/>
          </w:tcPr>
          <w:p w14:paraId="2792410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0.8</w:t>
            </w:r>
          </w:p>
        </w:tc>
        <w:tc>
          <w:tcPr>
            <w:tcW w:w="0" w:type="auto"/>
            <w:tcBorders>
              <w:top w:val="nil"/>
              <w:left w:val="nil"/>
              <w:bottom w:val="nil"/>
              <w:right w:val="nil"/>
            </w:tcBorders>
            <w:shd w:val="clear" w:color="000000" w:fill="FFFFFF"/>
            <w:noWrap/>
            <w:vAlign w:val="center"/>
            <w:hideMark/>
          </w:tcPr>
          <w:p w14:paraId="30D6281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8.0</w:t>
            </w:r>
          </w:p>
        </w:tc>
        <w:tc>
          <w:tcPr>
            <w:tcW w:w="0" w:type="auto"/>
            <w:tcBorders>
              <w:top w:val="nil"/>
              <w:left w:val="nil"/>
              <w:bottom w:val="nil"/>
              <w:right w:val="nil"/>
            </w:tcBorders>
            <w:shd w:val="clear" w:color="000000" w:fill="FFFFFF"/>
            <w:noWrap/>
            <w:vAlign w:val="center"/>
            <w:hideMark/>
          </w:tcPr>
          <w:p w14:paraId="22CC3C0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66.5</w:t>
            </w:r>
          </w:p>
        </w:tc>
        <w:tc>
          <w:tcPr>
            <w:tcW w:w="0" w:type="auto"/>
            <w:tcBorders>
              <w:top w:val="nil"/>
              <w:left w:val="nil"/>
              <w:bottom w:val="nil"/>
              <w:right w:val="nil"/>
            </w:tcBorders>
            <w:shd w:val="clear" w:color="000000" w:fill="FFFFFF"/>
            <w:noWrap/>
            <w:vAlign w:val="center"/>
            <w:hideMark/>
          </w:tcPr>
          <w:p w14:paraId="10273A8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12.6</w:t>
            </w:r>
          </w:p>
        </w:tc>
        <w:tc>
          <w:tcPr>
            <w:tcW w:w="0" w:type="auto"/>
            <w:tcBorders>
              <w:top w:val="nil"/>
              <w:left w:val="nil"/>
              <w:bottom w:val="nil"/>
              <w:right w:val="nil"/>
            </w:tcBorders>
            <w:shd w:val="clear" w:color="000000" w:fill="FFFFFF"/>
            <w:noWrap/>
            <w:vAlign w:val="center"/>
            <w:hideMark/>
          </w:tcPr>
          <w:p w14:paraId="4BFBFA32"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8.1</w:t>
            </w:r>
          </w:p>
        </w:tc>
        <w:tc>
          <w:tcPr>
            <w:tcW w:w="0" w:type="auto"/>
            <w:tcBorders>
              <w:top w:val="nil"/>
              <w:left w:val="nil"/>
              <w:bottom w:val="nil"/>
              <w:right w:val="nil"/>
            </w:tcBorders>
            <w:shd w:val="clear" w:color="000000" w:fill="FFFFFF"/>
            <w:noWrap/>
            <w:vAlign w:val="center"/>
            <w:hideMark/>
          </w:tcPr>
          <w:p w14:paraId="1CBA24C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126.1</w:t>
            </w:r>
          </w:p>
        </w:tc>
        <w:tc>
          <w:tcPr>
            <w:tcW w:w="0" w:type="auto"/>
            <w:tcBorders>
              <w:top w:val="nil"/>
              <w:left w:val="nil"/>
              <w:bottom w:val="nil"/>
              <w:right w:val="nil"/>
            </w:tcBorders>
            <w:shd w:val="clear" w:color="000000" w:fill="FFFFFF"/>
            <w:noWrap/>
            <w:vAlign w:val="center"/>
            <w:hideMark/>
          </w:tcPr>
          <w:p w14:paraId="2C21031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4.0</w:t>
            </w:r>
          </w:p>
        </w:tc>
        <w:tc>
          <w:tcPr>
            <w:tcW w:w="0" w:type="auto"/>
            <w:tcBorders>
              <w:top w:val="nil"/>
              <w:left w:val="nil"/>
              <w:bottom w:val="nil"/>
              <w:right w:val="single" w:sz="4" w:space="0" w:color="auto"/>
            </w:tcBorders>
            <w:shd w:val="clear" w:color="000000" w:fill="FFFFFF"/>
            <w:noWrap/>
            <w:vAlign w:val="center"/>
            <w:hideMark/>
          </w:tcPr>
          <w:p w14:paraId="0980505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225.9</w:t>
            </w:r>
          </w:p>
        </w:tc>
      </w:tr>
      <w:tr w:rsidR="00D24603" w:rsidRPr="00F13CA0" w14:paraId="49221D84"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03DC1CB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C6</w:t>
            </w:r>
          </w:p>
        </w:tc>
        <w:tc>
          <w:tcPr>
            <w:tcW w:w="0" w:type="auto"/>
            <w:tcBorders>
              <w:top w:val="nil"/>
              <w:left w:val="nil"/>
              <w:bottom w:val="nil"/>
              <w:right w:val="nil"/>
            </w:tcBorders>
            <w:shd w:val="clear" w:color="000000" w:fill="FFFFFF"/>
            <w:noWrap/>
            <w:vAlign w:val="center"/>
            <w:hideMark/>
          </w:tcPr>
          <w:p w14:paraId="2E45487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6.4</w:t>
            </w:r>
          </w:p>
        </w:tc>
        <w:tc>
          <w:tcPr>
            <w:tcW w:w="0" w:type="auto"/>
            <w:tcBorders>
              <w:top w:val="nil"/>
              <w:left w:val="nil"/>
              <w:bottom w:val="nil"/>
              <w:right w:val="nil"/>
            </w:tcBorders>
            <w:shd w:val="clear" w:color="000000" w:fill="FFFFFF"/>
            <w:noWrap/>
            <w:vAlign w:val="center"/>
            <w:hideMark/>
          </w:tcPr>
          <w:p w14:paraId="32FA678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176.1</w:t>
            </w:r>
          </w:p>
        </w:tc>
        <w:tc>
          <w:tcPr>
            <w:tcW w:w="0" w:type="auto"/>
            <w:tcBorders>
              <w:top w:val="nil"/>
              <w:left w:val="nil"/>
              <w:bottom w:val="nil"/>
              <w:right w:val="nil"/>
            </w:tcBorders>
            <w:shd w:val="clear" w:color="000000" w:fill="FFFFFF"/>
            <w:noWrap/>
            <w:vAlign w:val="center"/>
            <w:hideMark/>
          </w:tcPr>
          <w:p w14:paraId="4B62A5D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378.0</w:t>
            </w:r>
          </w:p>
        </w:tc>
        <w:tc>
          <w:tcPr>
            <w:tcW w:w="0" w:type="auto"/>
            <w:tcBorders>
              <w:top w:val="nil"/>
              <w:left w:val="nil"/>
              <w:bottom w:val="nil"/>
              <w:right w:val="nil"/>
            </w:tcBorders>
            <w:shd w:val="clear" w:color="000000" w:fill="FFFFFF"/>
            <w:noWrap/>
            <w:vAlign w:val="center"/>
            <w:hideMark/>
          </w:tcPr>
          <w:p w14:paraId="22823135"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117.9</w:t>
            </w:r>
          </w:p>
        </w:tc>
        <w:tc>
          <w:tcPr>
            <w:tcW w:w="0" w:type="auto"/>
            <w:tcBorders>
              <w:top w:val="nil"/>
              <w:left w:val="nil"/>
              <w:bottom w:val="nil"/>
              <w:right w:val="nil"/>
            </w:tcBorders>
            <w:shd w:val="clear" w:color="000000" w:fill="FFFFFF"/>
            <w:noWrap/>
            <w:vAlign w:val="center"/>
            <w:hideMark/>
          </w:tcPr>
          <w:p w14:paraId="77A685E2"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41.0</w:t>
            </w:r>
          </w:p>
        </w:tc>
        <w:tc>
          <w:tcPr>
            <w:tcW w:w="0" w:type="auto"/>
            <w:tcBorders>
              <w:top w:val="nil"/>
              <w:left w:val="nil"/>
              <w:bottom w:val="nil"/>
              <w:right w:val="nil"/>
            </w:tcBorders>
            <w:shd w:val="clear" w:color="000000" w:fill="FFFFFF"/>
            <w:noWrap/>
            <w:vAlign w:val="center"/>
            <w:hideMark/>
          </w:tcPr>
          <w:p w14:paraId="4A6B21D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750.9</w:t>
            </w:r>
          </w:p>
        </w:tc>
        <w:tc>
          <w:tcPr>
            <w:tcW w:w="0" w:type="auto"/>
            <w:tcBorders>
              <w:top w:val="nil"/>
              <w:left w:val="nil"/>
              <w:bottom w:val="nil"/>
              <w:right w:val="nil"/>
            </w:tcBorders>
            <w:shd w:val="clear" w:color="000000" w:fill="FFFFFF"/>
            <w:noWrap/>
            <w:vAlign w:val="center"/>
            <w:hideMark/>
          </w:tcPr>
          <w:p w14:paraId="0AFD2C5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15.2</w:t>
            </w:r>
          </w:p>
        </w:tc>
        <w:tc>
          <w:tcPr>
            <w:tcW w:w="0" w:type="auto"/>
            <w:tcBorders>
              <w:top w:val="nil"/>
              <w:left w:val="nil"/>
              <w:bottom w:val="nil"/>
              <w:right w:val="single" w:sz="4" w:space="0" w:color="auto"/>
            </w:tcBorders>
            <w:shd w:val="clear" w:color="000000" w:fill="FFFFFF"/>
            <w:noWrap/>
            <w:vAlign w:val="center"/>
            <w:hideMark/>
          </w:tcPr>
          <w:p w14:paraId="2D9BB2A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1485.6</w:t>
            </w:r>
          </w:p>
        </w:tc>
      </w:tr>
      <w:tr w:rsidR="00D24603" w:rsidRPr="00F13CA0" w14:paraId="02EFC35E"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3CD3312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C7</w:t>
            </w:r>
          </w:p>
        </w:tc>
        <w:tc>
          <w:tcPr>
            <w:tcW w:w="0" w:type="auto"/>
            <w:tcBorders>
              <w:top w:val="nil"/>
              <w:left w:val="nil"/>
              <w:bottom w:val="nil"/>
              <w:right w:val="nil"/>
            </w:tcBorders>
            <w:shd w:val="clear" w:color="000000" w:fill="FFFFFF"/>
            <w:noWrap/>
            <w:vAlign w:val="center"/>
            <w:hideMark/>
          </w:tcPr>
          <w:p w14:paraId="0D11D46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0.8</w:t>
            </w:r>
          </w:p>
        </w:tc>
        <w:tc>
          <w:tcPr>
            <w:tcW w:w="0" w:type="auto"/>
            <w:tcBorders>
              <w:top w:val="nil"/>
              <w:left w:val="nil"/>
              <w:bottom w:val="nil"/>
              <w:right w:val="nil"/>
            </w:tcBorders>
            <w:shd w:val="clear" w:color="000000" w:fill="FFFFFF"/>
            <w:noWrap/>
            <w:vAlign w:val="center"/>
            <w:hideMark/>
          </w:tcPr>
          <w:p w14:paraId="000F2DF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34.7</w:t>
            </w:r>
          </w:p>
        </w:tc>
        <w:tc>
          <w:tcPr>
            <w:tcW w:w="0" w:type="auto"/>
            <w:tcBorders>
              <w:top w:val="nil"/>
              <w:left w:val="nil"/>
              <w:bottom w:val="nil"/>
              <w:right w:val="nil"/>
            </w:tcBorders>
            <w:shd w:val="clear" w:color="000000" w:fill="FFFFFF"/>
            <w:noWrap/>
            <w:vAlign w:val="center"/>
            <w:hideMark/>
          </w:tcPr>
          <w:p w14:paraId="61634AC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59.6</w:t>
            </w:r>
          </w:p>
        </w:tc>
        <w:tc>
          <w:tcPr>
            <w:tcW w:w="0" w:type="auto"/>
            <w:tcBorders>
              <w:top w:val="nil"/>
              <w:left w:val="nil"/>
              <w:bottom w:val="nil"/>
              <w:right w:val="nil"/>
            </w:tcBorders>
            <w:shd w:val="clear" w:color="000000" w:fill="FFFFFF"/>
            <w:noWrap/>
            <w:vAlign w:val="center"/>
            <w:hideMark/>
          </w:tcPr>
          <w:p w14:paraId="39396DC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25.6</w:t>
            </w:r>
          </w:p>
        </w:tc>
        <w:tc>
          <w:tcPr>
            <w:tcW w:w="0" w:type="auto"/>
            <w:tcBorders>
              <w:top w:val="nil"/>
              <w:left w:val="nil"/>
              <w:bottom w:val="nil"/>
              <w:right w:val="nil"/>
            </w:tcBorders>
            <w:shd w:val="clear" w:color="000000" w:fill="FFFFFF"/>
            <w:noWrap/>
            <w:vAlign w:val="center"/>
            <w:hideMark/>
          </w:tcPr>
          <w:p w14:paraId="6B35EB9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10.9</w:t>
            </w:r>
          </w:p>
        </w:tc>
        <w:tc>
          <w:tcPr>
            <w:tcW w:w="0" w:type="auto"/>
            <w:tcBorders>
              <w:top w:val="nil"/>
              <w:left w:val="nil"/>
              <w:bottom w:val="nil"/>
              <w:right w:val="nil"/>
            </w:tcBorders>
            <w:shd w:val="clear" w:color="000000" w:fill="FFFFFF"/>
            <w:noWrap/>
            <w:vAlign w:val="center"/>
            <w:hideMark/>
          </w:tcPr>
          <w:p w14:paraId="0E9D1BA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91.8</w:t>
            </w:r>
          </w:p>
        </w:tc>
        <w:tc>
          <w:tcPr>
            <w:tcW w:w="0" w:type="auto"/>
            <w:tcBorders>
              <w:top w:val="nil"/>
              <w:left w:val="nil"/>
              <w:bottom w:val="nil"/>
              <w:right w:val="nil"/>
            </w:tcBorders>
            <w:shd w:val="clear" w:color="000000" w:fill="FFFFFF"/>
            <w:noWrap/>
            <w:vAlign w:val="center"/>
            <w:hideMark/>
          </w:tcPr>
          <w:p w14:paraId="3C3B07A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3.4</w:t>
            </w:r>
          </w:p>
        </w:tc>
        <w:tc>
          <w:tcPr>
            <w:tcW w:w="0" w:type="auto"/>
            <w:tcBorders>
              <w:top w:val="nil"/>
              <w:left w:val="nil"/>
              <w:bottom w:val="nil"/>
              <w:right w:val="single" w:sz="4" w:space="0" w:color="auto"/>
            </w:tcBorders>
            <w:shd w:val="clear" w:color="000000" w:fill="FFFFFF"/>
            <w:noWrap/>
            <w:vAlign w:val="center"/>
            <w:hideMark/>
          </w:tcPr>
          <w:p w14:paraId="3FA047D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226.7</w:t>
            </w:r>
          </w:p>
        </w:tc>
      </w:tr>
      <w:tr w:rsidR="00D24603" w:rsidRPr="00F13CA0" w14:paraId="540D158E"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4326A79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C8</w:t>
            </w:r>
          </w:p>
        </w:tc>
        <w:tc>
          <w:tcPr>
            <w:tcW w:w="0" w:type="auto"/>
            <w:tcBorders>
              <w:top w:val="nil"/>
              <w:left w:val="nil"/>
              <w:bottom w:val="nil"/>
              <w:right w:val="nil"/>
            </w:tcBorders>
            <w:shd w:val="clear" w:color="000000" w:fill="FFFFFF"/>
            <w:noWrap/>
            <w:vAlign w:val="center"/>
            <w:hideMark/>
          </w:tcPr>
          <w:p w14:paraId="3CF83FC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0.8</w:t>
            </w:r>
          </w:p>
        </w:tc>
        <w:tc>
          <w:tcPr>
            <w:tcW w:w="0" w:type="auto"/>
            <w:tcBorders>
              <w:top w:val="nil"/>
              <w:left w:val="nil"/>
              <w:bottom w:val="nil"/>
              <w:right w:val="nil"/>
            </w:tcBorders>
            <w:shd w:val="clear" w:color="000000" w:fill="FFFFFF"/>
            <w:noWrap/>
            <w:vAlign w:val="center"/>
            <w:hideMark/>
          </w:tcPr>
          <w:p w14:paraId="1AB3595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7.0</w:t>
            </w:r>
          </w:p>
        </w:tc>
        <w:tc>
          <w:tcPr>
            <w:tcW w:w="0" w:type="auto"/>
            <w:tcBorders>
              <w:top w:val="nil"/>
              <w:left w:val="nil"/>
              <w:bottom w:val="nil"/>
              <w:right w:val="nil"/>
            </w:tcBorders>
            <w:shd w:val="clear" w:color="000000" w:fill="FFFFFF"/>
            <w:noWrap/>
            <w:vAlign w:val="center"/>
            <w:hideMark/>
          </w:tcPr>
          <w:p w14:paraId="6D76F9E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52.8</w:t>
            </w:r>
          </w:p>
        </w:tc>
        <w:tc>
          <w:tcPr>
            <w:tcW w:w="0" w:type="auto"/>
            <w:tcBorders>
              <w:top w:val="nil"/>
              <w:left w:val="nil"/>
              <w:bottom w:val="nil"/>
              <w:right w:val="nil"/>
            </w:tcBorders>
            <w:shd w:val="clear" w:color="000000" w:fill="FFFFFF"/>
            <w:noWrap/>
            <w:vAlign w:val="center"/>
            <w:hideMark/>
          </w:tcPr>
          <w:p w14:paraId="085D0B1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16.7</w:t>
            </w:r>
          </w:p>
        </w:tc>
        <w:tc>
          <w:tcPr>
            <w:tcW w:w="0" w:type="auto"/>
            <w:tcBorders>
              <w:top w:val="nil"/>
              <w:left w:val="nil"/>
              <w:bottom w:val="nil"/>
              <w:right w:val="nil"/>
            </w:tcBorders>
            <w:shd w:val="clear" w:color="000000" w:fill="FFFFFF"/>
            <w:noWrap/>
            <w:vAlign w:val="center"/>
            <w:hideMark/>
          </w:tcPr>
          <w:p w14:paraId="747EA5C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11.6</w:t>
            </w:r>
          </w:p>
        </w:tc>
        <w:tc>
          <w:tcPr>
            <w:tcW w:w="0" w:type="auto"/>
            <w:tcBorders>
              <w:top w:val="nil"/>
              <w:left w:val="nil"/>
              <w:bottom w:val="nil"/>
              <w:right w:val="nil"/>
            </w:tcBorders>
            <w:shd w:val="clear" w:color="000000" w:fill="FFFFFF"/>
            <w:noWrap/>
            <w:vAlign w:val="center"/>
            <w:hideMark/>
          </w:tcPr>
          <w:p w14:paraId="39A9AC6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168.3</w:t>
            </w:r>
          </w:p>
        </w:tc>
        <w:tc>
          <w:tcPr>
            <w:tcW w:w="0" w:type="auto"/>
            <w:tcBorders>
              <w:top w:val="nil"/>
              <w:left w:val="nil"/>
              <w:bottom w:val="nil"/>
              <w:right w:val="nil"/>
            </w:tcBorders>
            <w:shd w:val="clear" w:color="000000" w:fill="FFFFFF"/>
            <w:noWrap/>
            <w:vAlign w:val="center"/>
            <w:hideMark/>
          </w:tcPr>
          <w:p w14:paraId="3D4732B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3.2</w:t>
            </w:r>
          </w:p>
        </w:tc>
        <w:tc>
          <w:tcPr>
            <w:tcW w:w="0" w:type="auto"/>
            <w:tcBorders>
              <w:top w:val="nil"/>
              <w:left w:val="nil"/>
              <w:bottom w:val="nil"/>
              <w:right w:val="single" w:sz="4" w:space="0" w:color="auto"/>
            </w:tcBorders>
            <w:shd w:val="clear" w:color="000000" w:fill="FFFFFF"/>
            <w:noWrap/>
            <w:vAlign w:val="center"/>
            <w:hideMark/>
          </w:tcPr>
          <w:p w14:paraId="6F70C39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260.4</w:t>
            </w:r>
          </w:p>
        </w:tc>
      </w:tr>
      <w:tr w:rsidR="00D24603" w:rsidRPr="00F13CA0" w14:paraId="31176560"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1500D95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C9</w:t>
            </w:r>
          </w:p>
        </w:tc>
        <w:tc>
          <w:tcPr>
            <w:tcW w:w="0" w:type="auto"/>
            <w:tcBorders>
              <w:top w:val="nil"/>
              <w:left w:val="nil"/>
              <w:bottom w:val="nil"/>
              <w:right w:val="nil"/>
            </w:tcBorders>
            <w:shd w:val="clear" w:color="000000" w:fill="FFFFFF"/>
            <w:noWrap/>
            <w:vAlign w:val="center"/>
            <w:hideMark/>
          </w:tcPr>
          <w:p w14:paraId="5C9F39B2"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0.7</w:t>
            </w:r>
          </w:p>
        </w:tc>
        <w:tc>
          <w:tcPr>
            <w:tcW w:w="0" w:type="auto"/>
            <w:tcBorders>
              <w:top w:val="nil"/>
              <w:left w:val="nil"/>
              <w:bottom w:val="nil"/>
              <w:right w:val="nil"/>
            </w:tcBorders>
            <w:shd w:val="clear" w:color="000000" w:fill="FFFFFF"/>
            <w:noWrap/>
            <w:vAlign w:val="center"/>
            <w:hideMark/>
          </w:tcPr>
          <w:p w14:paraId="63753FF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19.0</w:t>
            </w:r>
          </w:p>
        </w:tc>
        <w:tc>
          <w:tcPr>
            <w:tcW w:w="0" w:type="auto"/>
            <w:tcBorders>
              <w:top w:val="nil"/>
              <w:left w:val="nil"/>
              <w:bottom w:val="nil"/>
              <w:right w:val="nil"/>
            </w:tcBorders>
            <w:shd w:val="clear" w:color="000000" w:fill="FFFFFF"/>
            <w:noWrap/>
            <w:vAlign w:val="center"/>
            <w:hideMark/>
          </w:tcPr>
          <w:p w14:paraId="24250DC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33.2</w:t>
            </w:r>
          </w:p>
        </w:tc>
        <w:tc>
          <w:tcPr>
            <w:tcW w:w="0" w:type="auto"/>
            <w:tcBorders>
              <w:top w:val="nil"/>
              <w:left w:val="nil"/>
              <w:bottom w:val="nil"/>
              <w:right w:val="nil"/>
            </w:tcBorders>
            <w:shd w:val="clear" w:color="000000" w:fill="FFFFFF"/>
            <w:noWrap/>
            <w:vAlign w:val="center"/>
            <w:hideMark/>
          </w:tcPr>
          <w:p w14:paraId="3C8E539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15.6</w:t>
            </w:r>
          </w:p>
        </w:tc>
        <w:tc>
          <w:tcPr>
            <w:tcW w:w="0" w:type="auto"/>
            <w:tcBorders>
              <w:top w:val="nil"/>
              <w:left w:val="nil"/>
              <w:bottom w:val="nil"/>
              <w:right w:val="nil"/>
            </w:tcBorders>
            <w:shd w:val="clear" w:color="000000" w:fill="FFFFFF"/>
            <w:noWrap/>
            <w:vAlign w:val="center"/>
            <w:hideMark/>
          </w:tcPr>
          <w:p w14:paraId="3B29F94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12.9</w:t>
            </w:r>
          </w:p>
        </w:tc>
        <w:tc>
          <w:tcPr>
            <w:tcW w:w="0" w:type="auto"/>
            <w:tcBorders>
              <w:top w:val="nil"/>
              <w:left w:val="nil"/>
              <w:bottom w:val="nil"/>
              <w:right w:val="nil"/>
            </w:tcBorders>
            <w:shd w:val="clear" w:color="000000" w:fill="FFFFFF"/>
            <w:noWrap/>
            <w:vAlign w:val="center"/>
            <w:hideMark/>
          </w:tcPr>
          <w:p w14:paraId="544D442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49.7</w:t>
            </w:r>
          </w:p>
        </w:tc>
        <w:tc>
          <w:tcPr>
            <w:tcW w:w="0" w:type="auto"/>
            <w:tcBorders>
              <w:top w:val="nil"/>
              <w:left w:val="nil"/>
              <w:bottom w:val="nil"/>
              <w:right w:val="nil"/>
            </w:tcBorders>
            <w:shd w:val="clear" w:color="000000" w:fill="FFFFFF"/>
            <w:noWrap/>
            <w:vAlign w:val="center"/>
            <w:hideMark/>
          </w:tcPr>
          <w:p w14:paraId="333C75D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1.8</w:t>
            </w:r>
          </w:p>
        </w:tc>
        <w:tc>
          <w:tcPr>
            <w:tcW w:w="0" w:type="auto"/>
            <w:tcBorders>
              <w:top w:val="nil"/>
              <w:left w:val="nil"/>
              <w:bottom w:val="nil"/>
              <w:right w:val="single" w:sz="4" w:space="0" w:color="auto"/>
            </w:tcBorders>
            <w:shd w:val="clear" w:color="000000" w:fill="FFFFFF"/>
            <w:noWrap/>
            <w:vAlign w:val="center"/>
            <w:hideMark/>
          </w:tcPr>
          <w:p w14:paraId="3180B11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132.8</w:t>
            </w:r>
          </w:p>
        </w:tc>
      </w:tr>
      <w:tr w:rsidR="00D24603" w:rsidRPr="00F13CA0" w14:paraId="6B950414"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6998E46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C10</w:t>
            </w:r>
          </w:p>
        </w:tc>
        <w:tc>
          <w:tcPr>
            <w:tcW w:w="0" w:type="auto"/>
            <w:tcBorders>
              <w:top w:val="nil"/>
              <w:left w:val="nil"/>
              <w:bottom w:val="nil"/>
              <w:right w:val="nil"/>
            </w:tcBorders>
            <w:shd w:val="clear" w:color="000000" w:fill="FFFFFF"/>
            <w:noWrap/>
            <w:vAlign w:val="center"/>
            <w:hideMark/>
          </w:tcPr>
          <w:p w14:paraId="297FE73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0.5</w:t>
            </w:r>
          </w:p>
        </w:tc>
        <w:tc>
          <w:tcPr>
            <w:tcW w:w="0" w:type="auto"/>
            <w:tcBorders>
              <w:top w:val="nil"/>
              <w:left w:val="nil"/>
              <w:bottom w:val="nil"/>
              <w:right w:val="nil"/>
            </w:tcBorders>
            <w:shd w:val="clear" w:color="000000" w:fill="FFFFFF"/>
            <w:noWrap/>
            <w:vAlign w:val="center"/>
            <w:hideMark/>
          </w:tcPr>
          <w:p w14:paraId="2AD5021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6.8</w:t>
            </w:r>
          </w:p>
        </w:tc>
        <w:tc>
          <w:tcPr>
            <w:tcW w:w="0" w:type="auto"/>
            <w:tcBorders>
              <w:top w:val="nil"/>
              <w:left w:val="nil"/>
              <w:bottom w:val="nil"/>
              <w:right w:val="nil"/>
            </w:tcBorders>
            <w:shd w:val="clear" w:color="000000" w:fill="FFFFFF"/>
            <w:noWrap/>
            <w:vAlign w:val="center"/>
            <w:hideMark/>
          </w:tcPr>
          <w:p w14:paraId="48BEFF0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41.5</w:t>
            </w:r>
          </w:p>
        </w:tc>
        <w:tc>
          <w:tcPr>
            <w:tcW w:w="0" w:type="auto"/>
            <w:tcBorders>
              <w:top w:val="nil"/>
              <w:left w:val="nil"/>
              <w:bottom w:val="nil"/>
              <w:right w:val="nil"/>
            </w:tcBorders>
            <w:shd w:val="clear" w:color="000000" w:fill="FFFFFF"/>
            <w:noWrap/>
            <w:vAlign w:val="center"/>
            <w:hideMark/>
          </w:tcPr>
          <w:p w14:paraId="624AB05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7.7</w:t>
            </w:r>
          </w:p>
        </w:tc>
        <w:tc>
          <w:tcPr>
            <w:tcW w:w="0" w:type="auto"/>
            <w:tcBorders>
              <w:top w:val="nil"/>
              <w:left w:val="nil"/>
              <w:bottom w:val="nil"/>
              <w:right w:val="nil"/>
            </w:tcBorders>
            <w:shd w:val="clear" w:color="000000" w:fill="FFFFFF"/>
            <w:noWrap/>
            <w:vAlign w:val="center"/>
            <w:hideMark/>
          </w:tcPr>
          <w:p w14:paraId="665C030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9.6</w:t>
            </w:r>
          </w:p>
        </w:tc>
        <w:tc>
          <w:tcPr>
            <w:tcW w:w="0" w:type="auto"/>
            <w:tcBorders>
              <w:top w:val="nil"/>
              <w:left w:val="nil"/>
              <w:bottom w:val="nil"/>
              <w:right w:val="nil"/>
            </w:tcBorders>
            <w:shd w:val="clear" w:color="000000" w:fill="FFFFFF"/>
            <w:noWrap/>
            <w:vAlign w:val="center"/>
            <w:hideMark/>
          </w:tcPr>
          <w:p w14:paraId="72ECDBF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131.0</w:t>
            </w:r>
          </w:p>
        </w:tc>
        <w:tc>
          <w:tcPr>
            <w:tcW w:w="0" w:type="auto"/>
            <w:tcBorders>
              <w:top w:val="nil"/>
              <w:left w:val="nil"/>
              <w:bottom w:val="nil"/>
              <w:right w:val="nil"/>
            </w:tcBorders>
            <w:shd w:val="clear" w:color="000000" w:fill="FFFFFF"/>
            <w:noWrap/>
            <w:vAlign w:val="center"/>
            <w:hideMark/>
          </w:tcPr>
          <w:p w14:paraId="03BF63F5"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2.8</w:t>
            </w:r>
          </w:p>
        </w:tc>
        <w:tc>
          <w:tcPr>
            <w:tcW w:w="0" w:type="auto"/>
            <w:tcBorders>
              <w:top w:val="nil"/>
              <w:left w:val="nil"/>
              <w:bottom w:val="nil"/>
              <w:right w:val="single" w:sz="4" w:space="0" w:color="auto"/>
            </w:tcBorders>
            <w:shd w:val="clear" w:color="000000" w:fill="FFFFFF"/>
            <w:noWrap/>
            <w:vAlign w:val="center"/>
            <w:hideMark/>
          </w:tcPr>
          <w:p w14:paraId="606A5D95"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199.9</w:t>
            </w:r>
          </w:p>
        </w:tc>
      </w:tr>
      <w:tr w:rsidR="00D24603" w:rsidRPr="00F13CA0" w14:paraId="40254B09"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4ECA6322"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C11</w:t>
            </w:r>
          </w:p>
        </w:tc>
        <w:tc>
          <w:tcPr>
            <w:tcW w:w="0" w:type="auto"/>
            <w:tcBorders>
              <w:top w:val="nil"/>
              <w:left w:val="nil"/>
              <w:bottom w:val="nil"/>
              <w:right w:val="nil"/>
            </w:tcBorders>
            <w:shd w:val="clear" w:color="000000" w:fill="FFFFFF"/>
            <w:noWrap/>
            <w:vAlign w:val="center"/>
            <w:hideMark/>
          </w:tcPr>
          <w:p w14:paraId="4549F08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0.3</w:t>
            </w:r>
          </w:p>
        </w:tc>
        <w:tc>
          <w:tcPr>
            <w:tcW w:w="0" w:type="auto"/>
            <w:tcBorders>
              <w:top w:val="nil"/>
              <w:left w:val="nil"/>
              <w:bottom w:val="nil"/>
              <w:right w:val="nil"/>
            </w:tcBorders>
            <w:shd w:val="clear" w:color="000000" w:fill="FFFFFF"/>
            <w:noWrap/>
            <w:vAlign w:val="center"/>
            <w:hideMark/>
          </w:tcPr>
          <w:p w14:paraId="409D81C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12.1</w:t>
            </w:r>
          </w:p>
        </w:tc>
        <w:tc>
          <w:tcPr>
            <w:tcW w:w="0" w:type="auto"/>
            <w:tcBorders>
              <w:top w:val="nil"/>
              <w:left w:val="nil"/>
              <w:bottom w:val="nil"/>
              <w:right w:val="nil"/>
            </w:tcBorders>
            <w:shd w:val="clear" w:color="000000" w:fill="FFFFFF"/>
            <w:noWrap/>
            <w:vAlign w:val="center"/>
            <w:hideMark/>
          </w:tcPr>
          <w:p w14:paraId="75895AA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18.9</w:t>
            </w:r>
          </w:p>
        </w:tc>
        <w:tc>
          <w:tcPr>
            <w:tcW w:w="0" w:type="auto"/>
            <w:tcBorders>
              <w:top w:val="nil"/>
              <w:left w:val="nil"/>
              <w:bottom w:val="nil"/>
              <w:right w:val="nil"/>
            </w:tcBorders>
            <w:shd w:val="clear" w:color="000000" w:fill="FFFFFF"/>
            <w:noWrap/>
            <w:vAlign w:val="center"/>
            <w:hideMark/>
          </w:tcPr>
          <w:p w14:paraId="3166C56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7.7</w:t>
            </w:r>
          </w:p>
        </w:tc>
        <w:tc>
          <w:tcPr>
            <w:tcW w:w="0" w:type="auto"/>
            <w:tcBorders>
              <w:top w:val="nil"/>
              <w:left w:val="nil"/>
              <w:bottom w:val="nil"/>
              <w:right w:val="nil"/>
            </w:tcBorders>
            <w:shd w:val="clear" w:color="000000" w:fill="FFFFFF"/>
            <w:noWrap/>
            <w:vAlign w:val="center"/>
            <w:hideMark/>
          </w:tcPr>
          <w:p w14:paraId="4EB0D90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2.2</w:t>
            </w:r>
          </w:p>
        </w:tc>
        <w:tc>
          <w:tcPr>
            <w:tcW w:w="0" w:type="auto"/>
            <w:tcBorders>
              <w:top w:val="nil"/>
              <w:left w:val="nil"/>
              <w:bottom w:val="nil"/>
              <w:right w:val="nil"/>
            </w:tcBorders>
            <w:shd w:val="clear" w:color="000000" w:fill="FFFFFF"/>
            <w:noWrap/>
            <w:vAlign w:val="center"/>
            <w:hideMark/>
          </w:tcPr>
          <w:p w14:paraId="71822FF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36.6</w:t>
            </w:r>
          </w:p>
        </w:tc>
        <w:tc>
          <w:tcPr>
            <w:tcW w:w="0" w:type="auto"/>
            <w:tcBorders>
              <w:top w:val="nil"/>
              <w:left w:val="nil"/>
              <w:bottom w:val="nil"/>
              <w:right w:val="nil"/>
            </w:tcBorders>
            <w:shd w:val="clear" w:color="000000" w:fill="FFFFFF"/>
            <w:noWrap/>
            <w:vAlign w:val="center"/>
            <w:hideMark/>
          </w:tcPr>
          <w:p w14:paraId="2A7600F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1.1</w:t>
            </w:r>
          </w:p>
        </w:tc>
        <w:tc>
          <w:tcPr>
            <w:tcW w:w="0" w:type="auto"/>
            <w:tcBorders>
              <w:top w:val="nil"/>
              <w:left w:val="nil"/>
              <w:bottom w:val="nil"/>
              <w:right w:val="single" w:sz="4" w:space="0" w:color="auto"/>
            </w:tcBorders>
            <w:shd w:val="clear" w:color="000000" w:fill="FFFFFF"/>
            <w:noWrap/>
            <w:vAlign w:val="center"/>
            <w:hideMark/>
          </w:tcPr>
          <w:p w14:paraId="0C0F406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78.8</w:t>
            </w:r>
          </w:p>
        </w:tc>
      </w:tr>
      <w:tr w:rsidR="00D24603" w:rsidRPr="00F13CA0" w14:paraId="2F310923"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71BC7FE5"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C12</w:t>
            </w:r>
          </w:p>
        </w:tc>
        <w:tc>
          <w:tcPr>
            <w:tcW w:w="0" w:type="auto"/>
            <w:tcBorders>
              <w:top w:val="nil"/>
              <w:left w:val="nil"/>
              <w:bottom w:val="nil"/>
              <w:right w:val="nil"/>
            </w:tcBorders>
            <w:shd w:val="clear" w:color="000000" w:fill="FFFFFF"/>
            <w:noWrap/>
            <w:vAlign w:val="center"/>
            <w:hideMark/>
          </w:tcPr>
          <w:p w14:paraId="6783560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3.5</w:t>
            </w:r>
          </w:p>
        </w:tc>
        <w:tc>
          <w:tcPr>
            <w:tcW w:w="0" w:type="auto"/>
            <w:tcBorders>
              <w:top w:val="nil"/>
              <w:left w:val="nil"/>
              <w:bottom w:val="nil"/>
              <w:right w:val="nil"/>
            </w:tcBorders>
            <w:shd w:val="clear" w:color="000000" w:fill="FFFFFF"/>
            <w:noWrap/>
            <w:vAlign w:val="center"/>
            <w:hideMark/>
          </w:tcPr>
          <w:p w14:paraId="3488ECE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107.2</w:t>
            </w:r>
          </w:p>
        </w:tc>
        <w:tc>
          <w:tcPr>
            <w:tcW w:w="0" w:type="auto"/>
            <w:tcBorders>
              <w:top w:val="nil"/>
              <w:left w:val="nil"/>
              <w:bottom w:val="nil"/>
              <w:right w:val="nil"/>
            </w:tcBorders>
            <w:shd w:val="clear" w:color="000000" w:fill="FFFFFF"/>
            <w:noWrap/>
            <w:vAlign w:val="center"/>
            <w:hideMark/>
          </w:tcPr>
          <w:p w14:paraId="03F4BB3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218.7</w:t>
            </w:r>
          </w:p>
        </w:tc>
        <w:tc>
          <w:tcPr>
            <w:tcW w:w="0" w:type="auto"/>
            <w:tcBorders>
              <w:top w:val="nil"/>
              <w:left w:val="nil"/>
              <w:bottom w:val="nil"/>
              <w:right w:val="nil"/>
            </w:tcBorders>
            <w:shd w:val="clear" w:color="000000" w:fill="FFFFFF"/>
            <w:noWrap/>
            <w:vAlign w:val="center"/>
            <w:hideMark/>
          </w:tcPr>
          <w:p w14:paraId="5EBE5B3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63.3</w:t>
            </w:r>
          </w:p>
        </w:tc>
        <w:tc>
          <w:tcPr>
            <w:tcW w:w="0" w:type="auto"/>
            <w:tcBorders>
              <w:top w:val="nil"/>
              <w:left w:val="nil"/>
              <w:bottom w:val="nil"/>
              <w:right w:val="nil"/>
            </w:tcBorders>
            <w:shd w:val="clear" w:color="000000" w:fill="FFFFFF"/>
            <w:noWrap/>
            <w:vAlign w:val="center"/>
            <w:hideMark/>
          </w:tcPr>
          <w:p w14:paraId="47BEE01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35.0</w:t>
            </w:r>
          </w:p>
        </w:tc>
        <w:tc>
          <w:tcPr>
            <w:tcW w:w="0" w:type="auto"/>
            <w:tcBorders>
              <w:top w:val="nil"/>
              <w:left w:val="nil"/>
              <w:bottom w:val="nil"/>
              <w:right w:val="nil"/>
            </w:tcBorders>
            <w:shd w:val="clear" w:color="000000" w:fill="FFFFFF"/>
            <w:noWrap/>
            <w:vAlign w:val="center"/>
            <w:hideMark/>
          </w:tcPr>
          <w:p w14:paraId="00A8B82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370.4</w:t>
            </w:r>
          </w:p>
        </w:tc>
        <w:tc>
          <w:tcPr>
            <w:tcW w:w="0" w:type="auto"/>
            <w:tcBorders>
              <w:top w:val="nil"/>
              <w:left w:val="nil"/>
              <w:bottom w:val="nil"/>
              <w:right w:val="nil"/>
            </w:tcBorders>
            <w:shd w:val="clear" w:color="000000" w:fill="FFFFFF"/>
            <w:noWrap/>
            <w:vAlign w:val="center"/>
            <w:hideMark/>
          </w:tcPr>
          <w:p w14:paraId="63ACFD5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9.5</w:t>
            </w:r>
          </w:p>
        </w:tc>
        <w:tc>
          <w:tcPr>
            <w:tcW w:w="0" w:type="auto"/>
            <w:tcBorders>
              <w:top w:val="nil"/>
              <w:left w:val="nil"/>
              <w:bottom w:val="nil"/>
              <w:right w:val="single" w:sz="4" w:space="0" w:color="auto"/>
            </w:tcBorders>
            <w:shd w:val="clear" w:color="000000" w:fill="FFFFFF"/>
            <w:noWrap/>
            <w:vAlign w:val="center"/>
            <w:hideMark/>
          </w:tcPr>
          <w:p w14:paraId="7E80D32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807.7</w:t>
            </w:r>
          </w:p>
        </w:tc>
      </w:tr>
      <w:tr w:rsidR="00D24603" w:rsidRPr="00F13CA0" w14:paraId="3DABCE4A"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07383D5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C13</w:t>
            </w:r>
          </w:p>
        </w:tc>
        <w:tc>
          <w:tcPr>
            <w:tcW w:w="0" w:type="auto"/>
            <w:tcBorders>
              <w:top w:val="nil"/>
              <w:left w:val="nil"/>
              <w:bottom w:val="nil"/>
              <w:right w:val="nil"/>
            </w:tcBorders>
            <w:shd w:val="clear" w:color="000000" w:fill="FFFFFF"/>
            <w:noWrap/>
            <w:vAlign w:val="center"/>
            <w:hideMark/>
          </w:tcPr>
          <w:p w14:paraId="1395D9D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9.2</w:t>
            </w:r>
          </w:p>
        </w:tc>
        <w:tc>
          <w:tcPr>
            <w:tcW w:w="0" w:type="auto"/>
            <w:tcBorders>
              <w:top w:val="nil"/>
              <w:left w:val="nil"/>
              <w:bottom w:val="nil"/>
              <w:right w:val="nil"/>
            </w:tcBorders>
            <w:shd w:val="clear" w:color="000000" w:fill="FFFFFF"/>
            <w:noWrap/>
            <w:vAlign w:val="center"/>
            <w:hideMark/>
          </w:tcPr>
          <w:p w14:paraId="76D3FA6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280.1</w:t>
            </w:r>
          </w:p>
        </w:tc>
        <w:tc>
          <w:tcPr>
            <w:tcW w:w="0" w:type="auto"/>
            <w:tcBorders>
              <w:top w:val="nil"/>
              <w:left w:val="nil"/>
              <w:bottom w:val="nil"/>
              <w:right w:val="nil"/>
            </w:tcBorders>
            <w:shd w:val="clear" w:color="000000" w:fill="FFFFFF"/>
            <w:noWrap/>
            <w:vAlign w:val="center"/>
            <w:hideMark/>
          </w:tcPr>
          <w:p w14:paraId="3D39482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684.3</w:t>
            </w:r>
          </w:p>
        </w:tc>
        <w:tc>
          <w:tcPr>
            <w:tcW w:w="0" w:type="auto"/>
            <w:tcBorders>
              <w:top w:val="nil"/>
              <w:left w:val="nil"/>
              <w:bottom w:val="nil"/>
              <w:right w:val="nil"/>
            </w:tcBorders>
            <w:shd w:val="clear" w:color="000000" w:fill="FFFFFF"/>
            <w:noWrap/>
            <w:vAlign w:val="center"/>
            <w:hideMark/>
          </w:tcPr>
          <w:p w14:paraId="5993111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203.5</w:t>
            </w:r>
          </w:p>
        </w:tc>
        <w:tc>
          <w:tcPr>
            <w:tcW w:w="0" w:type="auto"/>
            <w:tcBorders>
              <w:top w:val="nil"/>
              <w:left w:val="nil"/>
              <w:bottom w:val="nil"/>
              <w:right w:val="nil"/>
            </w:tcBorders>
            <w:shd w:val="clear" w:color="000000" w:fill="FFFFFF"/>
            <w:noWrap/>
            <w:vAlign w:val="center"/>
            <w:hideMark/>
          </w:tcPr>
          <w:p w14:paraId="7A04376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92.2</w:t>
            </w:r>
          </w:p>
        </w:tc>
        <w:tc>
          <w:tcPr>
            <w:tcW w:w="0" w:type="auto"/>
            <w:tcBorders>
              <w:top w:val="nil"/>
              <w:left w:val="nil"/>
              <w:bottom w:val="nil"/>
              <w:right w:val="nil"/>
            </w:tcBorders>
            <w:shd w:val="clear" w:color="000000" w:fill="FFFFFF"/>
            <w:noWrap/>
            <w:vAlign w:val="center"/>
            <w:hideMark/>
          </w:tcPr>
          <w:p w14:paraId="0ECF9C7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1143.9</w:t>
            </w:r>
          </w:p>
        </w:tc>
        <w:tc>
          <w:tcPr>
            <w:tcW w:w="0" w:type="auto"/>
            <w:tcBorders>
              <w:top w:val="nil"/>
              <w:left w:val="nil"/>
              <w:bottom w:val="nil"/>
              <w:right w:val="nil"/>
            </w:tcBorders>
            <w:shd w:val="clear" w:color="000000" w:fill="FFFFFF"/>
            <w:noWrap/>
            <w:vAlign w:val="center"/>
            <w:hideMark/>
          </w:tcPr>
          <w:p w14:paraId="4DB2D79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40.6</w:t>
            </w:r>
          </w:p>
        </w:tc>
        <w:tc>
          <w:tcPr>
            <w:tcW w:w="0" w:type="auto"/>
            <w:tcBorders>
              <w:top w:val="nil"/>
              <w:left w:val="nil"/>
              <w:bottom w:val="nil"/>
              <w:right w:val="single" w:sz="4" w:space="0" w:color="auto"/>
            </w:tcBorders>
            <w:shd w:val="clear" w:color="000000" w:fill="FFFFFF"/>
            <w:noWrap/>
            <w:vAlign w:val="center"/>
            <w:hideMark/>
          </w:tcPr>
          <w:p w14:paraId="6105FC45"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2453.8</w:t>
            </w:r>
          </w:p>
        </w:tc>
      </w:tr>
      <w:tr w:rsidR="00D24603" w:rsidRPr="00F13CA0" w14:paraId="765B5464"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0315C3F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C14</w:t>
            </w:r>
          </w:p>
        </w:tc>
        <w:tc>
          <w:tcPr>
            <w:tcW w:w="0" w:type="auto"/>
            <w:tcBorders>
              <w:top w:val="nil"/>
              <w:left w:val="nil"/>
              <w:bottom w:val="nil"/>
              <w:right w:val="nil"/>
            </w:tcBorders>
            <w:shd w:val="clear" w:color="000000" w:fill="FFFFFF"/>
            <w:noWrap/>
            <w:vAlign w:val="center"/>
            <w:hideMark/>
          </w:tcPr>
          <w:p w14:paraId="750B1DA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1.5</w:t>
            </w:r>
          </w:p>
        </w:tc>
        <w:tc>
          <w:tcPr>
            <w:tcW w:w="0" w:type="auto"/>
            <w:tcBorders>
              <w:top w:val="nil"/>
              <w:left w:val="nil"/>
              <w:bottom w:val="nil"/>
              <w:right w:val="nil"/>
            </w:tcBorders>
            <w:shd w:val="clear" w:color="000000" w:fill="FFFFFF"/>
            <w:noWrap/>
            <w:vAlign w:val="center"/>
            <w:hideMark/>
          </w:tcPr>
          <w:p w14:paraId="467DDB2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18.5</w:t>
            </w:r>
          </w:p>
        </w:tc>
        <w:tc>
          <w:tcPr>
            <w:tcW w:w="0" w:type="auto"/>
            <w:tcBorders>
              <w:top w:val="nil"/>
              <w:left w:val="nil"/>
              <w:bottom w:val="nil"/>
              <w:right w:val="nil"/>
            </w:tcBorders>
            <w:shd w:val="clear" w:color="000000" w:fill="FFFFFF"/>
            <w:noWrap/>
            <w:vAlign w:val="center"/>
            <w:hideMark/>
          </w:tcPr>
          <w:p w14:paraId="654E24C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64.4</w:t>
            </w:r>
          </w:p>
        </w:tc>
        <w:tc>
          <w:tcPr>
            <w:tcW w:w="0" w:type="auto"/>
            <w:tcBorders>
              <w:top w:val="nil"/>
              <w:left w:val="nil"/>
              <w:bottom w:val="nil"/>
              <w:right w:val="nil"/>
            </w:tcBorders>
            <w:shd w:val="clear" w:color="000000" w:fill="FFFFFF"/>
            <w:noWrap/>
            <w:vAlign w:val="center"/>
            <w:hideMark/>
          </w:tcPr>
          <w:p w14:paraId="01E6324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13.9</w:t>
            </w:r>
          </w:p>
        </w:tc>
        <w:tc>
          <w:tcPr>
            <w:tcW w:w="0" w:type="auto"/>
            <w:tcBorders>
              <w:top w:val="nil"/>
              <w:left w:val="nil"/>
              <w:bottom w:val="nil"/>
              <w:right w:val="nil"/>
            </w:tcBorders>
            <w:shd w:val="clear" w:color="000000" w:fill="FFFFFF"/>
            <w:noWrap/>
            <w:vAlign w:val="center"/>
            <w:hideMark/>
          </w:tcPr>
          <w:p w14:paraId="7722850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13.0</w:t>
            </w:r>
          </w:p>
        </w:tc>
        <w:tc>
          <w:tcPr>
            <w:tcW w:w="0" w:type="auto"/>
            <w:tcBorders>
              <w:top w:val="nil"/>
              <w:left w:val="nil"/>
              <w:bottom w:val="nil"/>
              <w:right w:val="nil"/>
            </w:tcBorders>
            <w:shd w:val="clear" w:color="000000" w:fill="FFFFFF"/>
            <w:noWrap/>
            <w:vAlign w:val="center"/>
            <w:hideMark/>
          </w:tcPr>
          <w:p w14:paraId="0257790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149.0</w:t>
            </w:r>
          </w:p>
        </w:tc>
        <w:tc>
          <w:tcPr>
            <w:tcW w:w="0" w:type="auto"/>
            <w:tcBorders>
              <w:top w:val="nil"/>
              <w:left w:val="nil"/>
              <w:bottom w:val="nil"/>
              <w:right w:val="nil"/>
            </w:tcBorders>
            <w:shd w:val="clear" w:color="000000" w:fill="FFFFFF"/>
            <w:noWrap/>
            <w:vAlign w:val="center"/>
            <w:hideMark/>
          </w:tcPr>
          <w:p w14:paraId="70CBC82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4.9</w:t>
            </w:r>
          </w:p>
        </w:tc>
        <w:tc>
          <w:tcPr>
            <w:tcW w:w="0" w:type="auto"/>
            <w:tcBorders>
              <w:top w:val="nil"/>
              <w:left w:val="nil"/>
              <w:bottom w:val="nil"/>
              <w:right w:val="single" w:sz="4" w:space="0" w:color="auto"/>
            </w:tcBorders>
            <w:shd w:val="clear" w:color="000000" w:fill="FFFFFF"/>
            <w:noWrap/>
            <w:vAlign w:val="center"/>
            <w:hideMark/>
          </w:tcPr>
          <w:p w14:paraId="54CA779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265.3</w:t>
            </w:r>
          </w:p>
        </w:tc>
      </w:tr>
      <w:tr w:rsidR="00D24603" w:rsidRPr="00F13CA0" w14:paraId="5161DD81"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28C16D6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C15</w:t>
            </w:r>
          </w:p>
        </w:tc>
        <w:tc>
          <w:tcPr>
            <w:tcW w:w="0" w:type="auto"/>
            <w:tcBorders>
              <w:top w:val="nil"/>
              <w:left w:val="nil"/>
              <w:bottom w:val="nil"/>
              <w:right w:val="nil"/>
            </w:tcBorders>
            <w:shd w:val="clear" w:color="000000" w:fill="FFFFFF"/>
            <w:noWrap/>
            <w:vAlign w:val="center"/>
            <w:hideMark/>
          </w:tcPr>
          <w:p w14:paraId="1F8FB40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0.4</w:t>
            </w:r>
          </w:p>
        </w:tc>
        <w:tc>
          <w:tcPr>
            <w:tcW w:w="0" w:type="auto"/>
            <w:tcBorders>
              <w:top w:val="nil"/>
              <w:left w:val="nil"/>
              <w:bottom w:val="nil"/>
              <w:right w:val="nil"/>
            </w:tcBorders>
            <w:shd w:val="clear" w:color="000000" w:fill="FFFFFF"/>
            <w:noWrap/>
            <w:vAlign w:val="center"/>
            <w:hideMark/>
          </w:tcPr>
          <w:p w14:paraId="66FB658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3.5</w:t>
            </w:r>
          </w:p>
        </w:tc>
        <w:tc>
          <w:tcPr>
            <w:tcW w:w="0" w:type="auto"/>
            <w:tcBorders>
              <w:top w:val="nil"/>
              <w:left w:val="nil"/>
              <w:bottom w:val="nil"/>
              <w:right w:val="nil"/>
            </w:tcBorders>
            <w:shd w:val="clear" w:color="000000" w:fill="FFFFFF"/>
            <w:noWrap/>
            <w:vAlign w:val="center"/>
            <w:hideMark/>
          </w:tcPr>
          <w:p w14:paraId="55731A8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30.0</w:t>
            </w:r>
          </w:p>
        </w:tc>
        <w:tc>
          <w:tcPr>
            <w:tcW w:w="0" w:type="auto"/>
            <w:tcBorders>
              <w:top w:val="nil"/>
              <w:left w:val="nil"/>
              <w:bottom w:val="nil"/>
              <w:right w:val="nil"/>
            </w:tcBorders>
            <w:shd w:val="clear" w:color="000000" w:fill="FFFFFF"/>
            <w:noWrap/>
            <w:vAlign w:val="center"/>
            <w:hideMark/>
          </w:tcPr>
          <w:p w14:paraId="3BCE6EA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9.4</w:t>
            </w:r>
          </w:p>
        </w:tc>
        <w:tc>
          <w:tcPr>
            <w:tcW w:w="0" w:type="auto"/>
            <w:tcBorders>
              <w:top w:val="nil"/>
              <w:left w:val="nil"/>
              <w:bottom w:val="nil"/>
              <w:right w:val="nil"/>
            </w:tcBorders>
            <w:shd w:val="clear" w:color="000000" w:fill="FFFFFF"/>
            <w:noWrap/>
            <w:vAlign w:val="center"/>
            <w:hideMark/>
          </w:tcPr>
          <w:p w14:paraId="79772DC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7.5</w:t>
            </w:r>
          </w:p>
        </w:tc>
        <w:tc>
          <w:tcPr>
            <w:tcW w:w="0" w:type="auto"/>
            <w:tcBorders>
              <w:top w:val="nil"/>
              <w:left w:val="nil"/>
              <w:bottom w:val="nil"/>
              <w:right w:val="nil"/>
            </w:tcBorders>
            <w:shd w:val="clear" w:color="000000" w:fill="FFFFFF"/>
            <w:noWrap/>
            <w:vAlign w:val="center"/>
            <w:hideMark/>
          </w:tcPr>
          <w:p w14:paraId="6C23AE2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123.4</w:t>
            </w:r>
          </w:p>
        </w:tc>
        <w:tc>
          <w:tcPr>
            <w:tcW w:w="0" w:type="auto"/>
            <w:tcBorders>
              <w:top w:val="nil"/>
              <w:left w:val="nil"/>
              <w:bottom w:val="nil"/>
              <w:right w:val="nil"/>
            </w:tcBorders>
            <w:shd w:val="clear" w:color="000000" w:fill="FFFFFF"/>
            <w:noWrap/>
            <w:vAlign w:val="center"/>
            <w:hideMark/>
          </w:tcPr>
          <w:p w14:paraId="2FDC7152"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1.9</w:t>
            </w:r>
          </w:p>
        </w:tc>
        <w:tc>
          <w:tcPr>
            <w:tcW w:w="0" w:type="auto"/>
            <w:tcBorders>
              <w:top w:val="nil"/>
              <w:left w:val="nil"/>
              <w:bottom w:val="nil"/>
              <w:right w:val="single" w:sz="4" w:space="0" w:color="auto"/>
            </w:tcBorders>
            <w:shd w:val="clear" w:color="000000" w:fill="FFFFFF"/>
            <w:noWrap/>
            <w:vAlign w:val="center"/>
            <w:hideMark/>
          </w:tcPr>
          <w:p w14:paraId="36F4335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176.2</w:t>
            </w:r>
          </w:p>
        </w:tc>
      </w:tr>
      <w:tr w:rsidR="00D24603" w:rsidRPr="00F13CA0" w14:paraId="52722D1E"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327B7C5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C16</w:t>
            </w:r>
          </w:p>
        </w:tc>
        <w:tc>
          <w:tcPr>
            <w:tcW w:w="0" w:type="auto"/>
            <w:tcBorders>
              <w:top w:val="nil"/>
              <w:left w:val="nil"/>
              <w:bottom w:val="nil"/>
              <w:right w:val="nil"/>
            </w:tcBorders>
            <w:shd w:val="clear" w:color="000000" w:fill="FFFFFF"/>
            <w:noWrap/>
            <w:vAlign w:val="center"/>
            <w:hideMark/>
          </w:tcPr>
          <w:p w14:paraId="465E3E0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0.3</w:t>
            </w:r>
          </w:p>
        </w:tc>
        <w:tc>
          <w:tcPr>
            <w:tcW w:w="0" w:type="auto"/>
            <w:tcBorders>
              <w:top w:val="nil"/>
              <w:left w:val="nil"/>
              <w:bottom w:val="nil"/>
              <w:right w:val="nil"/>
            </w:tcBorders>
            <w:shd w:val="clear" w:color="000000" w:fill="FFFFFF"/>
            <w:noWrap/>
            <w:vAlign w:val="center"/>
            <w:hideMark/>
          </w:tcPr>
          <w:p w14:paraId="287F126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6.8</w:t>
            </w:r>
          </w:p>
        </w:tc>
        <w:tc>
          <w:tcPr>
            <w:tcW w:w="0" w:type="auto"/>
            <w:tcBorders>
              <w:top w:val="nil"/>
              <w:left w:val="nil"/>
              <w:bottom w:val="nil"/>
              <w:right w:val="nil"/>
            </w:tcBorders>
            <w:shd w:val="clear" w:color="000000" w:fill="FFFFFF"/>
            <w:noWrap/>
            <w:vAlign w:val="center"/>
            <w:hideMark/>
          </w:tcPr>
          <w:p w14:paraId="2DF29EB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24.1</w:t>
            </w:r>
          </w:p>
        </w:tc>
        <w:tc>
          <w:tcPr>
            <w:tcW w:w="0" w:type="auto"/>
            <w:tcBorders>
              <w:top w:val="nil"/>
              <w:left w:val="nil"/>
              <w:bottom w:val="nil"/>
              <w:right w:val="nil"/>
            </w:tcBorders>
            <w:shd w:val="clear" w:color="000000" w:fill="FFFFFF"/>
            <w:noWrap/>
            <w:vAlign w:val="center"/>
            <w:hideMark/>
          </w:tcPr>
          <w:p w14:paraId="4FBE9D8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7.3</w:t>
            </w:r>
          </w:p>
        </w:tc>
        <w:tc>
          <w:tcPr>
            <w:tcW w:w="0" w:type="auto"/>
            <w:tcBorders>
              <w:top w:val="nil"/>
              <w:left w:val="nil"/>
              <w:bottom w:val="nil"/>
              <w:right w:val="nil"/>
            </w:tcBorders>
            <w:shd w:val="clear" w:color="000000" w:fill="FFFFFF"/>
            <w:noWrap/>
            <w:vAlign w:val="center"/>
            <w:hideMark/>
          </w:tcPr>
          <w:p w14:paraId="5EAE2AD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5.9</w:t>
            </w:r>
          </w:p>
        </w:tc>
        <w:tc>
          <w:tcPr>
            <w:tcW w:w="0" w:type="auto"/>
            <w:tcBorders>
              <w:top w:val="nil"/>
              <w:left w:val="nil"/>
              <w:bottom w:val="nil"/>
              <w:right w:val="nil"/>
            </w:tcBorders>
            <w:shd w:val="clear" w:color="000000" w:fill="FFFFFF"/>
            <w:noWrap/>
            <w:vAlign w:val="center"/>
            <w:hideMark/>
          </w:tcPr>
          <w:p w14:paraId="5AAE826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74.3</w:t>
            </w:r>
          </w:p>
        </w:tc>
        <w:tc>
          <w:tcPr>
            <w:tcW w:w="0" w:type="auto"/>
            <w:tcBorders>
              <w:top w:val="nil"/>
              <w:left w:val="nil"/>
              <w:bottom w:val="nil"/>
              <w:right w:val="nil"/>
            </w:tcBorders>
            <w:shd w:val="clear" w:color="000000" w:fill="FFFFFF"/>
            <w:noWrap/>
            <w:vAlign w:val="center"/>
            <w:hideMark/>
          </w:tcPr>
          <w:p w14:paraId="73CD6C6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1.2</w:t>
            </w:r>
          </w:p>
        </w:tc>
        <w:tc>
          <w:tcPr>
            <w:tcW w:w="0" w:type="auto"/>
            <w:tcBorders>
              <w:top w:val="nil"/>
              <w:left w:val="nil"/>
              <w:bottom w:val="nil"/>
              <w:right w:val="single" w:sz="4" w:space="0" w:color="auto"/>
            </w:tcBorders>
            <w:shd w:val="clear" w:color="000000" w:fill="FFFFFF"/>
            <w:noWrap/>
            <w:vAlign w:val="center"/>
            <w:hideMark/>
          </w:tcPr>
          <w:p w14:paraId="2AC4941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120.0</w:t>
            </w:r>
          </w:p>
        </w:tc>
      </w:tr>
      <w:tr w:rsidR="00D24603" w:rsidRPr="00F13CA0" w14:paraId="5B0BF2E0"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0139ADE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C17</w:t>
            </w:r>
          </w:p>
        </w:tc>
        <w:tc>
          <w:tcPr>
            <w:tcW w:w="0" w:type="auto"/>
            <w:tcBorders>
              <w:top w:val="nil"/>
              <w:left w:val="nil"/>
              <w:bottom w:val="nil"/>
              <w:right w:val="nil"/>
            </w:tcBorders>
            <w:shd w:val="clear" w:color="000000" w:fill="FFFFFF"/>
            <w:noWrap/>
            <w:vAlign w:val="center"/>
            <w:hideMark/>
          </w:tcPr>
          <w:p w14:paraId="1CD1D7E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w:t>
            </w:r>
          </w:p>
        </w:tc>
        <w:tc>
          <w:tcPr>
            <w:tcW w:w="0" w:type="auto"/>
            <w:tcBorders>
              <w:top w:val="nil"/>
              <w:left w:val="nil"/>
              <w:bottom w:val="nil"/>
              <w:right w:val="nil"/>
            </w:tcBorders>
            <w:shd w:val="clear" w:color="000000" w:fill="FFFFFF"/>
            <w:noWrap/>
            <w:vAlign w:val="center"/>
            <w:hideMark/>
          </w:tcPr>
          <w:p w14:paraId="39558AD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18.4</w:t>
            </w:r>
          </w:p>
        </w:tc>
        <w:tc>
          <w:tcPr>
            <w:tcW w:w="0" w:type="auto"/>
            <w:tcBorders>
              <w:top w:val="nil"/>
              <w:left w:val="nil"/>
              <w:bottom w:val="nil"/>
              <w:right w:val="nil"/>
            </w:tcBorders>
            <w:shd w:val="clear" w:color="000000" w:fill="FFFFFF"/>
            <w:noWrap/>
            <w:vAlign w:val="center"/>
            <w:hideMark/>
          </w:tcPr>
          <w:p w14:paraId="21BC6D7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55.8</w:t>
            </w:r>
          </w:p>
        </w:tc>
        <w:tc>
          <w:tcPr>
            <w:tcW w:w="0" w:type="auto"/>
            <w:tcBorders>
              <w:top w:val="nil"/>
              <w:left w:val="nil"/>
              <w:bottom w:val="nil"/>
              <w:right w:val="nil"/>
            </w:tcBorders>
            <w:shd w:val="clear" w:color="000000" w:fill="FFFFFF"/>
            <w:noWrap/>
            <w:vAlign w:val="center"/>
            <w:hideMark/>
          </w:tcPr>
          <w:p w14:paraId="54BFC95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24.3</w:t>
            </w:r>
          </w:p>
        </w:tc>
        <w:tc>
          <w:tcPr>
            <w:tcW w:w="0" w:type="auto"/>
            <w:tcBorders>
              <w:top w:val="nil"/>
              <w:left w:val="nil"/>
              <w:bottom w:val="nil"/>
              <w:right w:val="nil"/>
            </w:tcBorders>
            <w:shd w:val="clear" w:color="000000" w:fill="FFFFFF"/>
            <w:noWrap/>
            <w:vAlign w:val="center"/>
            <w:hideMark/>
          </w:tcPr>
          <w:p w14:paraId="5C9CE6E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17.8</w:t>
            </w:r>
          </w:p>
        </w:tc>
        <w:tc>
          <w:tcPr>
            <w:tcW w:w="0" w:type="auto"/>
            <w:tcBorders>
              <w:top w:val="nil"/>
              <w:left w:val="nil"/>
              <w:bottom w:val="nil"/>
              <w:right w:val="nil"/>
            </w:tcBorders>
            <w:shd w:val="clear" w:color="000000" w:fill="FFFFFF"/>
            <w:noWrap/>
            <w:vAlign w:val="center"/>
            <w:hideMark/>
          </w:tcPr>
          <w:p w14:paraId="0A52F7E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236.0</w:t>
            </w:r>
          </w:p>
        </w:tc>
        <w:tc>
          <w:tcPr>
            <w:tcW w:w="0" w:type="auto"/>
            <w:tcBorders>
              <w:top w:val="nil"/>
              <w:left w:val="nil"/>
              <w:bottom w:val="nil"/>
              <w:right w:val="nil"/>
            </w:tcBorders>
            <w:shd w:val="clear" w:color="000000" w:fill="FFFFFF"/>
            <w:noWrap/>
            <w:vAlign w:val="center"/>
            <w:hideMark/>
          </w:tcPr>
          <w:p w14:paraId="2BFCED1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3.6</w:t>
            </w:r>
          </w:p>
        </w:tc>
        <w:tc>
          <w:tcPr>
            <w:tcW w:w="0" w:type="auto"/>
            <w:tcBorders>
              <w:top w:val="nil"/>
              <w:left w:val="nil"/>
              <w:bottom w:val="nil"/>
              <w:right w:val="single" w:sz="4" w:space="0" w:color="auto"/>
            </w:tcBorders>
            <w:shd w:val="clear" w:color="000000" w:fill="FFFFFF"/>
            <w:noWrap/>
            <w:vAlign w:val="center"/>
            <w:hideMark/>
          </w:tcPr>
          <w:p w14:paraId="211FC66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357.2</w:t>
            </w:r>
          </w:p>
        </w:tc>
      </w:tr>
      <w:tr w:rsidR="00D24603" w:rsidRPr="00F13CA0" w14:paraId="102EDF49"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74716CD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C18</w:t>
            </w:r>
          </w:p>
        </w:tc>
        <w:tc>
          <w:tcPr>
            <w:tcW w:w="0" w:type="auto"/>
            <w:tcBorders>
              <w:top w:val="nil"/>
              <w:left w:val="nil"/>
              <w:bottom w:val="nil"/>
              <w:right w:val="nil"/>
            </w:tcBorders>
            <w:shd w:val="clear" w:color="000000" w:fill="FFFFFF"/>
            <w:noWrap/>
            <w:vAlign w:val="center"/>
            <w:hideMark/>
          </w:tcPr>
          <w:p w14:paraId="3E6867E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0.2</w:t>
            </w:r>
          </w:p>
        </w:tc>
        <w:tc>
          <w:tcPr>
            <w:tcW w:w="0" w:type="auto"/>
            <w:tcBorders>
              <w:top w:val="nil"/>
              <w:left w:val="nil"/>
              <w:bottom w:val="nil"/>
              <w:right w:val="nil"/>
            </w:tcBorders>
            <w:shd w:val="clear" w:color="000000" w:fill="FFFFFF"/>
            <w:noWrap/>
            <w:vAlign w:val="center"/>
            <w:hideMark/>
          </w:tcPr>
          <w:p w14:paraId="46675BB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15.6</w:t>
            </w:r>
          </w:p>
        </w:tc>
        <w:tc>
          <w:tcPr>
            <w:tcW w:w="0" w:type="auto"/>
            <w:tcBorders>
              <w:top w:val="nil"/>
              <w:left w:val="nil"/>
              <w:bottom w:val="nil"/>
              <w:right w:val="nil"/>
            </w:tcBorders>
            <w:shd w:val="clear" w:color="000000" w:fill="FFFFFF"/>
            <w:noWrap/>
            <w:vAlign w:val="center"/>
            <w:hideMark/>
          </w:tcPr>
          <w:p w14:paraId="06356D6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33.1</w:t>
            </w:r>
          </w:p>
        </w:tc>
        <w:tc>
          <w:tcPr>
            <w:tcW w:w="0" w:type="auto"/>
            <w:tcBorders>
              <w:top w:val="nil"/>
              <w:left w:val="nil"/>
              <w:bottom w:val="nil"/>
              <w:right w:val="nil"/>
            </w:tcBorders>
            <w:shd w:val="clear" w:color="000000" w:fill="FFFFFF"/>
            <w:noWrap/>
            <w:vAlign w:val="center"/>
            <w:hideMark/>
          </w:tcPr>
          <w:p w14:paraId="4AB36CB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14.8</w:t>
            </w:r>
          </w:p>
        </w:tc>
        <w:tc>
          <w:tcPr>
            <w:tcW w:w="0" w:type="auto"/>
            <w:tcBorders>
              <w:top w:val="nil"/>
              <w:left w:val="nil"/>
              <w:bottom w:val="nil"/>
              <w:right w:val="nil"/>
            </w:tcBorders>
            <w:shd w:val="clear" w:color="000000" w:fill="FFFFFF"/>
            <w:noWrap/>
            <w:vAlign w:val="center"/>
            <w:hideMark/>
          </w:tcPr>
          <w:p w14:paraId="605EE0A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4.2</w:t>
            </w:r>
          </w:p>
        </w:tc>
        <w:tc>
          <w:tcPr>
            <w:tcW w:w="0" w:type="auto"/>
            <w:tcBorders>
              <w:top w:val="nil"/>
              <w:left w:val="nil"/>
              <w:bottom w:val="nil"/>
              <w:right w:val="nil"/>
            </w:tcBorders>
            <w:shd w:val="clear" w:color="000000" w:fill="FFFFFF"/>
            <w:noWrap/>
            <w:vAlign w:val="center"/>
            <w:hideMark/>
          </w:tcPr>
          <w:p w14:paraId="32DD52A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61.0</w:t>
            </w:r>
          </w:p>
        </w:tc>
        <w:tc>
          <w:tcPr>
            <w:tcW w:w="0" w:type="auto"/>
            <w:tcBorders>
              <w:top w:val="nil"/>
              <w:left w:val="nil"/>
              <w:bottom w:val="nil"/>
              <w:right w:val="nil"/>
            </w:tcBorders>
            <w:shd w:val="clear" w:color="000000" w:fill="FFFFFF"/>
            <w:noWrap/>
            <w:vAlign w:val="center"/>
            <w:hideMark/>
          </w:tcPr>
          <w:p w14:paraId="6FB82D9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1.9</w:t>
            </w:r>
          </w:p>
        </w:tc>
        <w:tc>
          <w:tcPr>
            <w:tcW w:w="0" w:type="auto"/>
            <w:tcBorders>
              <w:top w:val="nil"/>
              <w:left w:val="nil"/>
              <w:bottom w:val="nil"/>
              <w:right w:val="single" w:sz="4" w:space="0" w:color="auto"/>
            </w:tcBorders>
            <w:shd w:val="clear" w:color="000000" w:fill="FFFFFF"/>
            <w:noWrap/>
            <w:vAlign w:val="center"/>
            <w:hideMark/>
          </w:tcPr>
          <w:p w14:paraId="07BA467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130.7</w:t>
            </w:r>
          </w:p>
        </w:tc>
      </w:tr>
      <w:tr w:rsidR="00D24603" w:rsidRPr="00F13CA0" w14:paraId="573B267E"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7138BDF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C19</w:t>
            </w:r>
          </w:p>
        </w:tc>
        <w:tc>
          <w:tcPr>
            <w:tcW w:w="0" w:type="auto"/>
            <w:tcBorders>
              <w:top w:val="nil"/>
              <w:left w:val="nil"/>
              <w:bottom w:val="nil"/>
              <w:right w:val="nil"/>
            </w:tcBorders>
            <w:shd w:val="clear" w:color="000000" w:fill="FFFFFF"/>
            <w:noWrap/>
            <w:vAlign w:val="center"/>
            <w:hideMark/>
          </w:tcPr>
          <w:p w14:paraId="28DDCE9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0.6</w:t>
            </w:r>
          </w:p>
        </w:tc>
        <w:tc>
          <w:tcPr>
            <w:tcW w:w="0" w:type="auto"/>
            <w:tcBorders>
              <w:top w:val="nil"/>
              <w:left w:val="nil"/>
              <w:bottom w:val="nil"/>
              <w:right w:val="nil"/>
            </w:tcBorders>
            <w:shd w:val="clear" w:color="000000" w:fill="FFFFFF"/>
            <w:noWrap/>
            <w:vAlign w:val="center"/>
            <w:hideMark/>
          </w:tcPr>
          <w:p w14:paraId="604BEA9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8.8</w:t>
            </w:r>
          </w:p>
        </w:tc>
        <w:tc>
          <w:tcPr>
            <w:tcW w:w="0" w:type="auto"/>
            <w:tcBorders>
              <w:top w:val="nil"/>
              <w:left w:val="nil"/>
              <w:bottom w:val="nil"/>
              <w:right w:val="nil"/>
            </w:tcBorders>
            <w:shd w:val="clear" w:color="000000" w:fill="FFFFFF"/>
            <w:noWrap/>
            <w:vAlign w:val="center"/>
            <w:hideMark/>
          </w:tcPr>
          <w:p w14:paraId="5B73C4B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41.1</w:t>
            </w:r>
          </w:p>
        </w:tc>
        <w:tc>
          <w:tcPr>
            <w:tcW w:w="0" w:type="auto"/>
            <w:tcBorders>
              <w:top w:val="nil"/>
              <w:left w:val="nil"/>
              <w:bottom w:val="nil"/>
              <w:right w:val="nil"/>
            </w:tcBorders>
            <w:shd w:val="clear" w:color="000000" w:fill="FFFFFF"/>
            <w:noWrap/>
            <w:vAlign w:val="center"/>
            <w:hideMark/>
          </w:tcPr>
          <w:p w14:paraId="034DEE0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12.1</w:t>
            </w:r>
          </w:p>
        </w:tc>
        <w:tc>
          <w:tcPr>
            <w:tcW w:w="0" w:type="auto"/>
            <w:tcBorders>
              <w:top w:val="nil"/>
              <w:left w:val="nil"/>
              <w:bottom w:val="nil"/>
              <w:right w:val="nil"/>
            </w:tcBorders>
            <w:shd w:val="clear" w:color="000000" w:fill="FFFFFF"/>
            <w:noWrap/>
            <w:vAlign w:val="center"/>
            <w:hideMark/>
          </w:tcPr>
          <w:p w14:paraId="5FB25F8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13.0</w:t>
            </w:r>
          </w:p>
        </w:tc>
        <w:tc>
          <w:tcPr>
            <w:tcW w:w="0" w:type="auto"/>
            <w:tcBorders>
              <w:top w:val="nil"/>
              <w:left w:val="nil"/>
              <w:bottom w:val="nil"/>
              <w:right w:val="nil"/>
            </w:tcBorders>
            <w:shd w:val="clear" w:color="000000" w:fill="FFFFFF"/>
            <w:noWrap/>
            <w:vAlign w:val="center"/>
            <w:hideMark/>
          </w:tcPr>
          <w:p w14:paraId="5908CDF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113.1</w:t>
            </w:r>
          </w:p>
        </w:tc>
        <w:tc>
          <w:tcPr>
            <w:tcW w:w="0" w:type="auto"/>
            <w:tcBorders>
              <w:top w:val="nil"/>
              <w:left w:val="nil"/>
              <w:bottom w:val="nil"/>
              <w:right w:val="nil"/>
            </w:tcBorders>
            <w:shd w:val="clear" w:color="000000" w:fill="FFFFFF"/>
            <w:noWrap/>
            <w:vAlign w:val="center"/>
            <w:hideMark/>
          </w:tcPr>
          <w:p w14:paraId="41D14AA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2.2</w:t>
            </w:r>
          </w:p>
        </w:tc>
        <w:tc>
          <w:tcPr>
            <w:tcW w:w="0" w:type="auto"/>
            <w:tcBorders>
              <w:top w:val="nil"/>
              <w:left w:val="nil"/>
              <w:bottom w:val="nil"/>
              <w:right w:val="single" w:sz="4" w:space="0" w:color="auto"/>
            </w:tcBorders>
            <w:shd w:val="clear" w:color="000000" w:fill="FFFFFF"/>
            <w:noWrap/>
            <w:vAlign w:val="center"/>
            <w:hideMark/>
          </w:tcPr>
          <w:p w14:paraId="1528BF2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190.8</w:t>
            </w:r>
          </w:p>
        </w:tc>
      </w:tr>
      <w:tr w:rsidR="00D24603" w:rsidRPr="00F13CA0" w14:paraId="16B4B6F3"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1340A75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C20</w:t>
            </w:r>
          </w:p>
        </w:tc>
        <w:tc>
          <w:tcPr>
            <w:tcW w:w="0" w:type="auto"/>
            <w:tcBorders>
              <w:top w:val="nil"/>
              <w:left w:val="nil"/>
              <w:bottom w:val="nil"/>
              <w:right w:val="nil"/>
            </w:tcBorders>
            <w:shd w:val="clear" w:color="000000" w:fill="FFFFFF"/>
            <w:noWrap/>
            <w:vAlign w:val="center"/>
            <w:hideMark/>
          </w:tcPr>
          <w:p w14:paraId="32614A5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2.4</w:t>
            </w:r>
          </w:p>
        </w:tc>
        <w:tc>
          <w:tcPr>
            <w:tcW w:w="0" w:type="auto"/>
            <w:tcBorders>
              <w:top w:val="nil"/>
              <w:left w:val="nil"/>
              <w:bottom w:val="nil"/>
              <w:right w:val="nil"/>
            </w:tcBorders>
            <w:shd w:val="clear" w:color="000000" w:fill="FFFFFF"/>
            <w:noWrap/>
            <w:vAlign w:val="center"/>
            <w:hideMark/>
          </w:tcPr>
          <w:p w14:paraId="596EB8B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43.2</w:t>
            </w:r>
          </w:p>
        </w:tc>
        <w:tc>
          <w:tcPr>
            <w:tcW w:w="0" w:type="auto"/>
            <w:tcBorders>
              <w:top w:val="nil"/>
              <w:left w:val="nil"/>
              <w:bottom w:val="nil"/>
              <w:right w:val="nil"/>
            </w:tcBorders>
            <w:shd w:val="clear" w:color="000000" w:fill="FFFFFF"/>
            <w:noWrap/>
            <w:vAlign w:val="center"/>
            <w:hideMark/>
          </w:tcPr>
          <w:p w14:paraId="07B1F42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126.8</w:t>
            </w:r>
          </w:p>
        </w:tc>
        <w:tc>
          <w:tcPr>
            <w:tcW w:w="0" w:type="auto"/>
            <w:tcBorders>
              <w:top w:val="nil"/>
              <w:left w:val="nil"/>
              <w:bottom w:val="nil"/>
              <w:right w:val="nil"/>
            </w:tcBorders>
            <w:shd w:val="clear" w:color="000000" w:fill="FFFFFF"/>
            <w:noWrap/>
            <w:vAlign w:val="center"/>
            <w:hideMark/>
          </w:tcPr>
          <w:p w14:paraId="50F0D05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59.8</w:t>
            </w:r>
          </w:p>
        </w:tc>
        <w:tc>
          <w:tcPr>
            <w:tcW w:w="0" w:type="auto"/>
            <w:tcBorders>
              <w:top w:val="nil"/>
              <w:left w:val="nil"/>
              <w:bottom w:val="nil"/>
              <w:right w:val="nil"/>
            </w:tcBorders>
            <w:shd w:val="clear" w:color="000000" w:fill="FFFFFF"/>
            <w:noWrap/>
            <w:vAlign w:val="center"/>
            <w:hideMark/>
          </w:tcPr>
          <w:p w14:paraId="4176693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48.4</w:t>
            </w:r>
          </w:p>
        </w:tc>
        <w:tc>
          <w:tcPr>
            <w:tcW w:w="0" w:type="auto"/>
            <w:tcBorders>
              <w:top w:val="nil"/>
              <w:left w:val="nil"/>
              <w:bottom w:val="nil"/>
              <w:right w:val="nil"/>
            </w:tcBorders>
            <w:shd w:val="clear" w:color="000000" w:fill="FFFFFF"/>
            <w:noWrap/>
            <w:vAlign w:val="center"/>
            <w:hideMark/>
          </w:tcPr>
          <w:p w14:paraId="76AF05E5"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471.2</w:t>
            </w:r>
          </w:p>
        </w:tc>
        <w:tc>
          <w:tcPr>
            <w:tcW w:w="0" w:type="auto"/>
            <w:tcBorders>
              <w:top w:val="nil"/>
              <w:left w:val="nil"/>
              <w:bottom w:val="nil"/>
              <w:right w:val="nil"/>
            </w:tcBorders>
            <w:shd w:val="clear" w:color="000000" w:fill="FFFFFF"/>
            <w:noWrap/>
            <w:vAlign w:val="center"/>
            <w:hideMark/>
          </w:tcPr>
          <w:p w14:paraId="338214C2"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6.8</w:t>
            </w:r>
          </w:p>
        </w:tc>
        <w:tc>
          <w:tcPr>
            <w:tcW w:w="0" w:type="auto"/>
            <w:tcBorders>
              <w:top w:val="nil"/>
              <w:left w:val="nil"/>
              <w:bottom w:val="nil"/>
              <w:right w:val="single" w:sz="4" w:space="0" w:color="auto"/>
            </w:tcBorders>
            <w:shd w:val="clear" w:color="000000" w:fill="FFFFFF"/>
            <w:noWrap/>
            <w:vAlign w:val="center"/>
            <w:hideMark/>
          </w:tcPr>
          <w:p w14:paraId="206325F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758.7</w:t>
            </w:r>
          </w:p>
        </w:tc>
      </w:tr>
      <w:tr w:rsidR="00D24603" w:rsidRPr="00F13CA0" w14:paraId="26436C47"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2DDB349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C21</w:t>
            </w:r>
          </w:p>
        </w:tc>
        <w:tc>
          <w:tcPr>
            <w:tcW w:w="0" w:type="auto"/>
            <w:tcBorders>
              <w:top w:val="nil"/>
              <w:left w:val="nil"/>
              <w:bottom w:val="nil"/>
              <w:right w:val="nil"/>
            </w:tcBorders>
            <w:shd w:val="clear" w:color="000000" w:fill="FFFFFF"/>
            <w:noWrap/>
            <w:vAlign w:val="center"/>
            <w:hideMark/>
          </w:tcPr>
          <w:p w14:paraId="4D7C393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0.6</w:t>
            </w:r>
          </w:p>
        </w:tc>
        <w:tc>
          <w:tcPr>
            <w:tcW w:w="0" w:type="auto"/>
            <w:tcBorders>
              <w:top w:val="nil"/>
              <w:left w:val="nil"/>
              <w:bottom w:val="nil"/>
              <w:right w:val="nil"/>
            </w:tcBorders>
            <w:shd w:val="clear" w:color="000000" w:fill="FFFFFF"/>
            <w:noWrap/>
            <w:vAlign w:val="center"/>
            <w:hideMark/>
          </w:tcPr>
          <w:p w14:paraId="31AB3EE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14.4</w:t>
            </w:r>
          </w:p>
        </w:tc>
        <w:tc>
          <w:tcPr>
            <w:tcW w:w="0" w:type="auto"/>
            <w:tcBorders>
              <w:top w:val="nil"/>
              <w:left w:val="nil"/>
              <w:bottom w:val="nil"/>
              <w:right w:val="nil"/>
            </w:tcBorders>
            <w:shd w:val="clear" w:color="000000" w:fill="FFFFFF"/>
            <w:noWrap/>
            <w:vAlign w:val="center"/>
            <w:hideMark/>
          </w:tcPr>
          <w:p w14:paraId="11991AE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31.2</w:t>
            </w:r>
          </w:p>
        </w:tc>
        <w:tc>
          <w:tcPr>
            <w:tcW w:w="0" w:type="auto"/>
            <w:tcBorders>
              <w:top w:val="nil"/>
              <w:left w:val="nil"/>
              <w:bottom w:val="nil"/>
              <w:right w:val="nil"/>
            </w:tcBorders>
            <w:shd w:val="clear" w:color="000000" w:fill="FFFFFF"/>
            <w:noWrap/>
            <w:vAlign w:val="center"/>
            <w:hideMark/>
          </w:tcPr>
          <w:p w14:paraId="39A9FAD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21.9</w:t>
            </w:r>
          </w:p>
        </w:tc>
        <w:tc>
          <w:tcPr>
            <w:tcW w:w="0" w:type="auto"/>
            <w:tcBorders>
              <w:top w:val="nil"/>
              <w:left w:val="nil"/>
              <w:bottom w:val="nil"/>
              <w:right w:val="nil"/>
            </w:tcBorders>
            <w:shd w:val="clear" w:color="000000" w:fill="FFFFFF"/>
            <w:noWrap/>
            <w:vAlign w:val="center"/>
            <w:hideMark/>
          </w:tcPr>
          <w:p w14:paraId="4908EBA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9.1</w:t>
            </w:r>
          </w:p>
        </w:tc>
        <w:tc>
          <w:tcPr>
            <w:tcW w:w="0" w:type="auto"/>
            <w:tcBorders>
              <w:top w:val="nil"/>
              <w:left w:val="nil"/>
              <w:bottom w:val="nil"/>
              <w:right w:val="nil"/>
            </w:tcBorders>
            <w:shd w:val="clear" w:color="000000" w:fill="FFFFFF"/>
            <w:noWrap/>
            <w:vAlign w:val="center"/>
            <w:hideMark/>
          </w:tcPr>
          <w:p w14:paraId="76459F4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118.1</w:t>
            </w:r>
          </w:p>
        </w:tc>
        <w:tc>
          <w:tcPr>
            <w:tcW w:w="0" w:type="auto"/>
            <w:tcBorders>
              <w:top w:val="nil"/>
              <w:left w:val="nil"/>
              <w:bottom w:val="nil"/>
              <w:right w:val="nil"/>
            </w:tcBorders>
            <w:shd w:val="clear" w:color="000000" w:fill="FFFFFF"/>
            <w:noWrap/>
            <w:vAlign w:val="center"/>
            <w:hideMark/>
          </w:tcPr>
          <w:p w14:paraId="67FBCA9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2.6</w:t>
            </w:r>
          </w:p>
        </w:tc>
        <w:tc>
          <w:tcPr>
            <w:tcW w:w="0" w:type="auto"/>
            <w:tcBorders>
              <w:top w:val="nil"/>
              <w:left w:val="nil"/>
              <w:bottom w:val="nil"/>
              <w:right w:val="single" w:sz="4" w:space="0" w:color="auto"/>
            </w:tcBorders>
            <w:shd w:val="clear" w:color="000000" w:fill="FFFFFF"/>
            <w:noWrap/>
            <w:vAlign w:val="center"/>
            <w:hideMark/>
          </w:tcPr>
          <w:p w14:paraId="4199043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198.1</w:t>
            </w:r>
          </w:p>
        </w:tc>
      </w:tr>
      <w:tr w:rsidR="00D24603" w:rsidRPr="00F13CA0" w14:paraId="57545A33"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039D9F6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C22</w:t>
            </w:r>
          </w:p>
        </w:tc>
        <w:tc>
          <w:tcPr>
            <w:tcW w:w="0" w:type="auto"/>
            <w:tcBorders>
              <w:top w:val="nil"/>
              <w:left w:val="nil"/>
              <w:bottom w:val="nil"/>
              <w:right w:val="nil"/>
            </w:tcBorders>
            <w:shd w:val="clear" w:color="000000" w:fill="FFFFFF"/>
            <w:noWrap/>
            <w:vAlign w:val="center"/>
            <w:hideMark/>
          </w:tcPr>
          <w:p w14:paraId="50F93AC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0.8</w:t>
            </w:r>
          </w:p>
        </w:tc>
        <w:tc>
          <w:tcPr>
            <w:tcW w:w="0" w:type="auto"/>
            <w:tcBorders>
              <w:top w:val="nil"/>
              <w:left w:val="nil"/>
              <w:bottom w:val="nil"/>
              <w:right w:val="nil"/>
            </w:tcBorders>
            <w:shd w:val="clear" w:color="000000" w:fill="FFFFFF"/>
            <w:noWrap/>
            <w:vAlign w:val="center"/>
            <w:hideMark/>
          </w:tcPr>
          <w:p w14:paraId="0451215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11.5</w:t>
            </w:r>
          </w:p>
        </w:tc>
        <w:tc>
          <w:tcPr>
            <w:tcW w:w="0" w:type="auto"/>
            <w:tcBorders>
              <w:top w:val="nil"/>
              <w:left w:val="nil"/>
              <w:bottom w:val="nil"/>
              <w:right w:val="nil"/>
            </w:tcBorders>
            <w:shd w:val="clear" w:color="000000" w:fill="FFFFFF"/>
            <w:noWrap/>
            <w:vAlign w:val="center"/>
            <w:hideMark/>
          </w:tcPr>
          <w:p w14:paraId="3778C4C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31.1</w:t>
            </w:r>
          </w:p>
        </w:tc>
        <w:tc>
          <w:tcPr>
            <w:tcW w:w="0" w:type="auto"/>
            <w:tcBorders>
              <w:top w:val="nil"/>
              <w:left w:val="nil"/>
              <w:bottom w:val="nil"/>
              <w:right w:val="nil"/>
            </w:tcBorders>
            <w:shd w:val="clear" w:color="000000" w:fill="FFFFFF"/>
            <w:noWrap/>
            <w:vAlign w:val="center"/>
            <w:hideMark/>
          </w:tcPr>
          <w:p w14:paraId="2F2296C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16.0</w:t>
            </w:r>
          </w:p>
        </w:tc>
        <w:tc>
          <w:tcPr>
            <w:tcW w:w="0" w:type="auto"/>
            <w:tcBorders>
              <w:top w:val="nil"/>
              <w:left w:val="nil"/>
              <w:bottom w:val="nil"/>
              <w:right w:val="nil"/>
            </w:tcBorders>
            <w:shd w:val="clear" w:color="000000" w:fill="FFFFFF"/>
            <w:noWrap/>
            <w:vAlign w:val="center"/>
            <w:hideMark/>
          </w:tcPr>
          <w:p w14:paraId="5D004EB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12.7</w:t>
            </w:r>
          </w:p>
        </w:tc>
        <w:tc>
          <w:tcPr>
            <w:tcW w:w="0" w:type="auto"/>
            <w:tcBorders>
              <w:top w:val="nil"/>
              <w:left w:val="nil"/>
              <w:bottom w:val="nil"/>
              <w:right w:val="nil"/>
            </w:tcBorders>
            <w:shd w:val="clear" w:color="000000" w:fill="FFFFFF"/>
            <w:noWrap/>
            <w:vAlign w:val="center"/>
            <w:hideMark/>
          </w:tcPr>
          <w:p w14:paraId="6FD9130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130.3</w:t>
            </w:r>
          </w:p>
        </w:tc>
        <w:tc>
          <w:tcPr>
            <w:tcW w:w="0" w:type="auto"/>
            <w:tcBorders>
              <w:top w:val="nil"/>
              <w:left w:val="nil"/>
              <w:bottom w:val="nil"/>
              <w:right w:val="nil"/>
            </w:tcBorders>
            <w:shd w:val="clear" w:color="000000" w:fill="FFFFFF"/>
            <w:noWrap/>
            <w:vAlign w:val="center"/>
            <w:hideMark/>
          </w:tcPr>
          <w:p w14:paraId="75BAFA9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1.8</w:t>
            </w:r>
          </w:p>
        </w:tc>
        <w:tc>
          <w:tcPr>
            <w:tcW w:w="0" w:type="auto"/>
            <w:tcBorders>
              <w:top w:val="nil"/>
              <w:left w:val="nil"/>
              <w:bottom w:val="nil"/>
              <w:right w:val="single" w:sz="4" w:space="0" w:color="auto"/>
            </w:tcBorders>
            <w:shd w:val="clear" w:color="000000" w:fill="FFFFFF"/>
            <w:noWrap/>
            <w:vAlign w:val="center"/>
            <w:hideMark/>
          </w:tcPr>
          <w:p w14:paraId="212D063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204.1</w:t>
            </w:r>
          </w:p>
        </w:tc>
      </w:tr>
      <w:tr w:rsidR="00D24603" w:rsidRPr="00F13CA0" w14:paraId="65B8D5A3"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5A1537C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C23</w:t>
            </w:r>
          </w:p>
        </w:tc>
        <w:tc>
          <w:tcPr>
            <w:tcW w:w="0" w:type="auto"/>
            <w:tcBorders>
              <w:top w:val="nil"/>
              <w:left w:val="nil"/>
              <w:bottom w:val="nil"/>
              <w:right w:val="nil"/>
            </w:tcBorders>
            <w:shd w:val="clear" w:color="000000" w:fill="FFFFFF"/>
            <w:noWrap/>
            <w:vAlign w:val="center"/>
            <w:hideMark/>
          </w:tcPr>
          <w:p w14:paraId="7B09EB0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1.0</w:t>
            </w:r>
          </w:p>
        </w:tc>
        <w:tc>
          <w:tcPr>
            <w:tcW w:w="0" w:type="auto"/>
            <w:tcBorders>
              <w:top w:val="nil"/>
              <w:left w:val="nil"/>
              <w:bottom w:val="nil"/>
              <w:right w:val="nil"/>
            </w:tcBorders>
            <w:shd w:val="clear" w:color="000000" w:fill="FFFFFF"/>
            <w:noWrap/>
            <w:vAlign w:val="center"/>
            <w:hideMark/>
          </w:tcPr>
          <w:p w14:paraId="4689DFD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18.6</w:t>
            </w:r>
          </w:p>
        </w:tc>
        <w:tc>
          <w:tcPr>
            <w:tcW w:w="0" w:type="auto"/>
            <w:tcBorders>
              <w:top w:val="nil"/>
              <w:left w:val="nil"/>
              <w:bottom w:val="nil"/>
              <w:right w:val="nil"/>
            </w:tcBorders>
            <w:shd w:val="clear" w:color="000000" w:fill="FFFFFF"/>
            <w:noWrap/>
            <w:vAlign w:val="center"/>
            <w:hideMark/>
          </w:tcPr>
          <w:p w14:paraId="325DA18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47.7</w:t>
            </w:r>
          </w:p>
        </w:tc>
        <w:tc>
          <w:tcPr>
            <w:tcW w:w="0" w:type="auto"/>
            <w:tcBorders>
              <w:top w:val="nil"/>
              <w:left w:val="nil"/>
              <w:bottom w:val="nil"/>
              <w:right w:val="nil"/>
            </w:tcBorders>
            <w:shd w:val="clear" w:color="000000" w:fill="FFFFFF"/>
            <w:noWrap/>
            <w:vAlign w:val="center"/>
            <w:hideMark/>
          </w:tcPr>
          <w:p w14:paraId="4D09E6F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21.6</w:t>
            </w:r>
          </w:p>
        </w:tc>
        <w:tc>
          <w:tcPr>
            <w:tcW w:w="0" w:type="auto"/>
            <w:tcBorders>
              <w:top w:val="nil"/>
              <w:left w:val="nil"/>
              <w:bottom w:val="nil"/>
              <w:right w:val="nil"/>
            </w:tcBorders>
            <w:shd w:val="clear" w:color="000000" w:fill="FFFFFF"/>
            <w:noWrap/>
            <w:vAlign w:val="center"/>
            <w:hideMark/>
          </w:tcPr>
          <w:p w14:paraId="0FEEA3C5"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6.9</w:t>
            </w:r>
          </w:p>
        </w:tc>
        <w:tc>
          <w:tcPr>
            <w:tcW w:w="0" w:type="auto"/>
            <w:tcBorders>
              <w:top w:val="nil"/>
              <w:left w:val="nil"/>
              <w:bottom w:val="nil"/>
              <w:right w:val="nil"/>
            </w:tcBorders>
            <w:shd w:val="clear" w:color="000000" w:fill="FFFFFF"/>
            <w:noWrap/>
            <w:vAlign w:val="center"/>
            <w:hideMark/>
          </w:tcPr>
          <w:p w14:paraId="510D70B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267.5</w:t>
            </w:r>
          </w:p>
        </w:tc>
        <w:tc>
          <w:tcPr>
            <w:tcW w:w="0" w:type="auto"/>
            <w:tcBorders>
              <w:top w:val="nil"/>
              <w:left w:val="nil"/>
              <w:bottom w:val="nil"/>
              <w:right w:val="nil"/>
            </w:tcBorders>
            <w:shd w:val="clear" w:color="000000" w:fill="FFFFFF"/>
            <w:noWrap/>
            <w:vAlign w:val="center"/>
            <w:hideMark/>
          </w:tcPr>
          <w:p w14:paraId="0BAA0682"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4.1</w:t>
            </w:r>
          </w:p>
        </w:tc>
        <w:tc>
          <w:tcPr>
            <w:tcW w:w="0" w:type="auto"/>
            <w:tcBorders>
              <w:top w:val="nil"/>
              <w:left w:val="nil"/>
              <w:bottom w:val="nil"/>
              <w:right w:val="single" w:sz="4" w:space="0" w:color="auto"/>
            </w:tcBorders>
            <w:shd w:val="clear" w:color="000000" w:fill="FFFFFF"/>
            <w:noWrap/>
            <w:vAlign w:val="center"/>
            <w:hideMark/>
          </w:tcPr>
          <w:p w14:paraId="14C85D8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367.5</w:t>
            </w:r>
          </w:p>
        </w:tc>
      </w:tr>
      <w:tr w:rsidR="00D24603" w:rsidRPr="00F13CA0" w14:paraId="4F4340C7"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7EE8C6FF"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C24</w:t>
            </w:r>
          </w:p>
        </w:tc>
        <w:tc>
          <w:tcPr>
            <w:tcW w:w="0" w:type="auto"/>
            <w:tcBorders>
              <w:top w:val="nil"/>
              <w:left w:val="nil"/>
              <w:bottom w:val="nil"/>
              <w:right w:val="nil"/>
            </w:tcBorders>
            <w:shd w:val="clear" w:color="000000" w:fill="FFFFFF"/>
            <w:noWrap/>
            <w:vAlign w:val="center"/>
            <w:hideMark/>
          </w:tcPr>
          <w:p w14:paraId="43271D5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0.6</w:t>
            </w:r>
          </w:p>
        </w:tc>
        <w:tc>
          <w:tcPr>
            <w:tcW w:w="0" w:type="auto"/>
            <w:tcBorders>
              <w:top w:val="nil"/>
              <w:left w:val="nil"/>
              <w:bottom w:val="nil"/>
              <w:right w:val="nil"/>
            </w:tcBorders>
            <w:shd w:val="clear" w:color="000000" w:fill="FFFFFF"/>
            <w:noWrap/>
            <w:vAlign w:val="center"/>
            <w:hideMark/>
          </w:tcPr>
          <w:p w14:paraId="4E9DAAC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10.4</w:t>
            </w:r>
          </w:p>
        </w:tc>
        <w:tc>
          <w:tcPr>
            <w:tcW w:w="0" w:type="auto"/>
            <w:tcBorders>
              <w:top w:val="nil"/>
              <w:left w:val="nil"/>
              <w:bottom w:val="nil"/>
              <w:right w:val="nil"/>
            </w:tcBorders>
            <w:shd w:val="clear" w:color="000000" w:fill="FFFFFF"/>
            <w:noWrap/>
            <w:vAlign w:val="center"/>
            <w:hideMark/>
          </w:tcPr>
          <w:p w14:paraId="11ADB77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37.8</w:t>
            </w:r>
          </w:p>
        </w:tc>
        <w:tc>
          <w:tcPr>
            <w:tcW w:w="0" w:type="auto"/>
            <w:tcBorders>
              <w:top w:val="nil"/>
              <w:left w:val="nil"/>
              <w:bottom w:val="nil"/>
              <w:right w:val="nil"/>
            </w:tcBorders>
            <w:shd w:val="clear" w:color="000000" w:fill="FFFFFF"/>
            <w:noWrap/>
            <w:vAlign w:val="center"/>
            <w:hideMark/>
          </w:tcPr>
          <w:p w14:paraId="5065016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15.1</w:t>
            </w:r>
          </w:p>
        </w:tc>
        <w:tc>
          <w:tcPr>
            <w:tcW w:w="0" w:type="auto"/>
            <w:tcBorders>
              <w:top w:val="nil"/>
              <w:left w:val="nil"/>
              <w:bottom w:val="nil"/>
              <w:right w:val="nil"/>
            </w:tcBorders>
            <w:shd w:val="clear" w:color="000000" w:fill="FFFFFF"/>
            <w:noWrap/>
            <w:vAlign w:val="center"/>
            <w:hideMark/>
          </w:tcPr>
          <w:p w14:paraId="4DF4128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14.1</w:t>
            </w:r>
          </w:p>
        </w:tc>
        <w:tc>
          <w:tcPr>
            <w:tcW w:w="0" w:type="auto"/>
            <w:tcBorders>
              <w:top w:val="nil"/>
              <w:left w:val="nil"/>
              <w:bottom w:val="nil"/>
              <w:right w:val="nil"/>
            </w:tcBorders>
            <w:shd w:val="clear" w:color="000000" w:fill="FFFFFF"/>
            <w:noWrap/>
            <w:vAlign w:val="center"/>
            <w:hideMark/>
          </w:tcPr>
          <w:p w14:paraId="2777A8C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169.5</w:t>
            </w:r>
          </w:p>
        </w:tc>
        <w:tc>
          <w:tcPr>
            <w:tcW w:w="0" w:type="auto"/>
            <w:tcBorders>
              <w:top w:val="nil"/>
              <w:left w:val="nil"/>
              <w:bottom w:val="nil"/>
              <w:right w:val="nil"/>
            </w:tcBorders>
            <w:shd w:val="clear" w:color="000000" w:fill="FFFFFF"/>
            <w:noWrap/>
            <w:vAlign w:val="center"/>
            <w:hideMark/>
          </w:tcPr>
          <w:p w14:paraId="349284B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2.5</w:t>
            </w:r>
          </w:p>
        </w:tc>
        <w:tc>
          <w:tcPr>
            <w:tcW w:w="0" w:type="auto"/>
            <w:tcBorders>
              <w:top w:val="nil"/>
              <w:left w:val="nil"/>
              <w:bottom w:val="nil"/>
              <w:right w:val="single" w:sz="4" w:space="0" w:color="auto"/>
            </w:tcBorders>
            <w:shd w:val="clear" w:color="000000" w:fill="FFFFFF"/>
            <w:noWrap/>
            <w:vAlign w:val="center"/>
            <w:hideMark/>
          </w:tcPr>
          <w:p w14:paraId="73F9BFE2"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250.0</w:t>
            </w:r>
          </w:p>
        </w:tc>
      </w:tr>
      <w:tr w:rsidR="00D24603" w:rsidRPr="00F13CA0" w14:paraId="27336EF1" w14:textId="77777777" w:rsidTr="00435936">
        <w:trPr>
          <w:trHeight w:val="292"/>
        </w:trPr>
        <w:tc>
          <w:tcPr>
            <w:tcW w:w="0" w:type="auto"/>
            <w:tcBorders>
              <w:top w:val="nil"/>
              <w:left w:val="single" w:sz="4" w:space="0" w:color="auto"/>
              <w:right w:val="single" w:sz="4" w:space="0" w:color="auto"/>
            </w:tcBorders>
            <w:shd w:val="clear" w:color="000000" w:fill="FFFFFF"/>
            <w:noWrap/>
            <w:vAlign w:val="center"/>
            <w:hideMark/>
          </w:tcPr>
          <w:p w14:paraId="6218FFE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C25</w:t>
            </w:r>
          </w:p>
        </w:tc>
        <w:tc>
          <w:tcPr>
            <w:tcW w:w="0" w:type="auto"/>
            <w:tcBorders>
              <w:top w:val="nil"/>
              <w:left w:val="nil"/>
              <w:right w:val="nil"/>
            </w:tcBorders>
            <w:shd w:val="clear" w:color="000000" w:fill="FFFFFF"/>
            <w:noWrap/>
            <w:vAlign w:val="center"/>
            <w:hideMark/>
          </w:tcPr>
          <w:p w14:paraId="741E83E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0.8</w:t>
            </w:r>
          </w:p>
        </w:tc>
        <w:tc>
          <w:tcPr>
            <w:tcW w:w="0" w:type="auto"/>
            <w:tcBorders>
              <w:top w:val="nil"/>
              <w:left w:val="nil"/>
              <w:right w:val="nil"/>
            </w:tcBorders>
            <w:shd w:val="clear" w:color="000000" w:fill="FFFFFF"/>
            <w:noWrap/>
            <w:vAlign w:val="center"/>
            <w:hideMark/>
          </w:tcPr>
          <w:p w14:paraId="51B640B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13.2</w:t>
            </w:r>
          </w:p>
        </w:tc>
        <w:tc>
          <w:tcPr>
            <w:tcW w:w="0" w:type="auto"/>
            <w:tcBorders>
              <w:top w:val="nil"/>
              <w:left w:val="nil"/>
              <w:right w:val="nil"/>
            </w:tcBorders>
            <w:shd w:val="clear" w:color="000000" w:fill="FFFFFF"/>
            <w:noWrap/>
            <w:vAlign w:val="center"/>
            <w:hideMark/>
          </w:tcPr>
          <w:p w14:paraId="57DD1DD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40.5</w:t>
            </w:r>
          </w:p>
        </w:tc>
        <w:tc>
          <w:tcPr>
            <w:tcW w:w="0" w:type="auto"/>
            <w:tcBorders>
              <w:top w:val="nil"/>
              <w:left w:val="nil"/>
              <w:right w:val="nil"/>
            </w:tcBorders>
            <w:shd w:val="clear" w:color="000000" w:fill="FFFFFF"/>
            <w:noWrap/>
            <w:vAlign w:val="center"/>
            <w:hideMark/>
          </w:tcPr>
          <w:p w14:paraId="58CFBDB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35.4</w:t>
            </w:r>
          </w:p>
        </w:tc>
        <w:tc>
          <w:tcPr>
            <w:tcW w:w="0" w:type="auto"/>
            <w:tcBorders>
              <w:top w:val="nil"/>
              <w:left w:val="nil"/>
              <w:right w:val="nil"/>
            </w:tcBorders>
            <w:shd w:val="clear" w:color="000000" w:fill="FFFFFF"/>
            <w:noWrap/>
            <w:vAlign w:val="center"/>
            <w:hideMark/>
          </w:tcPr>
          <w:p w14:paraId="34AEF1A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16.7</w:t>
            </w:r>
          </w:p>
        </w:tc>
        <w:tc>
          <w:tcPr>
            <w:tcW w:w="0" w:type="auto"/>
            <w:tcBorders>
              <w:top w:val="nil"/>
              <w:left w:val="nil"/>
              <w:right w:val="nil"/>
            </w:tcBorders>
            <w:shd w:val="clear" w:color="000000" w:fill="FFFFFF"/>
            <w:noWrap/>
            <w:vAlign w:val="center"/>
            <w:hideMark/>
          </w:tcPr>
          <w:p w14:paraId="367A308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230.0</w:t>
            </w:r>
          </w:p>
        </w:tc>
        <w:tc>
          <w:tcPr>
            <w:tcW w:w="0" w:type="auto"/>
            <w:tcBorders>
              <w:top w:val="nil"/>
              <w:left w:val="nil"/>
              <w:right w:val="nil"/>
            </w:tcBorders>
            <w:shd w:val="clear" w:color="000000" w:fill="FFFFFF"/>
            <w:noWrap/>
            <w:vAlign w:val="center"/>
            <w:hideMark/>
          </w:tcPr>
          <w:p w14:paraId="08A5354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4.1</w:t>
            </w:r>
          </w:p>
        </w:tc>
        <w:tc>
          <w:tcPr>
            <w:tcW w:w="0" w:type="auto"/>
            <w:tcBorders>
              <w:top w:val="nil"/>
              <w:left w:val="nil"/>
              <w:right w:val="single" w:sz="4" w:space="0" w:color="auto"/>
            </w:tcBorders>
            <w:shd w:val="clear" w:color="000000" w:fill="FFFFFF"/>
            <w:noWrap/>
            <w:vAlign w:val="center"/>
            <w:hideMark/>
          </w:tcPr>
          <w:p w14:paraId="44F9335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340.7</w:t>
            </w:r>
          </w:p>
        </w:tc>
      </w:tr>
      <w:tr w:rsidR="00D24603" w:rsidRPr="00F13CA0" w14:paraId="6B8CB2E2" w14:textId="77777777" w:rsidTr="00435936">
        <w:trPr>
          <w:trHeight w:val="292"/>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B33E15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C26</w:t>
            </w:r>
          </w:p>
        </w:tc>
        <w:tc>
          <w:tcPr>
            <w:tcW w:w="0" w:type="auto"/>
            <w:tcBorders>
              <w:top w:val="nil"/>
              <w:left w:val="nil"/>
              <w:bottom w:val="single" w:sz="4" w:space="0" w:color="auto"/>
              <w:right w:val="nil"/>
            </w:tcBorders>
            <w:shd w:val="clear" w:color="000000" w:fill="FFFFFF"/>
            <w:noWrap/>
            <w:vAlign w:val="center"/>
            <w:hideMark/>
          </w:tcPr>
          <w:p w14:paraId="10581BD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0.6</w:t>
            </w:r>
          </w:p>
        </w:tc>
        <w:tc>
          <w:tcPr>
            <w:tcW w:w="0" w:type="auto"/>
            <w:tcBorders>
              <w:top w:val="nil"/>
              <w:left w:val="nil"/>
              <w:bottom w:val="single" w:sz="4" w:space="0" w:color="auto"/>
              <w:right w:val="nil"/>
            </w:tcBorders>
            <w:shd w:val="clear" w:color="000000" w:fill="FFFFFF"/>
            <w:noWrap/>
            <w:vAlign w:val="center"/>
            <w:hideMark/>
          </w:tcPr>
          <w:p w14:paraId="1F302C12"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13.3</w:t>
            </w:r>
          </w:p>
        </w:tc>
        <w:tc>
          <w:tcPr>
            <w:tcW w:w="0" w:type="auto"/>
            <w:tcBorders>
              <w:top w:val="nil"/>
              <w:left w:val="nil"/>
              <w:bottom w:val="single" w:sz="4" w:space="0" w:color="auto"/>
              <w:right w:val="nil"/>
            </w:tcBorders>
            <w:shd w:val="clear" w:color="000000" w:fill="FFFFFF"/>
            <w:noWrap/>
            <w:vAlign w:val="center"/>
            <w:hideMark/>
          </w:tcPr>
          <w:p w14:paraId="16176DC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34.1</w:t>
            </w:r>
          </w:p>
        </w:tc>
        <w:tc>
          <w:tcPr>
            <w:tcW w:w="0" w:type="auto"/>
            <w:tcBorders>
              <w:top w:val="nil"/>
              <w:left w:val="nil"/>
              <w:bottom w:val="single" w:sz="4" w:space="0" w:color="auto"/>
              <w:right w:val="nil"/>
            </w:tcBorders>
            <w:shd w:val="clear" w:color="000000" w:fill="FFFFFF"/>
            <w:noWrap/>
            <w:vAlign w:val="center"/>
            <w:hideMark/>
          </w:tcPr>
          <w:p w14:paraId="1BDB50D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24.8</w:t>
            </w:r>
          </w:p>
        </w:tc>
        <w:tc>
          <w:tcPr>
            <w:tcW w:w="0" w:type="auto"/>
            <w:tcBorders>
              <w:top w:val="nil"/>
              <w:left w:val="nil"/>
              <w:bottom w:val="single" w:sz="4" w:space="0" w:color="auto"/>
              <w:right w:val="nil"/>
            </w:tcBorders>
            <w:shd w:val="clear" w:color="000000" w:fill="FFFFFF"/>
            <w:noWrap/>
            <w:vAlign w:val="center"/>
            <w:hideMark/>
          </w:tcPr>
          <w:p w14:paraId="47B866D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14.4</w:t>
            </w:r>
          </w:p>
        </w:tc>
        <w:tc>
          <w:tcPr>
            <w:tcW w:w="0" w:type="auto"/>
            <w:tcBorders>
              <w:top w:val="nil"/>
              <w:left w:val="nil"/>
              <w:bottom w:val="single" w:sz="4" w:space="0" w:color="auto"/>
              <w:right w:val="nil"/>
            </w:tcBorders>
            <w:shd w:val="clear" w:color="000000" w:fill="FFFFFF"/>
            <w:noWrap/>
            <w:vAlign w:val="center"/>
            <w:hideMark/>
          </w:tcPr>
          <w:p w14:paraId="084E758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177.4</w:t>
            </w:r>
          </w:p>
        </w:tc>
        <w:tc>
          <w:tcPr>
            <w:tcW w:w="0" w:type="auto"/>
            <w:tcBorders>
              <w:top w:val="nil"/>
              <w:left w:val="nil"/>
              <w:bottom w:val="single" w:sz="4" w:space="0" w:color="auto"/>
              <w:right w:val="nil"/>
            </w:tcBorders>
            <w:shd w:val="clear" w:color="000000" w:fill="FFFFFF"/>
            <w:noWrap/>
            <w:vAlign w:val="center"/>
            <w:hideMark/>
          </w:tcPr>
          <w:p w14:paraId="44FF04E5"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4.7</w:t>
            </w:r>
          </w:p>
        </w:tc>
        <w:tc>
          <w:tcPr>
            <w:tcW w:w="0" w:type="auto"/>
            <w:tcBorders>
              <w:top w:val="nil"/>
              <w:left w:val="nil"/>
              <w:bottom w:val="single" w:sz="4" w:space="0" w:color="auto"/>
              <w:right w:val="single" w:sz="4" w:space="0" w:color="auto"/>
            </w:tcBorders>
            <w:shd w:val="clear" w:color="000000" w:fill="FFFFFF"/>
            <w:noWrap/>
            <w:vAlign w:val="center"/>
            <w:hideMark/>
          </w:tcPr>
          <w:p w14:paraId="066BAB0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hAnsi="Calibri" w:cs="Calibri"/>
                <w:color w:val="000000"/>
                <w:sz w:val="22"/>
                <w:szCs w:val="22"/>
              </w:rPr>
              <w:t>269.4</w:t>
            </w:r>
          </w:p>
        </w:tc>
      </w:tr>
    </w:tbl>
    <w:p w14:paraId="0FB780AA" w14:textId="77777777" w:rsidR="00D24603" w:rsidRDefault="00D24603" w:rsidP="00CE3D62">
      <w:pPr>
        <w:spacing w:after="0"/>
        <w:rPr>
          <w:szCs w:val="20"/>
        </w:rPr>
      </w:pPr>
      <w:r w:rsidRPr="00F06B14">
        <w:rPr>
          <w:szCs w:val="20"/>
        </w:rPr>
        <w:t xml:space="preserve">Abbreviations: </w:t>
      </w:r>
      <w:r>
        <w:rPr>
          <w:szCs w:val="20"/>
        </w:rPr>
        <w:t xml:space="preserve">C = Community; </w:t>
      </w:r>
      <w:r w:rsidRPr="00F06B14">
        <w:rPr>
          <w:szCs w:val="20"/>
        </w:rPr>
        <w:t>ED</w:t>
      </w:r>
      <w:r>
        <w:rPr>
          <w:szCs w:val="20"/>
        </w:rPr>
        <w:t xml:space="preserve"> =</w:t>
      </w:r>
      <w:r w:rsidRPr="00F06B14">
        <w:rPr>
          <w:szCs w:val="20"/>
        </w:rPr>
        <w:t xml:space="preserve"> Emergency Department</w:t>
      </w:r>
      <w:r>
        <w:rPr>
          <w:szCs w:val="20"/>
        </w:rPr>
        <w:t>;</w:t>
      </w:r>
      <w:r w:rsidRPr="00F06B14">
        <w:rPr>
          <w:szCs w:val="20"/>
        </w:rPr>
        <w:t xml:space="preserve"> EMS</w:t>
      </w:r>
      <w:r>
        <w:rPr>
          <w:szCs w:val="20"/>
        </w:rPr>
        <w:t xml:space="preserve"> =</w:t>
      </w:r>
      <w:r w:rsidRPr="00F06B14">
        <w:rPr>
          <w:szCs w:val="20"/>
        </w:rPr>
        <w:t xml:space="preserve"> Emergency Medical Services</w:t>
      </w:r>
      <w:r>
        <w:rPr>
          <w:szCs w:val="20"/>
        </w:rPr>
        <w:t>;</w:t>
      </w:r>
      <w:r w:rsidRPr="00F06B14">
        <w:rPr>
          <w:szCs w:val="20"/>
        </w:rPr>
        <w:t xml:space="preserve"> </w:t>
      </w:r>
      <w:r w:rsidRPr="00F7297C">
        <w:rPr>
          <w:szCs w:val="20"/>
        </w:rPr>
        <w:t xml:space="preserve">IP = Inpatient; </w:t>
      </w:r>
      <w:r w:rsidRPr="00F06B14">
        <w:rPr>
          <w:szCs w:val="20"/>
        </w:rPr>
        <w:t>MOUD: Medications for Opioid Use Disorder</w:t>
      </w:r>
      <w:r>
        <w:rPr>
          <w:szCs w:val="20"/>
        </w:rPr>
        <w:t xml:space="preserve">; </w:t>
      </w:r>
      <w:r w:rsidRPr="00F7297C">
        <w:rPr>
          <w:szCs w:val="20"/>
        </w:rPr>
        <w:t>OP = Outpatient; RES = Residential Services</w:t>
      </w:r>
      <w:r>
        <w:rPr>
          <w:szCs w:val="20"/>
        </w:rPr>
        <w:t>.</w:t>
      </w:r>
    </w:p>
    <w:p w14:paraId="0DCFB747" w14:textId="77777777" w:rsidR="00D24603" w:rsidRPr="00F06B14" w:rsidRDefault="00D24603" w:rsidP="00D24603">
      <w:pPr>
        <w:rPr>
          <w:szCs w:val="20"/>
        </w:rPr>
      </w:pPr>
    </w:p>
    <w:p w14:paraId="74B6D723" w14:textId="77777777" w:rsidR="00D24603" w:rsidRDefault="00D24603" w:rsidP="00D24603">
      <w:r>
        <w:br w:type="page"/>
      </w:r>
    </w:p>
    <w:p w14:paraId="25684A56" w14:textId="4C22D968" w:rsidR="00D24603" w:rsidRDefault="00CE3D62" w:rsidP="00CE3D62">
      <w:pPr>
        <w:spacing w:after="0"/>
      </w:pPr>
      <w:r>
        <w:rPr>
          <w:b/>
          <w:bCs/>
        </w:rPr>
        <w:lastRenderedPageBreak/>
        <w:t xml:space="preserve">Supplementary </w:t>
      </w:r>
      <w:r w:rsidR="00D24603" w:rsidRPr="00754B90">
        <w:rPr>
          <w:b/>
          <w:bCs/>
        </w:rPr>
        <w:t xml:space="preserve">Table </w:t>
      </w:r>
      <w:r w:rsidR="00A87FBF">
        <w:rPr>
          <w:b/>
          <w:bCs/>
        </w:rPr>
        <w:t>2</w:t>
      </w:r>
      <w:r w:rsidR="00D24603">
        <w:rPr>
          <w:b/>
          <w:bCs/>
        </w:rPr>
        <w:t>6</w:t>
      </w:r>
      <w:r w:rsidR="00D24603" w:rsidRPr="00754B90">
        <w:rPr>
          <w:b/>
          <w:bCs/>
        </w:rPr>
        <w:t>.</w:t>
      </w:r>
      <w:r w:rsidR="00D24603" w:rsidRPr="00754B90">
        <w:t xml:space="preserve"> Total (</w:t>
      </w:r>
      <w:r w:rsidR="00D24603" w:rsidRPr="00D52816">
        <w:t>Scenario 1) and incremental (Scenarios 2-6) societal costs (</w:t>
      </w:r>
      <w:r w:rsidR="00A87FBF">
        <w:t xml:space="preserve">million </w:t>
      </w:r>
      <w:r w:rsidR="00D24603">
        <w:t>US</w:t>
      </w:r>
      <w:r w:rsidR="00A87FBF">
        <w:t>$</w:t>
      </w:r>
      <w:r w:rsidR="00D24603" w:rsidRPr="00D52816">
        <w:t xml:space="preserve">) associated with opioid misuse between </w:t>
      </w:r>
      <w:r w:rsidR="00D24603">
        <w:t>2025</w:t>
      </w:r>
      <w:r w:rsidR="00D24603" w:rsidRPr="00D52816">
        <w:t xml:space="preserve"> and </w:t>
      </w:r>
      <w:r w:rsidR="00D24603">
        <w:t>2030</w:t>
      </w:r>
      <w:r w:rsidR="00D24603" w:rsidRPr="00D52816">
        <w:t>.</w:t>
      </w:r>
    </w:p>
    <w:tbl>
      <w:tblPr>
        <w:tblW w:w="47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441"/>
        <w:gridCol w:w="1441"/>
        <w:gridCol w:w="1441"/>
        <w:gridCol w:w="1441"/>
        <w:gridCol w:w="1728"/>
        <w:gridCol w:w="1435"/>
      </w:tblGrid>
      <w:tr w:rsidR="00D24603" w:rsidRPr="00F52561" w14:paraId="6ED6EF7D" w14:textId="77777777" w:rsidTr="00CE3D62">
        <w:trPr>
          <w:trHeight w:val="600"/>
        </w:trPr>
        <w:tc>
          <w:tcPr>
            <w:tcW w:w="633" w:type="pct"/>
            <w:vAlign w:val="center"/>
          </w:tcPr>
          <w:p w14:paraId="2CF87905" w14:textId="77777777" w:rsidR="00D24603" w:rsidRPr="006B16A9" w:rsidRDefault="00D24603" w:rsidP="00CE3D62">
            <w:pPr>
              <w:spacing w:after="0"/>
              <w:rPr>
                <w:rFonts w:ascii="Calibri" w:eastAsia="Times New Roman" w:hAnsi="Calibri" w:cs="Calibri"/>
                <w:b/>
                <w:bCs/>
                <w:color w:val="000000"/>
                <w:kern w:val="0"/>
                <w:szCs w:val="20"/>
                <w14:ligatures w14:val="none"/>
              </w:rPr>
            </w:pPr>
            <w:r w:rsidRPr="006B16A9">
              <w:rPr>
                <w:rFonts w:ascii="Calibri" w:eastAsia="Times New Roman" w:hAnsi="Calibri" w:cs="Calibri"/>
                <w:b/>
                <w:bCs/>
                <w:color w:val="000000"/>
                <w:kern w:val="0"/>
                <w:szCs w:val="20"/>
                <w14:ligatures w14:val="none"/>
              </w:rPr>
              <w:t>Community</w:t>
            </w:r>
          </w:p>
        </w:tc>
        <w:tc>
          <w:tcPr>
            <w:tcW w:w="705" w:type="pct"/>
            <w:vAlign w:val="center"/>
          </w:tcPr>
          <w:p w14:paraId="53477BFF" w14:textId="77777777" w:rsidR="00D24603" w:rsidRDefault="00D24603" w:rsidP="00CE3D62">
            <w:pPr>
              <w:spacing w:after="0"/>
              <w:jc w:val="center"/>
              <w:rPr>
                <w:rFonts w:ascii="Calibri" w:hAnsi="Calibri" w:cs="Calibri"/>
                <w:b/>
                <w:bCs/>
                <w:color w:val="000000"/>
                <w:sz w:val="22"/>
                <w:szCs w:val="22"/>
              </w:rPr>
            </w:pPr>
            <w:r w:rsidRPr="00622422">
              <w:rPr>
                <w:rFonts w:ascii="Calibri" w:eastAsia="Times New Roman" w:hAnsi="Calibri" w:cs="Calibri"/>
                <w:b/>
                <w:bCs/>
                <w:color w:val="000000"/>
                <w:kern w:val="0"/>
                <w:sz w:val="16"/>
                <w:szCs w:val="16"/>
                <w14:ligatures w14:val="none"/>
              </w:rPr>
              <w:t>Maintain</w:t>
            </w:r>
            <w:r w:rsidRPr="00622422">
              <w:rPr>
                <w:rFonts w:ascii="Calibri" w:eastAsia="Times New Roman" w:hAnsi="Calibri" w:cs="Calibri"/>
                <w:b/>
                <w:bCs/>
                <w:color w:val="000000"/>
                <w:kern w:val="0"/>
                <w:sz w:val="16"/>
                <w:szCs w:val="16"/>
                <w14:ligatures w14:val="none"/>
              </w:rPr>
              <w:br/>
              <w:t>20</w:t>
            </w:r>
            <w:r>
              <w:rPr>
                <w:rFonts w:ascii="Calibri" w:eastAsia="Times New Roman" w:hAnsi="Calibri" w:cs="Calibri"/>
                <w:b/>
                <w:bCs/>
                <w:color w:val="000000"/>
                <w:kern w:val="0"/>
                <w:sz w:val="16"/>
                <w:szCs w:val="16"/>
                <w14:ligatures w14:val="none"/>
              </w:rPr>
              <w:t>24</w:t>
            </w:r>
            <w:r w:rsidRPr="00622422">
              <w:rPr>
                <w:rFonts w:ascii="Calibri" w:eastAsia="Times New Roman" w:hAnsi="Calibri" w:cs="Calibri"/>
                <w:b/>
                <w:bCs/>
                <w:color w:val="000000"/>
                <w:kern w:val="0"/>
                <w:sz w:val="16"/>
                <w:szCs w:val="16"/>
                <w14:ligatures w14:val="none"/>
              </w:rPr>
              <w:t xml:space="preserve"> EBP Levels</w:t>
            </w:r>
            <w:r>
              <w:rPr>
                <w:rFonts w:ascii="Calibri" w:eastAsia="Times New Roman" w:hAnsi="Calibri" w:cs="Calibri"/>
                <w:b/>
                <w:bCs/>
                <w:color w:val="000000"/>
                <w:kern w:val="0"/>
                <w:sz w:val="16"/>
                <w:szCs w:val="16"/>
                <w14:ligatures w14:val="none"/>
              </w:rPr>
              <w:t xml:space="preserve"> (Scenario 1)</w:t>
            </w:r>
          </w:p>
        </w:tc>
        <w:tc>
          <w:tcPr>
            <w:tcW w:w="705" w:type="pct"/>
            <w:vAlign w:val="center"/>
          </w:tcPr>
          <w:p w14:paraId="786CD4E7" w14:textId="77777777" w:rsidR="00D24603" w:rsidRDefault="00D24603" w:rsidP="00CE3D62">
            <w:pPr>
              <w:spacing w:after="0"/>
              <w:jc w:val="center"/>
              <w:rPr>
                <w:rFonts w:ascii="Calibri" w:eastAsia="Times New Roman" w:hAnsi="Calibri" w:cs="Calibri"/>
                <w:b/>
                <w:bCs/>
                <w:color w:val="000000"/>
                <w:kern w:val="0"/>
                <w:sz w:val="16"/>
                <w:szCs w:val="16"/>
                <w14:ligatures w14:val="none"/>
              </w:rPr>
            </w:pPr>
            <w:r w:rsidRPr="00622422">
              <w:rPr>
                <w:rFonts w:ascii="Calibri" w:eastAsia="Times New Roman" w:hAnsi="Calibri" w:cs="Calibri"/>
                <w:b/>
                <w:bCs/>
                <w:color w:val="000000"/>
                <w:kern w:val="0"/>
                <w:sz w:val="16"/>
                <w:szCs w:val="16"/>
                <w14:ligatures w14:val="none"/>
              </w:rPr>
              <w:t>Improved</w:t>
            </w:r>
            <w:r w:rsidRPr="00622422">
              <w:rPr>
                <w:rFonts w:ascii="Calibri" w:eastAsia="Times New Roman" w:hAnsi="Calibri" w:cs="Calibri"/>
                <w:b/>
                <w:bCs/>
                <w:color w:val="000000"/>
                <w:kern w:val="0"/>
                <w:sz w:val="16"/>
                <w:szCs w:val="16"/>
                <w14:ligatures w14:val="none"/>
              </w:rPr>
              <w:br/>
              <w:t>Naloxone</w:t>
            </w:r>
          </w:p>
          <w:p w14:paraId="02309802" w14:textId="77777777" w:rsidR="00D24603" w:rsidRDefault="00D24603" w:rsidP="00CE3D62">
            <w:pPr>
              <w:spacing w:after="0"/>
              <w:jc w:val="center"/>
              <w:rPr>
                <w:rFonts w:ascii="Calibri" w:hAnsi="Calibri" w:cs="Calibri"/>
                <w:b/>
                <w:bCs/>
                <w:color w:val="000000"/>
                <w:sz w:val="22"/>
                <w:szCs w:val="22"/>
              </w:rPr>
            </w:pPr>
            <w:r>
              <w:rPr>
                <w:rFonts w:ascii="Calibri" w:eastAsia="Times New Roman" w:hAnsi="Calibri" w:cs="Calibri"/>
                <w:b/>
                <w:bCs/>
                <w:color w:val="000000"/>
                <w:kern w:val="0"/>
                <w:sz w:val="16"/>
                <w:szCs w:val="16"/>
                <w14:ligatures w14:val="none"/>
              </w:rPr>
              <w:t>(Scenario 2)</w:t>
            </w:r>
          </w:p>
        </w:tc>
        <w:tc>
          <w:tcPr>
            <w:tcW w:w="705" w:type="pct"/>
            <w:vAlign w:val="center"/>
          </w:tcPr>
          <w:p w14:paraId="1D444265" w14:textId="77777777" w:rsidR="00D24603" w:rsidRDefault="00D24603" w:rsidP="00CE3D62">
            <w:pPr>
              <w:spacing w:after="0"/>
              <w:jc w:val="center"/>
              <w:rPr>
                <w:rFonts w:ascii="Calibri" w:hAnsi="Calibri" w:cs="Calibri"/>
                <w:b/>
                <w:bCs/>
                <w:color w:val="000000"/>
                <w:sz w:val="22"/>
                <w:szCs w:val="22"/>
              </w:rPr>
            </w:pPr>
            <w:r w:rsidRPr="00622422">
              <w:rPr>
                <w:rFonts w:ascii="Calibri" w:eastAsia="Times New Roman" w:hAnsi="Calibri" w:cs="Calibri"/>
                <w:b/>
                <w:bCs/>
                <w:color w:val="000000"/>
                <w:kern w:val="0"/>
                <w:sz w:val="16"/>
                <w:szCs w:val="16"/>
                <w14:ligatures w14:val="none"/>
              </w:rPr>
              <w:t>Improved</w:t>
            </w:r>
            <w:r w:rsidRPr="00622422">
              <w:rPr>
                <w:rFonts w:ascii="Calibri" w:eastAsia="Times New Roman" w:hAnsi="Calibri" w:cs="Calibri"/>
                <w:b/>
                <w:bCs/>
                <w:color w:val="000000"/>
                <w:kern w:val="0"/>
                <w:sz w:val="16"/>
                <w:szCs w:val="16"/>
                <w14:ligatures w14:val="none"/>
              </w:rPr>
              <w:br/>
              <w:t>Retention</w:t>
            </w:r>
            <w:r>
              <w:rPr>
                <w:rFonts w:ascii="Calibri" w:eastAsia="Times New Roman" w:hAnsi="Calibri" w:cs="Calibri"/>
                <w:b/>
                <w:bCs/>
                <w:color w:val="000000"/>
                <w:kern w:val="0"/>
                <w:sz w:val="16"/>
                <w:szCs w:val="16"/>
                <w14:ligatures w14:val="none"/>
              </w:rPr>
              <w:t xml:space="preserve"> (Scenario 3)</w:t>
            </w:r>
          </w:p>
        </w:tc>
        <w:tc>
          <w:tcPr>
            <w:tcW w:w="705" w:type="pct"/>
            <w:vAlign w:val="center"/>
          </w:tcPr>
          <w:p w14:paraId="5EB3E2FA" w14:textId="77777777" w:rsidR="00D24603" w:rsidRDefault="00D24603" w:rsidP="00CE3D62">
            <w:pPr>
              <w:spacing w:after="0"/>
              <w:jc w:val="center"/>
              <w:rPr>
                <w:rFonts w:ascii="Calibri" w:eastAsia="Times New Roman" w:hAnsi="Calibri" w:cs="Calibri"/>
                <w:b/>
                <w:bCs/>
                <w:color w:val="000000"/>
                <w:kern w:val="0"/>
                <w:sz w:val="16"/>
                <w:szCs w:val="16"/>
                <w14:ligatures w14:val="none"/>
              </w:rPr>
            </w:pPr>
            <w:r w:rsidRPr="00622422">
              <w:rPr>
                <w:rFonts w:ascii="Calibri" w:eastAsia="Times New Roman" w:hAnsi="Calibri" w:cs="Calibri"/>
                <w:b/>
                <w:bCs/>
                <w:color w:val="000000"/>
                <w:kern w:val="0"/>
                <w:sz w:val="16"/>
                <w:szCs w:val="16"/>
                <w14:ligatures w14:val="none"/>
              </w:rPr>
              <w:t>Improved</w:t>
            </w:r>
            <w:r w:rsidRPr="00622422">
              <w:rPr>
                <w:rFonts w:ascii="Calibri" w:eastAsia="Times New Roman" w:hAnsi="Calibri" w:cs="Calibri"/>
                <w:b/>
                <w:bCs/>
                <w:color w:val="000000"/>
                <w:kern w:val="0"/>
                <w:sz w:val="16"/>
                <w:szCs w:val="16"/>
                <w14:ligatures w14:val="none"/>
              </w:rPr>
              <w:br/>
              <w:t>Initiation</w:t>
            </w:r>
          </w:p>
          <w:p w14:paraId="361769D6" w14:textId="77777777" w:rsidR="00D24603" w:rsidRDefault="00D24603" w:rsidP="00CE3D62">
            <w:pPr>
              <w:spacing w:after="0"/>
              <w:jc w:val="center"/>
              <w:rPr>
                <w:rFonts w:ascii="Calibri" w:hAnsi="Calibri" w:cs="Calibri"/>
                <w:b/>
                <w:bCs/>
                <w:color w:val="000000"/>
                <w:sz w:val="22"/>
                <w:szCs w:val="22"/>
              </w:rPr>
            </w:pPr>
            <w:r>
              <w:rPr>
                <w:rFonts w:ascii="Calibri" w:eastAsia="Times New Roman" w:hAnsi="Calibri" w:cs="Calibri"/>
                <w:b/>
                <w:bCs/>
                <w:color w:val="000000"/>
                <w:kern w:val="0"/>
                <w:sz w:val="16"/>
                <w:szCs w:val="16"/>
                <w14:ligatures w14:val="none"/>
              </w:rPr>
              <w:t>(Scenario 4)</w:t>
            </w:r>
          </w:p>
        </w:tc>
        <w:tc>
          <w:tcPr>
            <w:tcW w:w="845" w:type="pct"/>
            <w:vAlign w:val="center"/>
          </w:tcPr>
          <w:p w14:paraId="3B44087D" w14:textId="77777777" w:rsidR="00D24603" w:rsidRDefault="00D24603" w:rsidP="00CE3D62">
            <w:pPr>
              <w:spacing w:after="0"/>
              <w:jc w:val="center"/>
              <w:rPr>
                <w:rFonts w:ascii="Calibri" w:eastAsia="Times New Roman" w:hAnsi="Calibri" w:cs="Calibri"/>
                <w:b/>
                <w:bCs/>
                <w:color w:val="000000"/>
                <w:kern w:val="0"/>
                <w:sz w:val="16"/>
                <w:szCs w:val="16"/>
                <w14:ligatures w14:val="none"/>
              </w:rPr>
            </w:pPr>
            <w:r w:rsidRPr="00622422">
              <w:rPr>
                <w:rFonts w:ascii="Calibri" w:eastAsia="Times New Roman" w:hAnsi="Calibri" w:cs="Calibri"/>
                <w:b/>
                <w:bCs/>
                <w:color w:val="000000"/>
                <w:kern w:val="0"/>
                <w:sz w:val="16"/>
                <w:szCs w:val="16"/>
                <w14:ligatures w14:val="none"/>
              </w:rPr>
              <w:t>Improved</w:t>
            </w:r>
            <w:r w:rsidRPr="00622422">
              <w:rPr>
                <w:rFonts w:ascii="Calibri" w:eastAsia="Times New Roman" w:hAnsi="Calibri" w:cs="Calibri"/>
                <w:b/>
                <w:bCs/>
                <w:color w:val="000000"/>
                <w:kern w:val="0"/>
                <w:sz w:val="16"/>
                <w:szCs w:val="16"/>
                <w14:ligatures w14:val="none"/>
              </w:rPr>
              <w:br/>
              <w:t>Initiation &amp; Retention</w:t>
            </w:r>
          </w:p>
          <w:p w14:paraId="3C0683C5" w14:textId="77777777" w:rsidR="00D24603" w:rsidRDefault="00D24603" w:rsidP="00CE3D62">
            <w:pPr>
              <w:spacing w:after="0"/>
              <w:jc w:val="center"/>
              <w:rPr>
                <w:rFonts w:ascii="Calibri" w:hAnsi="Calibri" w:cs="Calibri"/>
                <w:b/>
                <w:bCs/>
                <w:color w:val="000000"/>
                <w:sz w:val="22"/>
                <w:szCs w:val="22"/>
              </w:rPr>
            </w:pPr>
            <w:r>
              <w:rPr>
                <w:rFonts w:ascii="Calibri" w:eastAsia="Times New Roman" w:hAnsi="Calibri" w:cs="Calibri"/>
                <w:b/>
                <w:bCs/>
                <w:color w:val="000000"/>
                <w:kern w:val="0"/>
                <w:sz w:val="16"/>
                <w:szCs w:val="16"/>
                <w14:ligatures w14:val="none"/>
              </w:rPr>
              <w:t>(Scenario 5)</w:t>
            </w:r>
          </w:p>
        </w:tc>
        <w:tc>
          <w:tcPr>
            <w:tcW w:w="702" w:type="pct"/>
            <w:vAlign w:val="center"/>
          </w:tcPr>
          <w:p w14:paraId="60F9E6AB" w14:textId="77777777" w:rsidR="00D24603" w:rsidRDefault="00D24603" w:rsidP="00CE3D62">
            <w:pPr>
              <w:spacing w:after="0"/>
              <w:jc w:val="center"/>
              <w:rPr>
                <w:rFonts w:ascii="Calibri" w:eastAsia="Times New Roman" w:hAnsi="Calibri" w:cs="Calibri"/>
                <w:b/>
                <w:bCs/>
                <w:color w:val="000000"/>
                <w:kern w:val="0"/>
                <w:sz w:val="16"/>
                <w:szCs w:val="16"/>
                <w14:ligatures w14:val="none"/>
              </w:rPr>
            </w:pPr>
            <w:r w:rsidRPr="00622422">
              <w:rPr>
                <w:rFonts w:ascii="Calibri" w:eastAsia="Times New Roman" w:hAnsi="Calibri" w:cs="Calibri"/>
                <w:b/>
                <w:bCs/>
                <w:color w:val="000000"/>
                <w:kern w:val="0"/>
                <w:sz w:val="16"/>
                <w:szCs w:val="16"/>
                <w14:ligatures w14:val="none"/>
              </w:rPr>
              <w:t>Improved</w:t>
            </w:r>
            <w:r w:rsidRPr="00622422">
              <w:rPr>
                <w:rFonts w:ascii="Calibri" w:eastAsia="Times New Roman" w:hAnsi="Calibri" w:cs="Calibri"/>
                <w:b/>
                <w:bCs/>
                <w:color w:val="000000"/>
                <w:kern w:val="0"/>
                <w:sz w:val="16"/>
                <w:szCs w:val="16"/>
                <w14:ligatures w14:val="none"/>
              </w:rPr>
              <w:br/>
              <w:t>All</w:t>
            </w:r>
          </w:p>
          <w:p w14:paraId="6E13209C" w14:textId="77777777" w:rsidR="00D24603" w:rsidRDefault="00D24603" w:rsidP="00CE3D62">
            <w:pPr>
              <w:spacing w:after="0"/>
              <w:jc w:val="center"/>
              <w:rPr>
                <w:rFonts w:ascii="Calibri" w:hAnsi="Calibri" w:cs="Calibri"/>
                <w:b/>
                <w:bCs/>
                <w:color w:val="000000"/>
                <w:sz w:val="22"/>
                <w:szCs w:val="22"/>
              </w:rPr>
            </w:pPr>
            <w:r>
              <w:rPr>
                <w:rFonts w:ascii="Calibri" w:eastAsia="Times New Roman" w:hAnsi="Calibri" w:cs="Calibri"/>
                <w:b/>
                <w:bCs/>
                <w:color w:val="000000"/>
                <w:kern w:val="0"/>
                <w:sz w:val="16"/>
                <w:szCs w:val="16"/>
                <w14:ligatures w14:val="none"/>
              </w:rPr>
              <w:t>(Scenario 6)</w:t>
            </w:r>
          </w:p>
        </w:tc>
      </w:tr>
      <w:tr w:rsidR="00D24603" w:rsidRPr="00F52561" w14:paraId="2BD37D48" w14:textId="77777777" w:rsidTr="00435936">
        <w:trPr>
          <w:trHeight w:val="300"/>
        </w:trPr>
        <w:tc>
          <w:tcPr>
            <w:tcW w:w="633" w:type="pct"/>
            <w:shd w:val="clear" w:color="000000" w:fill="FFFFFF"/>
            <w:noWrap/>
            <w:vAlign w:val="bottom"/>
            <w:hideMark/>
          </w:tcPr>
          <w:p w14:paraId="46AE8120" w14:textId="77777777" w:rsidR="00D24603" w:rsidRPr="00F52561"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1</w:t>
            </w:r>
            <w:r>
              <w:rPr>
                <w:rFonts w:ascii="Calibri" w:eastAsia="Times New Roman" w:hAnsi="Calibri" w:cs="Calibri"/>
                <w:color w:val="000000"/>
                <w:kern w:val="0"/>
                <w:sz w:val="22"/>
                <w:szCs w:val="22"/>
                <w14:ligatures w14:val="none"/>
              </w:rPr>
              <w:t>*</w:t>
            </w:r>
          </w:p>
        </w:tc>
        <w:tc>
          <w:tcPr>
            <w:tcW w:w="705" w:type="pct"/>
            <w:shd w:val="clear" w:color="000000" w:fill="FFFFFF"/>
            <w:noWrap/>
            <w:hideMark/>
          </w:tcPr>
          <w:p w14:paraId="2F9C8610"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 xml:space="preserve"> 9,780 </w:t>
            </w:r>
          </w:p>
        </w:tc>
        <w:tc>
          <w:tcPr>
            <w:tcW w:w="705" w:type="pct"/>
            <w:noWrap/>
            <w:hideMark/>
          </w:tcPr>
          <w:p w14:paraId="22CFDAB2" w14:textId="77777777" w:rsidR="00D24603" w:rsidRPr="0002400D" w:rsidRDefault="00D24603" w:rsidP="00CE3D62">
            <w:pPr>
              <w:spacing w:after="0"/>
              <w:jc w:val="right"/>
              <w:rPr>
                <w:rFonts w:ascii="Calibri" w:hAnsi="Calibri" w:cs="Calibri"/>
                <w:color w:val="000000"/>
                <w:sz w:val="22"/>
                <w:szCs w:val="22"/>
              </w:rPr>
            </w:pPr>
            <w:r>
              <w:rPr>
                <w:rFonts w:ascii="Calibri" w:hAnsi="Calibri" w:cs="Calibri"/>
                <w:color w:val="000000"/>
                <w:sz w:val="22"/>
                <w:szCs w:val="22"/>
              </w:rPr>
              <w:t>0</w:t>
            </w:r>
          </w:p>
        </w:tc>
        <w:tc>
          <w:tcPr>
            <w:tcW w:w="705" w:type="pct"/>
            <w:noWrap/>
            <w:hideMark/>
          </w:tcPr>
          <w:p w14:paraId="1B05B210"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-1,407</w:t>
            </w:r>
          </w:p>
        </w:tc>
        <w:tc>
          <w:tcPr>
            <w:tcW w:w="705" w:type="pct"/>
            <w:noWrap/>
            <w:hideMark/>
          </w:tcPr>
          <w:p w14:paraId="448CC9A8"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-507</w:t>
            </w:r>
          </w:p>
        </w:tc>
        <w:tc>
          <w:tcPr>
            <w:tcW w:w="845" w:type="pct"/>
            <w:noWrap/>
            <w:hideMark/>
          </w:tcPr>
          <w:p w14:paraId="6821148F"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-2,103</w:t>
            </w:r>
          </w:p>
        </w:tc>
        <w:tc>
          <w:tcPr>
            <w:tcW w:w="702" w:type="pct"/>
            <w:noWrap/>
            <w:hideMark/>
          </w:tcPr>
          <w:p w14:paraId="581EACAE"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-2,103</w:t>
            </w:r>
          </w:p>
        </w:tc>
      </w:tr>
      <w:tr w:rsidR="00D24603" w:rsidRPr="00F52561" w14:paraId="71886DFE" w14:textId="77777777" w:rsidTr="00435936">
        <w:trPr>
          <w:trHeight w:val="300"/>
        </w:trPr>
        <w:tc>
          <w:tcPr>
            <w:tcW w:w="633" w:type="pct"/>
            <w:shd w:val="clear" w:color="000000" w:fill="FFFFFF"/>
            <w:noWrap/>
            <w:vAlign w:val="bottom"/>
            <w:hideMark/>
          </w:tcPr>
          <w:p w14:paraId="6B7A0679" w14:textId="77777777" w:rsidR="00D24603" w:rsidRPr="00F52561"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2</w:t>
            </w:r>
          </w:p>
        </w:tc>
        <w:tc>
          <w:tcPr>
            <w:tcW w:w="705" w:type="pct"/>
            <w:shd w:val="clear" w:color="000000" w:fill="FFFFFF"/>
            <w:noWrap/>
            <w:hideMark/>
          </w:tcPr>
          <w:p w14:paraId="43574F8F"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 xml:space="preserve"> 3,354 </w:t>
            </w:r>
          </w:p>
        </w:tc>
        <w:tc>
          <w:tcPr>
            <w:tcW w:w="705" w:type="pct"/>
            <w:noWrap/>
            <w:hideMark/>
          </w:tcPr>
          <w:p w14:paraId="079407AE"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-1</w:t>
            </w:r>
          </w:p>
        </w:tc>
        <w:tc>
          <w:tcPr>
            <w:tcW w:w="705" w:type="pct"/>
            <w:noWrap/>
            <w:hideMark/>
          </w:tcPr>
          <w:p w14:paraId="54F752CF"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-523</w:t>
            </w:r>
          </w:p>
        </w:tc>
        <w:tc>
          <w:tcPr>
            <w:tcW w:w="705" w:type="pct"/>
            <w:noWrap/>
            <w:hideMark/>
          </w:tcPr>
          <w:p w14:paraId="2F30BCAC"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-216</w:t>
            </w:r>
          </w:p>
        </w:tc>
        <w:tc>
          <w:tcPr>
            <w:tcW w:w="845" w:type="pct"/>
            <w:noWrap/>
            <w:hideMark/>
          </w:tcPr>
          <w:p w14:paraId="7BC2D46B"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-1,059</w:t>
            </w:r>
          </w:p>
        </w:tc>
        <w:tc>
          <w:tcPr>
            <w:tcW w:w="702" w:type="pct"/>
            <w:noWrap/>
            <w:hideMark/>
          </w:tcPr>
          <w:p w14:paraId="7C5C0713"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-1,059</w:t>
            </w:r>
          </w:p>
        </w:tc>
      </w:tr>
      <w:tr w:rsidR="00D24603" w:rsidRPr="00F52561" w14:paraId="51B66BCC" w14:textId="77777777" w:rsidTr="00435936">
        <w:trPr>
          <w:trHeight w:val="300"/>
        </w:trPr>
        <w:tc>
          <w:tcPr>
            <w:tcW w:w="633" w:type="pct"/>
            <w:shd w:val="clear" w:color="000000" w:fill="FFFFFF"/>
            <w:noWrap/>
            <w:vAlign w:val="bottom"/>
            <w:hideMark/>
          </w:tcPr>
          <w:p w14:paraId="19F0A07D" w14:textId="77777777" w:rsidR="00D24603" w:rsidRPr="00F52561"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3</w:t>
            </w:r>
          </w:p>
        </w:tc>
        <w:tc>
          <w:tcPr>
            <w:tcW w:w="705" w:type="pct"/>
            <w:shd w:val="clear" w:color="000000" w:fill="FFFFFF"/>
            <w:noWrap/>
            <w:hideMark/>
          </w:tcPr>
          <w:p w14:paraId="3F498E96"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 xml:space="preserve"> 3,356 </w:t>
            </w:r>
          </w:p>
        </w:tc>
        <w:tc>
          <w:tcPr>
            <w:tcW w:w="705" w:type="pct"/>
            <w:noWrap/>
            <w:hideMark/>
          </w:tcPr>
          <w:p w14:paraId="03EFECA8"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0</w:t>
            </w:r>
          </w:p>
        </w:tc>
        <w:tc>
          <w:tcPr>
            <w:tcW w:w="705" w:type="pct"/>
            <w:noWrap/>
            <w:hideMark/>
          </w:tcPr>
          <w:p w14:paraId="2656AC8B"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-505</w:t>
            </w:r>
          </w:p>
        </w:tc>
        <w:tc>
          <w:tcPr>
            <w:tcW w:w="705" w:type="pct"/>
            <w:noWrap/>
            <w:hideMark/>
          </w:tcPr>
          <w:p w14:paraId="66261D38"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-254</w:t>
            </w:r>
          </w:p>
        </w:tc>
        <w:tc>
          <w:tcPr>
            <w:tcW w:w="845" w:type="pct"/>
            <w:noWrap/>
            <w:hideMark/>
          </w:tcPr>
          <w:p w14:paraId="5F3BED8B"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-1,025</w:t>
            </w:r>
          </w:p>
        </w:tc>
        <w:tc>
          <w:tcPr>
            <w:tcW w:w="702" w:type="pct"/>
            <w:noWrap/>
            <w:hideMark/>
          </w:tcPr>
          <w:p w14:paraId="1914E589"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-1,025</w:t>
            </w:r>
          </w:p>
        </w:tc>
      </w:tr>
      <w:tr w:rsidR="00D24603" w:rsidRPr="00F52561" w14:paraId="6DD39D68" w14:textId="77777777" w:rsidTr="00435936">
        <w:trPr>
          <w:trHeight w:val="300"/>
        </w:trPr>
        <w:tc>
          <w:tcPr>
            <w:tcW w:w="633" w:type="pct"/>
            <w:shd w:val="clear" w:color="000000" w:fill="FFFFFF"/>
            <w:noWrap/>
            <w:vAlign w:val="bottom"/>
            <w:hideMark/>
          </w:tcPr>
          <w:p w14:paraId="5E523F55" w14:textId="77777777" w:rsidR="00D24603" w:rsidRPr="00F52561"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4</w:t>
            </w:r>
          </w:p>
        </w:tc>
        <w:tc>
          <w:tcPr>
            <w:tcW w:w="705" w:type="pct"/>
            <w:shd w:val="clear" w:color="000000" w:fill="FFFFFF"/>
            <w:noWrap/>
            <w:hideMark/>
          </w:tcPr>
          <w:p w14:paraId="145491FF"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 xml:space="preserve"> 971 </w:t>
            </w:r>
          </w:p>
        </w:tc>
        <w:tc>
          <w:tcPr>
            <w:tcW w:w="705" w:type="pct"/>
            <w:noWrap/>
            <w:hideMark/>
          </w:tcPr>
          <w:p w14:paraId="0B71AF9E"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0</w:t>
            </w:r>
          </w:p>
        </w:tc>
        <w:tc>
          <w:tcPr>
            <w:tcW w:w="705" w:type="pct"/>
            <w:noWrap/>
            <w:hideMark/>
          </w:tcPr>
          <w:p w14:paraId="236AFAEB"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-131</w:t>
            </w:r>
          </w:p>
        </w:tc>
        <w:tc>
          <w:tcPr>
            <w:tcW w:w="705" w:type="pct"/>
            <w:noWrap/>
            <w:hideMark/>
          </w:tcPr>
          <w:p w14:paraId="5A28DDE4"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-79</w:t>
            </w:r>
          </w:p>
        </w:tc>
        <w:tc>
          <w:tcPr>
            <w:tcW w:w="845" w:type="pct"/>
            <w:noWrap/>
            <w:hideMark/>
          </w:tcPr>
          <w:p w14:paraId="6CD54978"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-228</w:t>
            </w:r>
          </w:p>
        </w:tc>
        <w:tc>
          <w:tcPr>
            <w:tcW w:w="702" w:type="pct"/>
            <w:noWrap/>
            <w:hideMark/>
          </w:tcPr>
          <w:p w14:paraId="4D707209"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-229</w:t>
            </w:r>
          </w:p>
        </w:tc>
      </w:tr>
      <w:tr w:rsidR="00D24603" w:rsidRPr="00F52561" w14:paraId="670C2A67" w14:textId="77777777" w:rsidTr="00435936">
        <w:trPr>
          <w:trHeight w:val="300"/>
        </w:trPr>
        <w:tc>
          <w:tcPr>
            <w:tcW w:w="633" w:type="pct"/>
            <w:shd w:val="clear" w:color="000000" w:fill="FFFFFF"/>
            <w:noWrap/>
            <w:vAlign w:val="bottom"/>
            <w:hideMark/>
          </w:tcPr>
          <w:p w14:paraId="6A4A8C53" w14:textId="77777777" w:rsidR="00D24603" w:rsidRPr="00F52561"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5</w:t>
            </w:r>
            <w:r>
              <w:rPr>
                <w:rFonts w:ascii="Calibri" w:eastAsia="Times New Roman" w:hAnsi="Calibri" w:cs="Calibri"/>
                <w:color w:val="000000"/>
                <w:kern w:val="0"/>
                <w:sz w:val="22"/>
                <w:szCs w:val="22"/>
                <w14:ligatures w14:val="none"/>
              </w:rPr>
              <w:t>*</w:t>
            </w:r>
          </w:p>
        </w:tc>
        <w:tc>
          <w:tcPr>
            <w:tcW w:w="705" w:type="pct"/>
            <w:shd w:val="clear" w:color="000000" w:fill="FFFFFF"/>
            <w:noWrap/>
            <w:hideMark/>
          </w:tcPr>
          <w:p w14:paraId="48F63B92"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 xml:space="preserve"> 1,823 </w:t>
            </w:r>
          </w:p>
        </w:tc>
        <w:tc>
          <w:tcPr>
            <w:tcW w:w="705" w:type="pct"/>
            <w:noWrap/>
            <w:hideMark/>
          </w:tcPr>
          <w:p w14:paraId="29582DB3" w14:textId="77777777" w:rsidR="00D24603" w:rsidRPr="0002400D" w:rsidRDefault="00D24603" w:rsidP="00CE3D62">
            <w:pPr>
              <w:spacing w:after="0"/>
              <w:jc w:val="right"/>
              <w:rPr>
                <w:rFonts w:ascii="Calibri" w:hAnsi="Calibri" w:cs="Calibri"/>
                <w:color w:val="000000"/>
                <w:sz w:val="22"/>
                <w:szCs w:val="22"/>
              </w:rPr>
            </w:pPr>
            <w:r>
              <w:rPr>
                <w:rFonts w:ascii="Calibri" w:hAnsi="Calibri" w:cs="Calibri"/>
                <w:color w:val="000000"/>
                <w:sz w:val="22"/>
                <w:szCs w:val="22"/>
              </w:rPr>
              <w:t>0</w:t>
            </w:r>
          </w:p>
        </w:tc>
        <w:tc>
          <w:tcPr>
            <w:tcW w:w="705" w:type="pct"/>
            <w:noWrap/>
            <w:hideMark/>
          </w:tcPr>
          <w:p w14:paraId="36DE07D1"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-254</w:t>
            </w:r>
          </w:p>
        </w:tc>
        <w:tc>
          <w:tcPr>
            <w:tcW w:w="705" w:type="pct"/>
            <w:noWrap/>
            <w:hideMark/>
          </w:tcPr>
          <w:p w14:paraId="7EDEA3F4"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-187</w:t>
            </w:r>
          </w:p>
        </w:tc>
        <w:tc>
          <w:tcPr>
            <w:tcW w:w="845" w:type="pct"/>
            <w:noWrap/>
            <w:hideMark/>
          </w:tcPr>
          <w:p w14:paraId="3E44CF56"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-533</w:t>
            </w:r>
          </w:p>
        </w:tc>
        <w:tc>
          <w:tcPr>
            <w:tcW w:w="702" w:type="pct"/>
            <w:noWrap/>
            <w:hideMark/>
          </w:tcPr>
          <w:p w14:paraId="70D2EE48"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-533</w:t>
            </w:r>
          </w:p>
        </w:tc>
      </w:tr>
      <w:tr w:rsidR="00D24603" w:rsidRPr="00F52561" w14:paraId="391B9F42" w14:textId="77777777" w:rsidTr="00435936">
        <w:trPr>
          <w:trHeight w:val="300"/>
        </w:trPr>
        <w:tc>
          <w:tcPr>
            <w:tcW w:w="633" w:type="pct"/>
            <w:shd w:val="clear" w:color="000000" w:fill="FFFFFF"/>
            <w:noWrap/>
            <w:vAlign w:val="bottom"/>
            <w:hideMark/>
          </w:tcPr>
          <w:p w14:paraId="58C3A123" w14:textId="77777777" w:rsidR="00D24603" w:rsidRPr="00F52561"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6</w:t>
            </w:r>
          </w:p>
        </w:tc>
        <w:tc>
          <w:tcPr>
            <w:tcW w:w="705" w:type="pct"/>
            <w:shd w:val="clear" w:color="000000" w:fill="FFFFFF"/>
            <w:noWrap/>
            <w:hideMark/>
          </w:tcPr>
          <w:p w14:paraId="64098EE2"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 xml:space="preserve"> 10,021 </w:t>
            </w:r>
          </w:p>
        </w:tc>
        <w:tc>
          <w:tcPr>
            <w:tcW w:w="705" w:type="pct"/>
            <w:noWrap/>
            <w:hideMark/>
          </w:tcPr>
          <w:p w14:paraId="5DBB65C4"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-2</w:t>
            </w:r>
          </w:p>
        </w:tc>
        <w:tc>
          <w:tcPr>
            <w:tcW w:w="705" w:type="pct"/>
            <w:noWrap/>
            <w:hideMark/>
          </w:tcPr>
          <w:p w14:paraId="793BFF18"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-1,693</w:t>
            </w:r>
          </w:p>
        </w:tc>
        <w:tc>
          <w:tcPr>
            <w:tcW w:w="705" w:type="pct"/>
            <w:noWrap/>
            <w:hideMark/>
          </w:tcPr>
          <w:p w14:paraId="0DB63555"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-452</w:t>
            </w:r>
          </w:p>
        </w:tc>
        <w:tc>
          <w:tcPr>
            <w:tcW w:w="845" w:type="pct"/>
            <w:noWrap/>
            <w:hideMark/>
          </w:tcPr>
          <w:p w14:paraId="2228A9DD"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-2,389</w:t>
            </w:r>
          </w:p>
        </w:tc>
        <w:tc>
          <w:tcPr>
            <w:tcW w:w="702" w:type="pct"/>
            <w:noWrap/>
            <w:hideMark/>
          </w:tcPr>
          <w:p w14:paraId="0D094EAB"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-2,392</w:t>
            </w:r>
          </w:p>
        </w:tc>
      </w:tr>
      <w:tr w:rsidR="00D24603" w:rsidRPr="00F52561" w14:paraId="530CE887" w14:textId="77777777" w:rsidTr="00435936">
        <w:trPr>
          <w:trHeight w:val="300"/>
        </w:trPr>
        <w:tc>
          <w:tcPr>
            <w:tcW w:w="633" w:type="pct"/>
            <w:shd w:val="clear" w:color="000000" w:fill="FFFFFF"/>
            <w:noWrap/>
            <w:vAlign w:val="bottom"/>
            <w:hideMark/>
          </w:tcPr>
          <w:p w14:paraId="73B97619" w14:textId="77777777" w:rsidR="00D24603" w:rsidRPr="00F52561"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7</w:t>
            </w:r>
            <w:r>
              <w:rPr>
                <w:rFonts w:ascii="Calibri" w:eastAsia="Times New Roman" w:hAnsi="Calibri" w:cs="Calibri"/>
                <w:color w:val="000000"/>
                <w:kern w:val="0"/>
                <w:sz w:val="22"/>
                <w:szCs w:val="22"/>
                <w14:ligatures w14:val="none"/>
              </w:rPr>
              <w:t>*</w:t>
            </w:r>
          </w:p>
        </w:tc>
        <w:tc>
          <w:tcPr>
            <w:tcW w:w="705" w:type="pct"/>
            <w:shd w:val="clear" w:color="000000" w:fill="FFFFFF"/>
            <w:noWrap/>
            <w:hideMark/>
          </w:tcPr>
          <w:p w14:paraId="2CF49618"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 xml:space="preserve"> 1,939 </w:t>
            </w:r>
          </w:p>
        </w:tc>
        <w:tc>
          <w:tcPr>
            <w:tcW w:w="705" w:type="pct"/>
            <w:noWrap/>
            <w:hideMark/>
          </w:tcPr>
          <w:p w14:paraId="3E2ED7AF" w14:textId="77777777" w:rsidR="00D24603" w:rsidRPr="0002400D" w:rsidRDefault="00D24603" w:rsidP="00CE3D62">
            <w:pPr>
              <w:spacing w:after="0"/>
              <w:jc w:val="right"/>
              <w:rPr>
                <w:rFonts w:ascii="Calibri" w:hAnsi="Calibri" w:cs="Calibri"/>
                <w:color w:val="000000"/>
                <w:sz w:val="22"/>
                <w:szCs w:val="22"/>
              </w:rPr>
            </w:pPr>
            <w:r>
              <w:rPr>
                <w:rFonts w:ascii="Calibri" w:hAnsi="Calibri" w:cs="Calibri"/>
                <w:color w:val="000000"/>
                <w:sz w:val="22"/>
                <w:szCs w:val="22"/>
              </w:rPr>
              <w:t>0</w:t>
            </w:r>
          </w:p>
        </w:tc>
        <w:tc>
          <w:tcPr>
            <w:tcW w:w="705" w:type="pct"/>
            <w:noWrap/>
            <w:hideMark/>
          </w:tcPr>
          <w:p w14:paraId="26151A8F"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-359</w:t>
            </w:r>
          </w:p>
        </w:tc>
        <w:tc>
          <w:tcPr>
            <w:tcW w:w="705" w:type="pct"/>
            <w:noWrap/>
            <w:hideMark/>
          </w:tcPr>
          <w:p w14:paraId="12A8AC74"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-79</w:t>
            </w:r>
          </w:p>
        </w:tc>
        <w:tc>
          <w:tcPr>
            <w:tcW w:w="845" w:type="pct"/>
            <w:noWrap/>
            <w:hideMark/>
          </w:tcPr>
          <w:p w14:paraId="6BECA313"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-519</w:t>
            </w:r>
          </w:p>
        </w:tc>
        <w:tc>
          <w:tcPr>
            <w:tcW w:w="702" w:type="pct"/>
            <w:noWrap/>
            <w:hideMark/>
          </w:tcPr>
          <w:p w14:paraId="7038EDEF"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-519</w:t>
            </w:r>
          </w:p>
        </w:tc>
      </w:tr>
      <w:tr w:rsidR="00D24603" w:rsidRPr="00F52561" w14:paraId="27E25389" w14:textId="77777777" w:rsidTr="00435936">
        <w:trPr>
          <w:trHeight w:val="300"/>
        </w:trPr>
        <w:tc>
          <w:tcPr>
            <w:tcW w:w="633" w:type="pct"/>
            <w:shd w:val="clear" w:color="000000" w:fill="FFFFFF"/>
            <w:noWrap/>
            <w:vAlign w:val="bottom"/>
            <w:hideMark/>
          </w:tcPr>
          <w:p w14:paraId="314162E1" w14:textId="77777777" w:rsidR="00D24603" w:rsidRPr="00F52561"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8</w:t>
            </w:r>
          </w:p>
        </w:tc>
        <w:tc>
          <w:tcPr>
            <w:tcW w:w="705" w:type="pct"/>
            <w:shd w:val="clear" w:color="000000" w:fill="FFFFFF"/>
            <w:noWrap/>
            <w:hideMark/>
          </w:tcPr>
          <w:p w14:paraId="347B116E"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 xml:space="preserve"> 2,078 </w:t>
            </w:r>
          </w:p>
        </w:tc>
        <w:tc>
          <w:tcPr>
            <w:tcW w:w="705" w:type="pct"/>
            <w:noWrap/>
            <w:hideMark/>
          </w:tcPr>
          <w:p w14:paraId="70586B92"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-2</w:t>
            </w:r>
          </w:p>
        </w:tc>
        <w:tc>
          <w:tcPr>
            <w:tcW w:w="705" w:type="pct"/>
            <w:noWrap/>
            <w:hideMark/>
          </w:tcPr>
          <w:p w14:paraId="0B23AC3D"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-297</w:t>
            </w:r>
          </w:p>
        </w:tc>
        <w:tc>
          <w:tcPr>
            <w:tcW w:w="705" w:type="pct"/>
            <w:noWrap/>
            <w:hideMark/>
          </w:tcPr>
          <w:p w14:paraId="72935EB9"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-200</w:t>
            </w:r>
          </w:p>
        </w:tc>
        <w:tc>
          <w:tcPr>
            <w:tcW w:w="845" w:type="pct"/>
            <w:noWrap/>
            <w:hideMark/>
          </w:tcPr>
          <w:p w14:paraId="1AA5D2C0"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-560</w:t>
            </w:r>
          </w:p>
        </w:tc>
        <w:tc>
          <w:tcPr>
            <w:tcW w:w="702" w:type="pct"/>
            <w:noWrap/>
            <w:hideMark/>
          </w:tcPr>
          <w:p w14:paraId="6692C6D2"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-563</w:t>
            </w:r>
          </w:p>
        </w:tc>
      </w:tr>
      <w:tr w:rsidR="00D24603" w:rsidRPr="00F52561" w14:paraId="59E66ED1" w14:textId="77777777" w:rsidTr="00435936">
        <w:trPr>
          <w:trHeight w:val="300"/>
        </w:trPr>
        <w:tc>
          <w:tcPr>
            <w:tcW w:w="633" w:type="pct"/>
            <w:shd w:val="clear" w:color="000000" w:fill="FFFFFF"/>
            <w:noWrap/>
            <w:vAlign w:val="bottom"/>
            <w:hideMark/>
          </w:tcPr>
          <w:p w14:paraId="30AB822A" w14:textId="77777777" w:rsidR="00D24603" w:rsidRPr="00F52561"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9</w:t>
            </w:r>
            <w:r>
              <w:rPr>
                <w:rFonts w:ascii="Calibri" w:eastAsia="Times New Roman" w:hAnsi="Calibri" w:cs="Calibri"/>
                <w:color w:val="000000"/>
                <w:kern w:val="0"/>
                <w:sz w:val="22"/>
                <w:szCs w:val="22"/>
                <w14:ligatures w14:val="none"/>
              </w:rPr>
              <w:t>*</w:t>
            </w:r>
          </w:p>
        </w:tc>
        <w:tc>
          <w:tcPr>
            <w:tcW w:w="705" w:type="pct"/>
            <w:shd w:val="clear" w:color="000000" w:fill="FFFFFF"/>
            <w:noWrap/>
            <w:hideMark/>
          </w:tcPr>
          <w:p w14:paraId="3EAD6577"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 xml:space="preserve"> 1,263 </w:t>
            </w:r>
          </w:p>
        </w:tc>
        <w:tc>
          <w:tcPr>
            <w:tcW w:w="705" w:type="pct"/>
            <w:noWrap/>
            <w:hideMark/>
          </w:tcPr>
          <w:p w14:paraId="1D1A68C3" w14:textId="77777777" w:rsidR="00D24603" w:rsidRPr="0002400D" w:rsidRDefault="00D24603" w:rsidP="00CE3D62">
            <w:pPr>
              <w:spacing w:after="0"/>
              <w:jc w:val="right"/>
              <w:rPr>
                <w:rFonts w:ascii="Calibri" w:hAnsi="Calibri" w:cs="Calibri"/>
                <w:color w:val="000000"/>
                <w:sz w:val="22"/>
                <w:szCs w:val="22"/>
              </w:rPr>
            </w:pPr>
            <w:r>
              <w:rPr>
                <w:rFonts w:ascii="Calibri" w:hAnsi="Calibri" w:cs="Calibri"/>
                <w:color w:val="000000"/>
                <w:sz w:val="22"/>
                <w:szCs w:val="22"/>
              </w:rPr>
              <w:t>0</w:t>
            </w:r>
          </w:p>
        </w:tc>
        <w:tc>
          <w:tcPr>
            <w:tcW w:w="705" w:type="pct"/>
            <w:noWrap/>
            <w:hideMark/>
          </w:tcPr>
          <w:p w14:paraId="1931D536"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-233</w:t>
            </w:r>
          </w:p>
        </w:tc>
        <w:tc>
          <w:tcPr>
            <w:tcW w:w="705" w:type="pct"/>
            <w:noWrap/>
            <w:hideMark/>
          </w:tcPr>
          <w:p w14:paraId="27CD4053"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-53</w:t>
            </w:r>
          </w:p>
        </w:tc>
        <w:tc>
          <w:tcPr>
            <w:tcW w:w="845" w:type="pct"/>
            <w:noWrap/>
            <w:hideMark/>
          </w:tcPr>
          <w:p w14:paraId="0829837A"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-330</w:t>
            </w:r>
          </w:p>
        </w:tc>
        <w:tc>
          <w:tcPr>
            <w:tcW w:w="702" w:type="pct"/>
            <w:noWrap/>
            <w:hideMark/>
          </w:tcPr>
          <w:p w14:paraId="3BA59232"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-330</w:t>
            </w:r>
          </w:p>
        </w:tc>
      </w:tr>
      <w:tr w:rsidR="00D24603" w:rsidRPr="00F52561" w14:paraId="404C33E0" w14:textId="77777777" w:rsidTr="00435936">
        <w:trPr>
          <w:trHeight w:val="300"/>
        </w:trPr>
        <w:tc>
          <w:tcPr>
            <w:tcW w:w="633" w:type="pct"/>
            <w:shd w:val="clear" w:color="000000" w:fill="FFFFFF"/>
            <w:noWrap/>
            <w:vAlign w:val="bottom"/>
            <w:hideMark/>
          </w:tcPr>
          <w:p w14:paraId="78361BEB" w14:textId="77777777" w:rsidR="00D24603" w:rsidRPr="00F52561"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10</w:t>
            </w:r>
          </w:p>
        </w:tc>
        <w:tc>
          <w:tcPr>
            <w:tcW w:w="705" w:type="pct"/>
            <w:shd w:val="clear" w:color="000000" w:fill="FFFFFF"/>
            <w:noWrap/>
            <w:hideMark/>
          </w:tcPr>
          <w:p w14:paraId="4ED9F7F6"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 xml:space="preserve"> 1,522 </w:t>
            </w:r>
          </w:p>
        </w:tc>
        <w:tc>
          <w:tcPr>
            <w:tcW w:w="705" w:type="pct"/>
            <w:noWrap/>
            <w:hideMark/>
          </w:tcPr>
          <w:p w14:paraId="1B0A804C"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0</w:t>
            </w:r>
          </w:p>
        </w:tc>
        <w:tc>
          <w:tcPr>
            <w:tcW w:w="705" w:type="pct"/>
            <w:noWrap/>
            <w:hideMark/>
          </w:tcPr>
          <w:p w14:paraId="7CE8949C"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-163</w:t>
            </w:r>
          </w:p>
        </w:tc>
        <w:tc>
          <w:tcPr>
            <w:tcW w:w="705" w:type="pct"/>
            <w:noWrap/>
            <w:hideMark/>
          </w:tcPr>
          <w:p w14:paraId="019A1CF0"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-161</w:t>
            </w:r>
          </w:p>
        </w:tc>
        <w:tc>
          <w:tcPr>
            <w:tcW w:w="845" w:type="pct"/>
            <w:noWrap/>
            <w:hideMark/>
          </w:tcPr>
          <w:p w14:paraId="1054C4D5"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-376</w:t>
            </w:r>
          </w:p>
        </w:tc>
        <w:tc>
          <w:tcPr>
            <w:tcW w:w="702" w:type="pct"/>
            <w:noWrap/>
            <w:hideMark/>
          </w:tcPr>
          <w:p w14:paraId="1F0FE836"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-376</w:t>
            </w:r>
          </w:p>
        </w:tc>
      </w:tr>
      <w:tr w:rsidR="00D24603" w:rsidRPr="00F52561" w14:paraId="7E8F5EFD" w14:textId="77777777" w:rsidTr="00435936">
        <w:trPr>
          <w:trHeight w:val="300"/>
        </w:trPr>
        <w:tc>
          <w:tcPr>
            <w:tcW w:w="633" w:type="pct"/>
            <w:shd w:val="clear" w:color="000000" w:fill="FFFFFF"/>
            <w:noWrap/>
            <w:vAlign w:val="bottom"/>
            <w:hideMark/>
          </w:tcPr>
          <w:p w14:paraId="466EE8CF" w14:textId="77777777" w:rsidR="00D24603" w:rsidRPr="00F52561"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11</w:t>
            </w:r>
          </w:p>
        </w:tc>
        <w:tc>
          <w:tcPr>
            <w:tcW w:w="705" w:type="pct"/>
            <w:shd w:val="clear" w:color="000000" w:fill="FFFFFF"/>
            <w:noWrap/>
            <w:hideMark/>
          </w:tcPr>
          <w:p w14:paraId="27E639D9"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 xml:space="preserve"> 655 </w:t>
            </w:r>
          </w:p>
        </w:tc>
        <w:tc>
          <w:tcPr>
            <w:tcW w:w="705" w:type="pct"/>
            <w:noWrap/>
            <w:hideMark/>
          </w:tcPr>
          <w:p w14:paraId="4645FBD8"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-1</w:t>
            </w:r>
          </w:p>
        </w:tc>
        <w:tc>
          <w:tcPr>
            <w:tcW w:w="705" w:type="pct"/>
            <w:noWrap/>
            <w:hideMark/>
          </w:tcPr>
          <w:p w14:paraId="05DB6849"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-71</w:t>
            </w:r>
          </w:p>
        </w:tc>
        <w:tc>
          <w:tcPr>
            <w:tcW w:w="705" w:type="pct"/>
            <w:noWrap/>
            <w:hideMark/>
          </w:tcPr>
          <w:p w14:paraId="4D3C71B0"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-44</w:t>
            </w:r>
          </w:p>
        </w:tc>
        <w:tc>
          <w:tcPr>
            <w:tcW w:w="845" w:type="pct"/>
            <w:noWrap/>
            <w:hideMark/>
          </w:tcPr>
          <w:p w14:paraId="22E25D7B"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-120</w:t>
            </w:r>
          </w:p>
        </w:tc>
        <w:tc>
          <w:tcPr>
            <w:tcW w:w="702" w:type="pct"/>
            <w:noWrap/>
            <w:hideMark/>
          </w:tcPr>
          <w:p w14:paraId="61290AC7"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-121</w:t>
            </w:r>
          </w:p>
        </w:tc>
      </w:tr>
      <w:tr w:rsidR="00D24603" w:rsidRPr="00F52561" w14:paraId="1CA4507A" w14:textId="77777777" w:rsidTr="00435936">
        <w:trPr>
          <w:trHeight w:val="300"/>
        </w:trPr>
        <w:tc>
          <w:tcPr>
            <w:tcW w:w="633" w:type="pct"/>
            <w:shd w:val="clear" w:color="000000" w:fill="FFFFFF"/>
            <w:noWrap/>
            <w:vAlign w:val="bottom"/>
            <w:hideMark/>
          </w:tcPr>
          <w:p w14:paraId="5D3C02EC" w14:textId="77777777" w:rsidR="00D24603" w:rsidRPr="00F52561"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12</w:t>
            </w:r>
            <w:r>
              <w:rPr>
                <w:rFonts w:ascii="Calibri" w:eastAsia="Times New Roman" w:hAnsi="Calibri" w:cs="Calibri"/>
                <w:color w:val="000000"/>
                <w:kern w:val="0"/>
                <w:sz w:val="22"/>
                <w:szCs w:val="22"/>
                <w14:ligatures w14:val="none"/>
              </w:rPr>
              <w:t>*</w:t>
            </w:r>
          </w:p>
        </w:tc>
        <w:tc>
          <w:tcPr>
            <w:tcW w:w="705" w:type="pct"/>
            <w:shd w:val="clear" w:color="000000" w:fill="FFFFFF"/>
            <w:noWrap/>
            <w:hideMark/>
          </w:tcPr>
          <w:p w14:paraId="6249110B"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 xml:space="preserve"> 6,164 </w:t>
            </w:r>
          </w:p>
        </w:tc>
        <w:tc>
          <w:tcPr>
            <w:tcW w:w="705" w:type="pct"/>
            <w:noWrap/>
            <w:hideMark/>
          </w:tcPr>
          <w:p w14:paraId="281FAFC2" w14:textId="77777777" w:rsidR="00D24603" w:rsidRPr="0002400D" w:rsidRDefault="00D24603" w:rsidP="00CE3D62">
            <w:pPr>
              <w:spacing w:after="0"/>
              <w:jc w:val="right"/>
              <w:rPr>
                <w:rFonts w:ascii="Calibri" w:hAnsi="Calibri" w:cs="Calibri"/>
                <w:color w:val="000000"/>
                <w:sz w:val="22"/>
                <w:szCs w:val="22"/>
              </w:rPr>
            </w:pPr>
            <w:r>
              <w:rPr>
                <w:rFonts w:ascii="Calibri" w:hAnsi="Calibri" w:cs="Calibri"/>
                <w:color w:val="000000"/>
                <w:sz w:val="22"/>
                <w:szCs w:val="22"/>
              </w:rPr>
              <w:t>0</w:t>
            </w:r>
          </w:p>
        </w:tc>
        <w:tc>
          <w:tcPr>
            <w:tcW w:w="705" w:type="pct"/>
            <w:noWrap/>
            <w:hideMark/>
          </w:tcPr>
          <w:p w14:paraId="62A67A5E"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-986</w:t>
            </w:r>
          </w:p>
        </w:tc>
        <w:tc>
          <w:tcPr>
            <w:tcW w:w="705" w:type="pct"/>
            <w:noWrap/>
            <w:hideMark/>
          </w:tcPr>
          <w:p w14:paraId="27B160A3"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-320</w:t>
            </w:r>
          </w:p>
        </w:tc>
        <w:tc>
          <w:tcPr>
            <w:tcW w:w="845" w:type="pct"/>
            <w:noWrap/>
            <w:hideMark/>
          </w:tcPr>
          <w:p w14:paraId="5AD503B0"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-1,462</w:t>
            </w:r>
          </w:p>
        </w:tc>
        <w:tc>
          <w:tcPr>
            <w:tcW w:w="702" w:type="pct"/>
            <w:noWrap/>
            <w:hideMark/>
          </w:tcPr>
          <w:p w14:paraId="38FB52CD"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-1,462</w:t>
            </w:r>
          </w:p>
        </w:tc>
      </w:tr>
      <w:tr w:rsidR="00D24603" w:rsidRPr="00F52561" w14:paraId="5DC95E8D" w14:textId="77777777" w:rsidTr="00435936">
        <w:trPr>
          <w:trHeight w:val="300"/>
        </w:trPr>
        <w:tc>
          <w:tcPr>
            <w:tcW w:w="633" w:type="pct"/>
            <w:shd w:val="clear" w:color="000000" w:fill="FFFFFF"/>
            <w:noWrap/>
            <w:vAlign w:val="bottom"/>
            <w:hideMark/>
          </w:tcPr>
          <w:p w14:paraId="66B00F2A" w14:textId="77777777" w:rsidR="00D24603" w:rsidRPr="00F52561"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13</w:t>
            </w:r>
          </w:p>
        </w:tc>
        <w:tc>
          <w:tcPr>
            <w:tcW w:w="705" w:type="pct"/>
            <w:shd w:val="clear" w:color="000000" w:fill="FFFFFF"/>
            <w:noWrap/>
            <w:hideMark/>
          </w:tcPr>
          <w:p w14:paraId="0B42BCF7"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 xml:space="preserve"> 19,174 </w:t>
            </w:r>
          </w:p>
        </w:tc>
        <w:tc>
          <w:tcPr>
            <w:tcW w:w="705" w:type="pct"/>
            <w:noWrap/>
            <w:hideMark/>
          </w:tcPr>
          <w:p w14:paraId="1A580921"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0</w:t>
            </w:r>
          </w:p>
        </w:tc>
        <w:tc>
          <w:tcPr>
            <w:tcW w:w="705" w:type="pct"/>
            <w:noWrap/>
            <w:hideMark/>
          </w:tcPr>
          <w:p w14:paraId="3E62EFB6"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-3,264</w:t>
            </w:r>
          </w:p>
        </w:tc>
        <w:tc>
          <w:tcPr>
            <w:tcW w:w="705" w:type="pct"/>
            <w:noWrap/>
            <w:hideMark/>
          </w:tcPr>
          <w:p w14:paraId="7492DFD9"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-966</w:t>
            </w:r>
          </w:p>
        </w:tc>
        <w:tc>
          <w:tcPr>
            <w:tcW w:w="845" w:type="pct"/>
            <w:noWrap/>
            <w:hideMark/>
          </w:tcPr>
          <w:p w14:paraId="41A273A7"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-4,735</w:t>
            </w:r>
          </w:p>
        </w:tc>
        <w:tc>
          <w:tcPr>
            <w:tcW w:w="702" w:type="pct"/>
            <w:noWrap/>
            <w:hideMark/>
          </w:tcPr>
          <w:p w14:paraId="103BB632"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-4,735</w:t>
            </w:r>
          </w:p>
        </w:tc>
      </w:tr>
      <w:tr w:rsidR="00D24603" w:rsidRPr="00F52561" w14:paraId="2440877C" w14:textId="77777777" w:rsidTr="00435936">
        <w:trPr>
          <w:trHeight w:val="300"/>
        </w:trPr>
        <w:tc>
          <w:tcPr>
            <w:tcW w:w="633" w:type="pct"/>
            <w:shd w:val="clear" w:color="000000" w:fill="FFFFFF"/>
            <w:noWrap/>
            <w:vAlign w:val="bottom"/>
            <w:hideMark/>
          </w:tcPr>
          <w:p w14:paraId="113D1E84" w14:textId="77777777" w:rsidR="00D24603" w:rsidRPr="00F52561"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14</w:t>
            </w:r>
            <w:r>
              <w:rPr>
                <w:rFonts w:ascii="Calibri" w:eastAsia="Times New Roman" w:hAnsi="Calibri" w:cs="Calibri"/>
                <w:color w:val="000000"/>
                <w:kern w:val="0"/>
                <w:sz w:val="22"/>
                <w:szCs w:val="22"/>
                <w14:ligatures w14:val="none"/>
              </w:rPr>
              <w:t>*</w:t>
            </w:r>
          </w:p>
        </w:tc>
        <w:tc>
          <w:tcPr>
            <w:tcW w:w="705" w:type="pct"/>
            <w:shd w:val="clear" w:color="000000" w:fill="FFFFFF"/>
            <w:noWrap/>
            <w:hideMark/>
          </w:tcPr>
          <w:p w14:paraId="70C878E1"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 xml:space="preserve"> 2,091 </w:t>
            </w:r>
          </w:p>
        </w:tc>
        <w:tc>
          <w:tcPr>
            <w:tcW w:w="705" w:type="pct"/>
            <w:noWrap/>
            <w:hideMark/>
          </w:tcPr>
          <w:p w14:paraId="55D24227" w14:textId="77777777" w:rsidR="00D24603" w:rsidRPr="0002400D" w:rsidRDefault="00D24603" w:rsidP="00CE3D62">
            <w:pPr>
              <w:spacing w:after="0"/>
              <w:jc w:val="right"/>
              <w:rPr>
                <w:rFonts w:ascii="Calibri" w:hAnsi="Calibri" w:cs="Calibri"/>
                <w:color w:val="000000"/>
                <w:sz w:val="22"/>
                <w:szCs w:val="22"/>
              </w:rPr>
            </w:pPr>
            <w:r>
              <w:rPr>
                <w:rFonts w:ascii="Calibri" w:hAnsi="Calibri" w:cs="Calibri"/>
                <w:color w:val="000000"/>
                <w:sz w:val="22"/>
                <w:szCs w:val="22"/>
              </w:rPr>
              <w:t>0</w:t>
            </w:r>
          </w:p>
        </w:tc>
        <w:tc>
          <w:tcPr>
            <w:tcW w:w="705" w:type="pct"/>
            <w:noWrap/>
            <w:hideMark/>
          </w:tcPr>
          <w:p w14:paraId="7E40BA17"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-256</w:t>
            </w:r>
          </w:p>
        </w:tc>
        <w:tc>
          <w:tcPr>
            <w:tcW w:w="705" w:type="pct"/>
            <w:noWrap/>
            <w:hideMark/>
          </w:tcPr>
          <w:p w14:paraId="14300217"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-97</w:t>
            </w:r>
          </w:p>
        </w:tc>
        <w:tc>
          <w:tcPr>
            <w:tcW w:w="845" w:type="pct"/>
            <w:noWrap/>
            <w:hideMark/>
          </w:tcPr>
          <w:p w14:paraId="10CCD80B"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-375</w:t>
            </w:r>
          </w:p>
        </w:tc>
        <w:tc>
          <w:tcPr>
            <w:tcW w:w="702" w:type="pct"/>
            <w:noWrap/>
            <w:hideMark/>
          </w:tcPr>
          <w:p w14:paraId="1D88CD81"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-375</w:t>
            </w:r>
          </w:p>
        </w:tc>
      </w:tr>
      <w:tr w:rsidR="00D24603" w:rsidRPr="00F52561" w14:paraId="0302AE40" w14:textId="77777777" w:rsidTr="00435936">
        <w:trPr>
          <w:trHeight w:val="300"/>
        </w:trPr>
        <w:tc>
          <w:tcPr>
            <w:tcW w:w="633" w:type="pct"/>
            <w:shd w:val="clear" w:color="000000" w:fill="FFFFFF"/>
            <w:noWrap/>
            <w:vAlign w:val="bottom"/>
            <w:hideMark/>
          </w:tcPr>
          <w:p w14:paraId="5A9A6DAC" w14:textId="77777777" w:rsidR="00D24603" w:rsidRPr="00F52561"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15</w:t>
            </w:r>
          </w:p>
        </w:tc>
        <w:tc>
          <w:tcPr>
            <w:tcW w:w="705" w:type="pct"/>
            <w:shd w:val="clear" w:color="000000" w:fill="FFFFFF"/>
            <w:noWrap/>
            <w:hideMark/>
          </w:tcPr>
          <w:p w14:paraId="716E4037"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 xml:space="preserve"> 1,215 </w:t>
            </w:r>
          </w:p>
        </w:tc>
        <w:tc>
          <w:tcPr>
            <w:tcW w:w="705" w:type="pct"/>
            <w:noWrap/>
            <w:hideMark/>
          </w:tcPr>
          <w:p w14:paraId="2DA26AED"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-1</w:t>
            </w:r>
          </w:p>
        </w:tc>
        <w:tc>
          <w:tcPr>
            <w:tcW w:w="705" w:type="pct"/>
            <w:noWrap/>
            <w:hideMark/>
          </w:tcPr>
          <w:p w14:paraId="4AECE422"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-162</w:t>
            </w:r>
          </w:p>
        </w:tc>
        <w:tc>
          <w:tcPr>
            <w:tcW w:w="705" w:type="pct"/>
            <w:noWrap/>
            <w:hideMark/>
          </w:tcPr>
          <w:p w14:paraId="7CF8C49D"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-133</w:t>
            </w:r>
          </w:p>
        </w:tc>
        <w:tc>
          <w:tcPr>
            <w:tcW w:w="845" w:type="pct"/>
            <w:noWrap/>
            <w:hideMark/>
          </w:tcPr>
          <w:p w14:paraId="6E9BBA30"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-330</w:t>
            </w:r>
          </w:p>
        </w:tc>
        <w:tc>
          <w:tcPr>
            <w:tcW w:w="702" w:type="pct"/>
            <w:noWrap/>
            <w:hideMark/>
          </w:tcPr>
          <w:p w14:paraId="6742A6B7"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-331</w:t>
            </w:r>
          </w:p>
        </w:tc>
      </w:tr>
      <w:tr w:rsidR="00D24603" w:rsidRPr="00F52561" w14:paraId="2CC87836" w14:textId="77777777" w:rsidTr="00435936">
        <w:trPr>
          <w:trHeight w:val="300"/>
        </w:trPr>
        <w:tc>
          <w:tcPr>
            <w:tcW w:w="633" w:type="pct"/>
            <w:shd w:val="clear" w:color="000000" w:fill="FFFFFF"/>
            <w:noWrap/>
            <w:vAlign w:val="bottom"/>
            <w:hideMark/>
          </w:tcPr>
          <w:p w14:paraId="18E372B8" w14:textId="77777777" w:rsidR="00D24603" w:rsidRPr="00F52561"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16</w:t>
            </w:r>
          </w:p>
        </w:tc>
        <w:tc>
          <w:tcPr>
            <w:tcW w:w="705" w:type="pct"/>
            <w:shd w:val="clear" w:color="000000" w:fill="FFFFFF"/>
            <w:noWrap/>
            <w:hideMark/>
          </w:tcPr>
          <w:p w14:paraId="68B4A96D"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 xml:space="preserve"> 1,032 </w:t>
            </w:r>
          </w:p>
        </w:tc>
        <w:tc>
          <w:tcPr>
            <w:tcW w:w="705" w:type="pct"/>
            <w:noWrap/>
            <w:hideMark/>
          </w:tcPr>
          <w:p w14:paraId="75D4AE5C"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0</w:t>
            </w:r>
          </w:p>
        </w:tc>
        <w:tc>
          <w:tcPr>
            <w:tcW w:w="705" w:type="pct"/>
            <w:noWrap/>
            <w:hideMark/>
          </w:tcPr>
          <w:p w14:paraId="7B31F19C"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-148</w:t>
            </w:r>
          </w:p>
        </w:tc>
        <w:tc>
          <w:tcPr>
            <w:tcW w:w="705" w:type="pct"/>
            <w:noWrap/>
            <w:hideMark/>
          </w:tcPr>
          <w:p w14:paraId="460EE6FB"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-38</w:t>
            </w:r>
          </w:p>
        </w:tc>
        <w:tc>
          <w:tcPr>
            <w:tcW w:w="845" w:type="pct"/>
            <w:noWrap/>
            <w:hideMark/>
          </w:tcPr>
          <w:p w14:paraId="44C00805"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-204</w:t>
            </w:r>
          </w:p>
        </w:tc>
        <w:tc>
          <w:tcPr>
            <w:tcW w:w="702" w:type="pct"/>
            <w:noWrap/>
            <w:hideMark/>
          </w:tcPr>
          <w:p w14:paraId="160083AE"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-204</w:t>
            </w:r>
          </w:p>
        </w:tc>
      </w:tr>
      <w:tr w:rsidR="00D24603" w:rsidRPr="00F52561" w14:paraId="39C2D47D" w14:textId="77777777" w:rsidTr="00435936">
        <w:trPr>
          <w:trHeight w:val="300"/>
        </w:trPr>
        <w:tc>
          <w:tcPr>
            <w:tcW w:w="633" w:type="pct"/>
            <w:shd w:val="clear" w:color="000000" w:fill="FFFFFF"/>
            <w:noWrap/>
            <w:vAlign w:val="bottom"/>
            <w:hideMark/>
          </w:tcPr>
          <w:p w14:paraId="21B88CD5" w14:textId="77777777" w:rsidR="00D24603" w:rsidRPr="00F52561"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17</w:t>
            </w:r>
            <w:r>
              <w:rPr>
                <w:rFonts w:ascii="Calibri" w:eastAsia="Times New Roman" w:hAnsi="Calibri" w:cs="Calibri"/>
                <w:color w:val="000000"/>
                <w:kern w:val="0"/>
                <w:sz w:val="22"/>
                <w:szCs w:val="22"/>
                <w14:ligatures w14:val="none"/>
              </w:rPr>
              <w:t>*</w:t>
            </w:r>
          </w:p>
        </w:tc>
        <w:tc>
          <w:tcPr>
            <w:tcW w:w="705" w:type="pct"/>
            <w:shd w:val="clear" w:color="000000" w:fill="FFFFFF"/>
            <w:noWrap/>
            <w:hideMark/>
          </w:tcPr>
          <w:p w14:paraId="3FFF795B"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 xml:space="preserve"> 3,143 </w:t>
            </w:r>
          </w:p>
        </w:tc>
        <w:tc>
          <w:tcPr>
            <w:tcW w:w="705" w:type="pct"/>
            <w:noWrap/>
            <w:hideMark/>
          </w:tcPr>
          <w:p w14:paraId="46DF77D1" w14:textId="77777777" w:rsidR="00D24603" w:rsidRPr="0002400D" w:rsidRDefault="00D24603" w:rsidP="00CE3D62">
            <w:pPr>
              <w:spacing w:after="0"/>
              <w:jc w:val="right"/>
              <w:rPr>
                <w:rFonts w:ascii="Calibri" w:hAnsi="Calibri" w:cs="Calibri"/>
                <w:color w:val="000000"/>
                <w:sz w:val="22"/>
                <w:szCs w:val="22"/>
              </w:rPr>
            </w:pPr>
            <w:r>
              <w:rPr>
                <w:rFonts w:ascii="Calibri" w:hAnsi="Calibri" w:cs="Calibri"/>
                <w:color w:val="000000"/>
                <w:sz w:val="22"/>
                <w:szCs w:val="22"/>
              </w:rPr>
              <w:t>0</w:t>
            </w:r>
          </w:p>
        </w:tc>
        <w:tc>
          <w:tcPr>
            <w:tcW w:w="705" w:type="pct"/>
            <w:noWrap/>
            <w:hideMark/>
          </w:tcPr>
          <w:p w14:paraId="06046C03"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-406</w:t>
            </w:r>
          </w:p>
        </w:tc>
        <w:tc>
          <w:tcPr>
            <w:tcW w:w="705" w:type="pct"/>
            <w:noWrap/>
            <w:hideMark/>
          </w:tcPr>
          <w:p w14:paraId="72B075D2"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-121</w:t>
            </w:r>
          </w:p>
        </w:tc>
        <w:tc>
          <w:tcPr>
            <w:tcW w:w="845" w:type="pct"/>
            <w:noWrap/>
            <w:hideMark/>
          </w:tcPr>
          <w:p w14:paraId="76A4E51C"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-577</w:t>
            </w:r>
          </w:p>
        </w:tc>
        <w:tc>
          <w:tcPr>
            <w:tcW w:w="702" w:type="pct"/>
            <w:noWrap/>
            <w:hideMark/>
          </w:tcPr>
          <w:p w14:paraId="2EF64BB3"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-577</w:t>
            </w:r>
          </w:p>
        </w:tc>
      </w:tr>
      <w:tr w:rsidR="00D24603" w:rsidRPr="00F52561" w14:paraId="78B89D59" w14:textId="77777777" w:rsidTr="00435936">
        <w:trPr>
          <w:trHeight w:val="300"/>
        </w:trPr>
        <w:tc>
          <w:tcPr>
            <w:tcW w:w="633" w:type="pct"/>
            <w:shd w:val="clear" w:color="000000" w:fill="FFFFFF"/>
            <w:noWrap/>
            <w:vAlign w:val="bottom"/>
            <w:hideMark/>
          </w:tcPr>
          <w:p w14:paraId="025E9DAD" w14:textId="77777777" w:rsidR="00D24603" w:rsidRPr="00F52561"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18</w:t>
            </w:r>
          </w:p>
        </w:tc>
        <w:tc>
          <w:tcPr>
            <w:tcW w:w="705" w:type="pct"/>
            <w:shd w:val="clear" w:color="000000" w:fill="FFFFFF"/>
            <w:noWrap/>
            <w:hideMark/>
          </w:tcPr>
          <w:p w14:paraId="02D3964C"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 xml:space="preserve"> 1,257 </w:t>
            </w:r>
          </w:p>
        </w:tc>
        <w:tc>
          <w:tcPr>
            <w:tcW w:w="705" w:type="pct"/>
            <w:noWrap/>
            <w:hideMark/>
          </w:tcPr>
          <w:p w14:paraId="0A3987AE"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-0</w:t>
            </w:r>
          </w:p>
        </w:tc>
        <w:tc>
          <w:tcPr>
            <w:tcW w:w="705" w:type="pct"/>
            <w:noWrap/>
            <w:hideMark/>
          </w:tcPr>
          <w:p w14:paraId="5C16CCCF"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-206</w:t>
            </w:r>
          </w:p>
        </w:tc>
        <w:tc>
          <w:tcPr>
            <w:tcW w:w="705" w:type="pct"/>
            <w:noWrap/>
            <w:hideMark/>
          </w:tcPr>
          <w:p w14:paraId="71BC1907"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-36</w:t>
            </w:r>
          </w:p>
        </w:tc>
        <w:tc>
          <w:tcPr>
            <w:tcW w:w="845" w:type="pct"/>
            <w:noWrap/>
            <w:hideMark/>
          </w:tcPr>
          <w:p w14:paraId="58190486"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-257</w:t>
            </w:r>
          </w:p>
        </w:tc>
        <w:tc>
          <w:tcPr>
            <w:tcW w:w="702" w:type="pct"/>
            <w:noWrap/>
            <w:hideMark/>
          </w:tcPr>
          <w:p w14:paraId="52CF6092"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-257</w:t>
            </w:r>
          </w:p>
        </w:tc>
      </w:tr>
      <w:tr w:rsidR="00D24603" w:rsidRPr="00F52561" w14:paraId="531C4348" w14:textId="77777777" w:rsidTr="00435936">
        <w:trPr>
          <w:trHeight w:val="300"/>
        </w:trPr>
        <w:tc>
          <w:tcPr>
            <w:tcW w:w="633" w:type="pct"/>
            <w:shd w:val="clear" w:color="000000" w:fill="FFFFFF"/>
            <w:noWrap/>
            <w:vAlign w:val="bottom"/>
            <w:hideMark/>
          </w:tcPr>
          <w:p w14:paraId="5D795724" w14:textId="77777777" w:rsidR="00D24603" w:rsidRPr="00F52561"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19</w:t>
            </w:r>
          </w:p>
        </w:tc>
        <w:tc>
          <w:tcPr>
            <w:tcW w:w="705" w:type="pct"/>
            <w:shd w:val="clear" w:color="000000" w:fill="FFFFFF"/>
            <w:noWrap/>
            <w:hideMark/>
          </w:tcPr>
          <w:p w14:paraId="1310EB01"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 xml:space="preserve"> 1,769 </w:t>
            </w:r>
          </w:p>
        </w:tc>
        <w:tc>
          <w:tcPr>
            <w:tcW w:w="705" w:type="pct"/>
            <w:noWrap/>
            <w:hideMark/>
          </w:tcPr>
          <w:p w14:paraId="0B14408F"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0</w:t>
            </w:r>
          </w:p>
        </w:tc>
        <w:tc>
          <w:tcPr>
            <w:tcW w:w="705" w:type="pct"/>
            <w:noWrap/>
            <w:hideMark/>
          </w:tcPr>
          <w:p w14:paraId="22FD7475"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-248</w:t>
            </w:r>
          </w:p>
        </w:tc>
        <w:tc>
          <w:tcPr>
            <w:tcW w:w="705" w:type="pct"/>
            <w:noWrap/>
            <w:hideMark/>
          </w:tcPr>
          <w:p w14:paraId="7069836B"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-52</w:t>
            </w:r>
          </w:p>
        </w:tc>
        <w:tc>
          <w:tcPr>
            <w:tcW w:w="845" w:type="pct"/>
            <w:noWrap/>
            <w:hideMark/>
          </w:tcPr>
          <w:p w14:paraId="1AE394B0"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-322</w:t>
            </w:r>
          </w:p>
        </w:tc>
        <w:tc>
          <w:tcPr>
            <w:tcW w:w="702" w:type="pct"/>
            <w:noWrap/>
            <w:hideMark/>
          </w:tcPr>
          <w:p w14:paraId="27CBDE4F"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-322</w:t>
            </w:r>
          </w:p>
        </w:tc>
      </w:tr>
      <w:tr w:rsidR="00D24603" w:rsidRPr="00F52561" w14:paraId="7298EF2B" w14:textId="77777777" w:rsidTr="00435936">
        <w:trPr>
          <w:trHeight w:val="300"/>
        </w:trPr>
        <w:tc>
          <w:tcPr>
            <w:tcW w:w="633" w:type="pct"/>
            <w:shd w:val="clear" w:color="000000" w:fill="FFFFFF"/>
            <w:noWrap/>
            <w:vAlign w:val="bottom"/>
            <w:hideMark/>
          </w:tcPr>
          <w:p w14:paraId="7E4DFF0A" w14:textId="77777777" w:rsidR="00D24603" w:rsidRPr="00F52561"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20</w:t>
            </w:r>
          </w:p>
        </w:tc>
        <w:tc>
          <w:tcPr>
            <w:tcW w:w="705" w:type="pct"/>
            <w:shd w:val="clear" w:color="000000" w:fill="FFFFFF"/>
            <w:noWrap/>
            <w:hideMark/>
          </w:tcPr>
          <w:p w14:paraId="113E1354"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 xml:space="preserve"> 5,694 </w:t>
            </w:r>
          </w:p>
        </w:tc>
        <w:tc>
          <w:tcPr>
            <w:tcW w:w="705" w:type="pct"/>
            <w:noWrap/>
            <w:hideMark/>
          </w:tcPr>
          <w:p w14:paraId="15783830"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-1</w:t>
            </w:r>
          </w:p>
        </w:tc>
        <w:tc>
          <w:tcPr>
            <w:tcW w:w="705" w:type="pct"/>
            <w:noWrap/>
            <w:hideMark/>
          </w:tcPr>
          <w:p w14:paraId="40104588"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-622</w:t>
            </w:r>
          </w:p>
        </w:tc>
        <w:tc>
          <w:tcPr>
            <w:tcW w:w="705" w:type="pct"/>
            <w:noWrap/>
            <w:hideMark/>
          </w:tcPr>
          <w:p w14:paraId="4B483FCF"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-256</w:t>
            </w:r>
          </w:p>
        </w:tc>
        <w:tc>
          <w:tcPr>
            <w:tcW w:w="845" w:type="pct"/>
            <w:noWrap/>
            <w:hideMark/>
          </w:tcPr>
          <w:p w14:paraId="2DC4B407"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-910</w:t>
            </w:r>
          </w:p>
        </w:tc>
        <w:tc>
          <w:tcPr>
            <w:tcW w:w="702" w:type="pct"/>
            <w:noWrap/>
            <w:hideMark/>
          </w:tcPr>
          <w:p w14:paraId="6E3B437C"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-911</w:t>
            </w:r>
          </w:p>
        </w:tc>
      </w:tr>
      <w:tr w:rsidR="00D24603" w:rsidRPr="00F52561" w14:paraId="798EB7B2" w14:textId="77777777" w:rsidTr="00435936">
        <w:trPr>
          <w:trHeight w:val="300"/>
        </w:trPr>
        <w:tc>
          <w:tcPr>
            <w:tcW w:w="633" w:type="pct"/>
            <w:shd w:val="clear" w:color="000000" w:fill="FFFFFF"/>
            <w:noWrap/>
            <w:vAlign w:val="bottom"/>
            <w:hideMark/>
          </w:tcPr>
          <w:p w14:paraId="701C4006" w14:textId="77777777" w:rsidR="00D24603" w:rsidRPr="00F52561"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21</w:t>
            </w:r>
            <w:r>
              <w:rPr>
                <w:rFonts w:ascii="Calibri" w:eastAsia="Times New Roman" w:hAnsi="Calibri" w:cs="Calibri"/>
                <w:color w:val="000000"/>
                <w:kern w:val="0"/>
                <w:sz w:val="22"/>
                <w:szCs w:val="22"/>
                <w14:ligatures w14:val="none"/>
              </w:rPr>
              <w:t>*</w:t>
            </w:r>
          </w:p>
        </w:tc>
        <w:tc>
          <w:tcPr>
            <w:tcW w:w="705" w:type="pct"/>
            <w:shd w:val="clear" w:color="000000" w:fill="FFFFFF"/>
            <w:noWrap/>
            <w:hideMark/>
          </w:tcPr>
          <w:p w14:paraId="06D12CAE"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 xml:space="preserve"> 1,769 </w:t>
            </w:r>
          </w:p>
        </w:tc>
        <w:tc>
          <w:tcPr>
            <w:tcW w:w="705" w:type="pct"/>
            <w:noWrap/>
            <w:hideMark/>
          </w:tcPr>
          <w:p w14:paraId="21ABC47D" w14:textId="77777777" w:rsidR="00D24603" w:rsidRPr="0002400D" w:rsidRDefault="00D24603" w:rsidP="00CE3D62">
            <w:pPr>
              <w:spacing w:after="0"/>
              <w:jc w:val="right"/>
              <w:rPr>
                <w:rFonts w:ascii="Calibri" w:hAnsi="Calibri" w:cs="Calibri"/>
                <w:color w:val="000000"/>
                <w:sz w:val="22"/>
                <w:szCs w:val="22"/>
              </w:rPr>
            </w:pPr>
            <w:r>
              <w:rPr>
                <w:rFonts w:ascii="Calibri" w:hAnsi="Calibri" w:cs="Calibri"/>
                <w:color w:val="000000"/>
                <w:sz w:val="22"/>
                <w:szCs w:val="22"/>
              </w:rPr>
              <w:t>0</w:t>
            </w:r>
          </w:p>
        </w:tc>
        <w:tc>
          <w:tcPr>
            <w:tcW w:w="705" w:type="pct"/>
            <w:noWrap/>
            <w:hideMark/>
          </w:tcPr>
          <w:p w14:paraId="559DA881"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-277</w:t>
            </w:r>
          </w:p>
        </w:tc>
        <w:tc>
          <w:tcPr>
            <w:tcW w:w="705" w:type="pct"/>
            <w:noWrap/>
            <w:hideMark/>
          </w:tcPr>
          <w:p w14:paraId="1C564671"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-156</w:t>
            </w:r>
          </w:p>
        </w:tc>
        <w:tc>
          <w:tcPr>
            <w:tcW w:w="845" w:type="pct"/>
            <w:noWrap/>
            <w:hideMark/>
          </w:tcPr>
          <w:p w14:paraId="34D90DE8"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-544</w:t>
            </w:r>
          </w:p>
        </w:tc>
        <w:tc>
          <w:tcPr>
            <w:tcW w:w="702" w:type="pct"/>
            <w:noWrap/>
            <w:hideMark/>
          </w:tcPr>
          <w:p w14:paraId="05F7413F"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-544</w:t>
            </w:r>
          </w:p>
        </w:tc>
      </w:tr>
      <w:tr w:rsidR="00D24603" w:rsidRPr="00F52561" w14:paraId="3B3F78F2" w14:textId="77777777" w:rsidTr="00435936">
        <w:trPr>
          <w:trHeight w:val="300"/>
        </w:trPr>
        <w:tc>
          <w:tcPr>
            <w:tcW w:w="633" w:type="pct"/>
            <w:shd w:val="clear" w:color="000000" w:fill="FFFFFF"/>
            <w:noWrap/>
            <w:vAlign w:val="bottom"/>
            <w:hideMark/>
          </w:tcPr>
          <w:p w14:paraId="732A0F23" w14:textId="77777777" w:rsidR="00D24603" w:rsidRPr="00F52561"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22</w:t>
            </w:r>
            <w:r>
              <w:rPr>
                <w:rFonts w:ascii="Calibri" w:eastAsia="Times New Roman" w:hAnsi="Calibri" w:cs="Calibri"/>
                <w:color w:val="000000"/>
                <w:kern w:val="0"/>
                <w:sz w:val="22"/>
                <w:szCs w:val="22"/>
                <w14:ligatures w14:val="none"/>
              </w:rPr>
              <w:t>*</w:t>
            </w:r>
          </w:p>
        </w:tc>
        <w:tc>
          <w:tcPr>
            <w:tcW w:w="705" w:type="pct"/>
            <w:shd w:val="clear" w:color="000000" w:fill="FFFFFF"/>
            <w:noWrap/>
            <w:hideMark/>
          </w:tcPr>
          <w:p w14:paraId="2F93AC13"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 xml:space="preserve"> 1,498 </w:t>
            </w:r>
          </w:p>
        </w:tc>
        <w:tc>
          <w:tcPr>
            <w:tcW w:w="705" w:type="pct"/>
            <w:noWrap/>
            <w:hideMark/>
          </w:tcPr>
          <w:p w14:paraId="4F3D2034" w14:textId="77777777" w:rsidR="00D24603" w:rsidRPr="0002400D" w:rsidRDefault="00D24603" w:rsidP="00CE3D62">
            <w:pPr>
              <w:spacing w:after="0"/>
              <w:jc w:val="right"/>
              <w:rPr>
                <w:rFonts w:ascii="Calibri" w:hAnsi="Calibri" w:cs="Calibri"/>
                <w:color w:val="000000"/>
                <w:sz w:val="22"/>
                <w:szCs w:val="22"/>
              </w:rPr>
            </w:pPr>
            <w:r>
              <w:rPr>
                <w:rFonts w:ascii="Calibri" w:hAnsi="Calibri" w:cs="Calibri"/>
                <w:color w:val="000000"/>
                <w:sz w:val="22"/>
                <w:szCs w:val="22"/>
              </w:rPr>
              <w:t>0</w:t>
            </w:r>
          </w:p>
        </w:tc>
        <w:tc>
          <w:tcPr>
            <w:tcW w:w="705" w:type="pct"/>
            <w:noWrap/>
            <w:hideMark/>
          </w:tcPr>
          <w:p w14:paraId="770959C8"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-167</w:t>
            </w:r>
          </w:p>
        </w:tc>
        <w:tc>
          <w:tcPr>
            <w:tcW w:w="705" w:type="pct"/>
            <w:noWrap/>
            <w:hideMark/>
          </w:tcPr>
          <w:p w14:paraId="3CC64744"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-81</w:t>
            </w:r>
          </w:p>
        </w:tc>
        <w:tc>
          <w:tcPr>
            <w:tcW w:w="845" w:type="pct"/>
            <w:noWrap/>
            <w:hideMark/>
          </w:tcPr>
          <w:p w14:paraId="1DA8CE0D"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-256</w:t>
            </w:r>
          </w:p>
        </w:tc>
        <w:tc>
          <w:tcPr>
            <w:tcW w:w="702" w:type="pct"/>
            <w:noWrap/>
            <w:hideMark/>
          </w:tcPr>
          <w:p w14:paraId="6FF59419"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-256</w:t>
            </w:r>
          </w:p>
        </w:tc>
      </w:tr>
      <w:tr w:rsidR="00D24603" w:rsidRPr="00F52561" w14:paraId="6C1EBA28" w14:textId="77777777" w:rsidTr="00435936">
        <w:trPr>
          <w:trHeight w:val="300"/>
        </w:trPr>
        <w:tc>
          <w:tcPr>
            <w:tcW w:w="633" w:type="pct"/>
            <w:shd w:val="clear" w:color="000000" w:fill="FFFFFF"/>
            <w:noWrap/>
            <w:vAlign w:val="bottom"/>
            <w:hideMark/>
          </w:tcPr>
          <w:p w14:paraId="0D0FAB1E" w14:textId="77777777" w:rsidR="00D24603" w:rsidRPr="00F52561"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23</w:t>
            </w:r>
            <w:r>
              <w:rPr>
                <w:rFonts w:ascii="Calibri" w:eastAsia="Times New Roman" w:hAnsi="Calibri" w:cs="Calibri"/>
                <w:color w:val="000000"/>
                <w:kern w:val="0"/>
                <w:sz w:val="22"/>
                <w:szCs w:val="22"/>
                <w14:ligatures w14:val="none"/>
              </w:rPr>
              <w:t>*</w:t>
            </w:r>
          </w:p>
        </w:tc>
        <w:tc>
          <w:tcPr>
            <w:tcW w:w="705" w:type="pct"/>
            <w:shd w:val="clear" w:color="000000" w:fill="FFFFFF"/>
            <w:noWrap/>
            <w:hideMark/>
          </w:tcPr>
          <w:p w14:paraId="2D245127"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 xml:space="preserve"> 3,678 </w:t>
            </w:r>
          </w:p>
        </w:tc>
        <w:tc>
          <w:tcPr>
            <w:tcW w:w="705" w:type="pct"/>
            <w:noWrap/>
            <w:hideMark/>
          </w:tcPr>
          <w:p w14:paraId="654A01EF" w14:textId="77777777" w:rsidR="00D24603" w:rsidRPr="0002400D" w:rsidRDefault="00D24603" w:rsidP="00CE3D62">
            <w:pPr>
              <w:spacing w:after="0"/>
              <w:jc w:val="right"/>
              <w:rPr>
                <w:rFonts w:ascii="Calibri" w:hAnsi="Calibri" w:cs="Calibri"/>
                <w:color w:val="000000"/>
                <w:sz w:val="22"/>
                <w:szCs w:val="22"/>
              </w:rPr>
            </w:pPr>
            <w:r>
              <w:rPr>
                <w:rFonts w:ascii="Calibri" w:hAnsi="Calibri" w:cs="Calibri"/>
                <w:color w:val="000000"/>
                <w:sz w:val="22"/>
                <w:szCs w:val="22"/>
              </w:rPr>
              <w:t>0</w:t>
            </w:r>
          </w:p>
        </w:tc>
        <w:tc>
          <w:tcPr>
            <w:tcW w:w="705" w:type="pct"/>
            <w:noWrap/>
            <w:hideMark/>
          </w:tcPr>
          <w:p w14:paraId="63391393"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-625</w:t>
            </w:r>
          </w:p>
        </w:tc>
        <w:tc>
          <w:tcPr>
            <w:tcW w:w="705" w:type="pct"/>
            <w:noWrap/>
            <w:hideMark/>
          </w:tcPr>
          <w:p w14:paraId="1FB0E1DE"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-111</w:t>
            </w:r>
          </w:p>
        </w:tc>
        <w:tc>
          <w:tcPr>
            <w:tcW w:w="845" w:type="pct"/>
            <w:noWrap/>
            <w:hideMark/>
          </w:tcPr>
          <w:p w14:paraId="5FD5D7F7"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-942</w:t>
            </w:r>
          </w:p>
        </w:tc>
        <w:tc>
          <w:tcPr>
            <w:tcW w:w="702" w:type="pct"/>
            <w:noWrap/>
            <w:hideMark/>
          </w:tcPr>
          <w:p w14:paraId="29CB0229"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-942</w:t>
            </w:r>
          </w:p>
        </w:tc>
      </w:tr>
      <w:tr w:rsidR="00D24603" w:rsidRPr="00F52561" w14:paraId="68F7A3E0" w14:textId="77777777" w:rsidTr="00435936">
        <w:trPr>
          <w:trHeight w:val="300"/>
        </w:trPr>
        <w:tc>
          <w:tcPr>
            <w:tcW w:w="633" w:type="pct"/>
            <w:shd w:val="clear" w:color="000000" w:fill="FFFFFF"/>
            <w:noWrap/>
            <w:vAlign w:val="bottom"/>
            <w:hideMark/>
          </w:tcPr>
          <w:p w14:paraId="71D87382" w14:textId="77777777" w:rsidR="00D24603" w:rsidRPr="00F52561"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24</w:t>
            </w:r>
          </w:p>
        </w:tc>
        <w:tc>
          <w:tcPr>
            <w:tcW w:w="705" w:type="pct"/>
            <w:shd w:val="clear" w:color="000000" w:fill="FFFFFF"/>
            <w:noWrap/>
            <w:hideMark/>
          </w:tcPr>
          <w:p w14:paraId="17D4407C"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 xml:space="preserve"> 2,077 </w:t>
            </w:r>
          </w:p>
        </w:tc>
        <w:tc>
          <w:tcPr>
            <w:tcW w:w="705" w:type="pct"/>
            <w:noWrap/>
            <w:hideMark/>
          </w:tcPr>
          <w:p w14:paraId="44BA8B12"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-1</w:t>
            </w:r>
          </w:p>
        </w:tc>
        <w:tc>
          <w:tcPr>
            <w:tcW w:w="705" w:type="pct"/>
            <w:noWrap/>
            <w:hideMark/>
          </w:tcPr>
          <w:p w14:paraId="437609F4"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-243</w:t>
            </w:r>
          </w:p>
        </w:tc>
        <w:tc>
          <w:tcPr>
            <w:tcW w:w="705" w:type="pct"/>
            <w:noWrap/>
            <w:hideMark/>
          </w:tcPr>
          <w:p w14:paraId="2268BC5F"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-66</w:t>
            </w:r>
          </w:p>
        </w:tc>
        <w:tc>
          <w:tcPr>
            <w:tcW w:w="845" w:type="pct"/>
            <w:noWrap/>
            <w:hideMark/>
          </w:tcPr>
          <w:p w14:paraId="270F3D1D"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-316</w:t>
            </w:r>
          </w:p>
        </w:tc>
        <w:tc>
          <w:tcPr>
            <w:tcW w:w="702" w:type="pct"/>
            <w:noWrap/>
            <w:hideMark/>
          </w:tcPr>
          <w:p w14:paraId="0EA848A5"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-318</w:t>
            </w:r>
          </w:p>
        </w:tc>
      </w:tr>
      <w:tr w:rsidR="00D24603" w:rsidRPr="00F52561" w14:paraId="347369EB" w14:textId="77777777" w:rsidTr="00435936">
        <w:trPr>
          <w:trHeight w:val="300"/>
        </w:trPr>
        <w:tc>
          <w:tcPr>
            <w:tcW w:w="633" w:type="pct"/>
            <w:shd w:val="clear" w:color="000000" w:fill="FFFFFF"/>
            <w:noWrap/>
            <w:vAlign w:val="bottom"/>
            <w:hideMark/>
          </w:tcPr>
          <w:p w14:paraId="7F56C294" w14:textId="77777777" w:rsidR="00D24603" w:rsidRPr="00F52561"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25</w:t>
            </w:r>
          </w:p>
        </w:tc>
        <w:tc>
          <w:tcPr>
            <w:tcW w:w="705" w:type="pct"/>
            <w:shd w:val="clear" w:color="000000" w:fill="FFFFFF"/>
            <w:noWrap/>
            <w:hideMark/>
          </w:tcPr>
          <w:p w14:paraId="3E73B1C9"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 xml:space="preserve"> 2,690 </w:t>
            </w:r>
          </w:p>
        </w:tc>
        <w:tc>
          <w:tcPr>
            <w:tcW w:w="705" w:type="pct"/>
            <w:noWrap/>
            <w:hideMark/>
          </w:tcPr>
          <w:p w14:paraId="777835F8"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0</w:t>
            </w:r>
          </w:p>
        </w:tc>
        <w:tc>
          <w:tcPr>
            <w:tcW w:w="705" w:type="pct"/>
            <w:noWrap/>
            <w:hideMark/>
          </w:tcPr>
          <w:p w14:paraId="59BB7602"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-369</w:t>
            </w:r>
          </w:p>
        </w:tc>
        <w:tc>
          <w:tcPr>
            <w:tcW w:w="705" w:type="pct"/>
            <w:noWrap/>
            <w:hideMark/>
          </w:tcPr>
          <w:p w14:paraId="07AB21F1"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-382</w:t>
            </w:r>
          </w:p>
        </w:tc>
        <w:tc>
          <w:tcPr>
            <w:tcW w:w="845" w:type="pct"/>
            <w:noWrap/>
            <w:hideMark/>
          </w:tcPr>
          <w:p w14:paraId="4B41CDA7"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-889</w:t>
            </w:r>
          </w:p>
        </w:tc>
        <w:tc>
          <w:tcPr>
            <w:tcW w:w="702" w:type="pct"/>
            <w:noWrap/>
            <w:hideMark/>
          </w:tcPr>
          <w:p w14:paraId="367B54DD"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-889</w:t>
            </w:r>
          </w:p>
        </w:tc>
      </w:tr>
      <w:tr w:rsidR="00D24603" w:rsidRPr="00F52561" w14:paraId="4258C210" w14:textId="77777777" w:rsidTr="00435936">
        <w:trPr>
          <w:trHeight w:val="300"/>
        </w:trPr>
        <w:tc>
          <w:tcPr>
            <w:tcW w:w="633" w:type="pct"/>
            <w:shd w:val="clear" w:color="000000" w:fill="FFFFFF"/>
            <w:noWrap/>
            <w:vAlign w:val="bottom"/>
            <w:hideMark/>
          </w:tcPr>
          <w:p w14:paraId="4AB328B9" w14:textId="77777777" w:rsidR="00D24603" w:rsidRPr="00F52561" w:rsidRDefault="00D24603" w:rsidP="00CE3D62">
            <w:pPr>
              <w:spacing w:after="0"/>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w:t>
            </w:r>
            <w:r w:rsidRPr="0090746C">
              <w:rPr>
                <w:rFonts w:ascii="Calibri" w:eastAsia="Times New Roman" w:hAnsi="Calibri" w:cs="Calibri"/>
                <w:color w:val="000000"/>
                <w:kern w:val="0"/>
                <w:sz w:val="22"/>
                <w:szCs w:val="22"/>
                <w14:ligatures w14:val="none"/>
              </w:rPr>
              <w:t>26</w:t>
            </w:r>
            <w:r>
              <w:rPr>
                <w:rFonts w:ascii="Calibri" w:eastAsia="Times New Roman" w:hAnsi="Calibri" w:cs="Calibri"/>
                <w:color w:val="000000"/>
                <w:kern w:val="0"/>
                <w:sz w:val="22"/>
                <w:szCs w:val="22"/>
                <w14:ligatures w14:val="none"/>
              </w:rPr>
              <w:t>*</w:t>
            </w:r>
          </w:p>
        </w:tc>
        <w:tc>
          <w:tcPr>
            <w:tcW w:w="705" w:type="pct"/>
            <w:shd w:val="clear" w:color="000000" w:fill="FFFFFF"/>
            <w:noWrap/>
            <w:hideMark/>
          </w:tcPr>
          <w:p w14:paraId="562E1E91"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 xml:space="preserve"> 2,504 </w:t>
            </w:r>
          </w:p>
        </w:tc>
        <w:tc>
          <w:tcPr>
            <w:tcW w:w="705" w:type="pct"/>
            <w:noWrap/>
            <w:hideMark/>
          </w:tcPr>
          <w:p w14:paraId="425786F4" w14:textId="77777777" w:rsidR="00D24603" w:rsidRPr="0002400D" w:rsidRDefault="00D24603" w:rsidP="00CE3D62">
            <w:pPr>
              <w:spacing w:after="0"/>
              <w:jc w:val="right"/>
              <w:rPr>
                <w:rFonts w:ascii="Calibri" w:hAnsi="Calibri" w:cs="Calibri"/>
                <w:color w:val="000000"/>
                <w:sz w:val="22"/>
                <w:szCs w:val="22"/>
              </w:rPr>
            </w:pPr>
            <w:r>
              <w:rPr>
                <w:rFonts w:ascii="Calibri" w:hAnsi="Calibri" w:cs="Calibri"/>
                <w:color w:val="000000"/>
                <w:sz w:val="22"/>
                <w:szCs w:val="22"/>
              </w:rPr>
              <w:t>0</w:t>
            </w:r>
          </w:p>
        </w:tc>
        <w:tc>
          <w:tcPr>
            <w:tcW w:w="705" w:type="pct"/>
            <w:noWrap/>
            <w:hideMark/>
          </w:tcPr>
          <w:p w14:paraId="32E11628"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-307</w:t>
            </w:r>
          </w:p>
        </w:tc>
        <w:tc>
          <w:tcPr>
            <w:tcW w:w="705" w:type="pct"/>
            <w:noWrap/>
            <w:hideMark/>
          </w:tcPr>
          <w:p w14:paraId="001BDC5E"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-56</w:t>
            </w:r>
          </w:p>
        </w:tc>
        <w:tc>
          <w:tcPr>
            <w:tcW w:w="845" w:type="pct"/>
            <w:noWrap/>
            <w:hideMark/>
          </w:tcPr>
          <w:p w14:paraId="47E1C1D6"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-379</w:t>
            </w:r>
          </w:p>
        </w:tc>
        <w:tc>
          <w:tcPr>
            <w:tcW w:w="702" w:type="pct"/>
            <w:noWrap/>
            <w:hideMark/>
          </w:tcPr>
          <w:p w14:paraId="3AD617B8" w14:textId="77777777" w:rsidR="00D24603" w:rsidRPr="0002400D" w:rsidRDefault="00D24603" w:rsidP="00CE3D62">
            <w:pPr>
              <w:spacing w:after="0"/>
              <w:jc w:val="right"/>
              <w:rPr>
                <w:rFonts w:ascii="Calibri" w:hAnsi="Calibri" w:cs="Calibri"/>
                <w:color w:val="000000"/>
                <w:sz w:val="22"/>
                <w:szCs w:val="22"/>
              </w:rPr>
            </w:pPr>
            <w:r w:rsidRPr="0002400D">
              <w:rPr>
                <w:rFonts w:ascii="Calibri" w:hAnsi="Calibri" w:cs="Calibri"/>
                <w:color w:val="000000"/>
                <w:sz w:val="22"/>
                <w:szCs w:val="22"/>
              </w:rPr>
              <w:t>-379</w:t>
            </w:r>
          </w:p>
        </w:tc>
      </w:tr>
    </w:tbl>
    <w:p w14:paraId="6219BFF2" w14:textId="77777777" w:rsidR="00D24603" w:rsidRPr="00F06B14" w:rsidRDefault="00D24603" w:rsidP="00CE3D62">
      <w:pPr>
        <w:spacing w:after="0"/>
        <w:rPr>
          <w:szCs w:val="20"/>
        </w:rPr>
      </w:pPr>
      <w:r w:rsidRPr="00F06B14">
        <w:rPr>
          <w:szCs w:val="20"/>
        </w:rPr>
        <w:t xml:space="preserve">Abbreviations: </w:t>
      </w:r>
      <w:r>
        <w:rPr>
          <w:szCs w:val="20"/>
        </w:rPr>
        <w:t xml:space="preserve">C = Community, </w:t>
      </w:r>
      <w:r w:rsidRPr="00F06B14">
        <w:rPr>
          <w:szCs w:val="20"/>
        </w:rPr>
        <w:t>EBP = Evidence-Based Practice</w:t>
      </w:r>
      <w:r>
        <w:rPr>
          <w:szCs w:val="20"/>
        </w:rPr>
        <w:t>.</w:t>
      </w:r>
    </w:p>
    <w:p w14:paraId="10E5827B" w14:textId="77777777" w:rsidR="00D24603" w:rsidRPr="004E3B57" w:rsidRDefault="00D24603" w:rsidP="00CE3D62">
      <w:pPr>
        <w:spacing w:after="0"/>
        <w:rPr>
          <w:szCs w:val="20"/>
        </w:rPr>
      </w:pPr>
      <w:r w:rsidRPr="004E3B57">
        <w:rPr>
          <w:szCs w:val="20"/>
        </w:rPr>
        <w:t>*</w:t>
      </w:r>
      <w:r>
        <w:rPr>
          <w:szCs w:val="20"/>
        </w:rPr>
        <w:t xml:space="preserve"> N</w:t>
      </w:r>
      <w:r w:rsidRPr="004E3B57">
        <w:rPr>
          <w:szCs w:val="20"/>
        </w:rPr>
        <w:t>aloxone improvement scenarios were excluded as communities have already implemented enhanced naloxone distribution</w:t>
      </w:r>
      <w:r>
        <w:rPr>
          <w:szCs w:val="20"/>
        </w:rPr>
        <w:t>. Therefore, Scenarios 1 &amp; 2, and Scenarios 5 &amp; 6 are equivalent.</w:t>
      </w:r>
    </w:p>
    <w:p w14:paraId="4FCB5ACF" w14:textId="77777777" w:rsidR="00D24603" w:rsidRPr="00424451" w:rsidRDefault="00D24603" w:rsidP="00D24603">
      <w:pPr>
        <w:rPr>
          <w:szCs w:val="20"/>
        </w:rPr>
      </w:pPr>
    </w:p>
    <w:p w14:paraId="4767A4E5" w14:textId="77777777" w:rsidR="00D24603" w:rsidRDefault="00D24603" w:rsidP="00D24603">
      <w:pPr>
        <w:rPr>
          <w:rFonts w:ascii="Arial" w:hAnsi="Arial" w:cs="Arial"/>
        </w:rPr>
      </w:pPr>
      <w:r>
        <w:rPr>
          <w:rFonts w:ascii="Arial" w:hAnsi="Arial" w:cs="Arial"/>
        </w:rPr>
        <w:br w:type="page"/>
      </w:r>
    </w:p>
    <w:p w14:paraId="6E2DBC08" w14:textId="5425E083" w:rsidR="00D24603" w:rsidRDefault="00CE3D62" w:rsidP="00CE3D62">
      <w:pPr>
        <w:spacing w:after="0"/>
      </w:pPr>
      <w:r>
        <w:rPr>
          <w:b/>
          <w:bCs/>
        </w:rPr>
        <w:lastRenderedPageBreak/>
        <w:t xml:space="preserve">Supplementary </w:t>
      </w:r>
      <w:r w:rsidR="00D24603" w:rsidRPr="00F13CA0">
        <w:rPr>
          <w:b/>
          <w:bCs/>
        </w:rPr>
        <w:t xml:space="preserve">Table </w:t>
      </w:r>
      <w:r w:rsidR="00A87FBF">
        <w:rPr>
          <w:b/>
          <w:bCs/>
        </w:rPr>
        <w:t>2</w:t>
      </w:r>
      <w:r w:rsidR="00D24603">
        <w:rPr>
          <w:b/>
          <w:bCs/>
        </w:rPr>
        <w:t>7</w:t>
      </w:r>
      <w:r w:rsidR="00D24603" w:rsidRPr="00F13CA0">
        <w:rPr>
          <w:b/>
          <w:bCs/>
        </w:rPr>
        <w:t>.</w:t>
      </w:r>
      <w:r w:rsidR="00D24603" w:rsidRPr="00F13CA0">
        <w:t xml:space="preserve"> Distribution</w:t>
      </w:r>
      <w:r w:rsidR="00D24603" w:rsidRPr="003F1B21">
        <w:t xml:space="preserve"> of </w:t>
      </w:r>
      <w:r w:rsidR="00D24603">
        <w:t>societal</w:t>
      </w:r>
      <w:r w:rsidR="00D24603" w:rsidRPr="003F1B21">
        <w:t xml:space="preserve"> costs </w:t>
      </w:r>
      <w:r w:rsidR="00D24603" w:rsidRPr="00D52816">
        <w:t>(</w:t>
      </w:r>
      <w:r w:rsidR="00A87FBF">
        <w:t xml:space="preserve">million </w:t>
      </w:r>
      <w:r w:rsidR="00D24603">
        <w:t>US</w:t>
      </w:r>
      <w:r w:rsidR="00A87FBF">
        <w:t>$</w:t>
      </w:r>
      <w:r w:rsidR="00D24603">
        <w:t>, 2025-2030</w:t>
      </w:r>
      <w:r w:rsidR="00D24603" w:rsidRPr="00D52816">
        <w:t>)</w:t>
      </w:r>
      <w:r w:rsidR="00D24603" w:rsidRPr="009A4737">
        <w:t xml:space="preserve"> </w:t>
      </w:r>
      <w:r w:rsidR="00D24603">
        <w:t xml:space="preserve">in Scenario 1 (“Maintain 2024 EBP Levels”) </w:t>
      </w:r>
      <w:r w:rsidR="00D24603" w:rsidRPr="003F1B21">
        <w:t>associated with opioid misuse in each community.</w:t>
      </w:r>
    </w:p>
    <w:tbl>
      <w:tblPr>
        <w:tblW w:w="0" w:type="auto"/>
        <w:tblLook w:val="04A0" w:firstRow="1" w:lastRow="0" w:firstColumn="1" w:lastColumn="0" w:noHBand="0" w:noVBand="1"/>
      </w:tblPr>
      <w:tblGrid>
        <w:gridCol w:w="1280"/>
        <w:gridCol w:w="1728"/>
        <w:gridCol w:w="1093"/>
        <w:gridCol w:w="979"/>
        <w:gridCol w:w="1673"/>
        <w:gridCol w:w="879"/>
      </w:tblGrid>
      <w:tr w:rsidR="00D24603" w:rsidRPr="00F13CA0" w14:paraId="0A016E77" w14:textId="77777777" w:rsidTr="00435936">
        <w:trPr>
          <w:trHeight w:val="292"/>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6B936CC0"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sidRPr="00F13CA0">
              <w:rPr>
                <w:rFonts w:ascii="Calibri" w:eastAsia="Times New Roman" w:hAnsi="Calibri" w:cs="Calibri"/>
                <w:b/>
                <w:bCs/>
                <w:color w:val="000000"/>
                <w:kern w:val="0"/>
                <w:sz w:val="22"/>
                <w:szCs w:val="22"/>
                <w14:ligatures w14:val="none"/>
              </w:rPr>
              <w:t>Community</w:t>
            </w:r>
          </w:p>
        </w:tc>
        <w:tc>
          <w:tcPr>
            <w:tcW w:w="0" w:type="auto"/>
            <w:gridSpan w:val="5"/>
            <w:tcBorders>
              <w:top w:val="single" w:sz="4" w:space="0" w:color="auto"/>
              <w:left w:val="nil"/>
              <w:bottom w:val="single" w:sz="4" w:space="0" w:color="auto"/>
              <w:right w:val="single" w:sz="4" w:space="0" w:color="auto"/>
            </w:tcBorders>
            <w:shd w:val="clear" w:color="000000" w:fill="FFFFFF"/>
            <w:noWrap/>
            <w:vAlign w:val="center"/>
            <w:hideMark/>
          </w:tcPr>
          <w:p w14:paraId="11BFE6AE"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sidRPr="00F13CA0">
              <w:rPr>
                <w:rFonts w:ascii="Calibri" w:eastAsia="Times New Roman" w:hAnsi="Calibri" w:cs="Calibri"/>
                <w:b/>
                <w:bCs/>
                <w:color w:val="000000"/>
                <w:kern w:val="0"/>
                <w:sz w:val="22"/>
                <w:szCs w:val="22"/>
                <w14:ligatures w14:val="none"/>
              </w:rPr>
              <w:t>Maintain 2024 EBP Levels</w:t>
            </w:r>
            <w:r>
              <w:rPr>
                <w:rFonts w:ascii="Calibri" w:eastAsia="Times New Roman" w:hAnsi="Calibri" w:cs="Calibri"/>
                <w:b/>
                <w:bCs/>
                <w:color w:val="000000"/>
                <w:kern w:val="0"/>
                <w:sz w:val="22"/>
                <w:szCs w:val="22"/>
                <w14:ligatures w14:val="none"/>
              </w:rPr>
              <w:t xml:space="preserve"> (Scenario 1)</w:t>
            </w:r>
          </w:p>
        </w:tc>
      </w:tr>
      <w:tr w:rsidR="00D24603" w:rsidRPr="00F13CA0" w14:paraId="25616BD8" w14:textId="77777777" w:rsidTr="00435936">
        <w:trPr>
          <w:trHeight w:val="87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3F7891E" w14:textId="77777777" w:rsidR="00D24603" w:rsidRPr="00F13CA0" w:rsidRDefault="00D24603" w:rsidP="00CE3D62">
            <w:pPr>
              <w:spacing w:after="0"/>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nil"/>
            </w:tcBorders>
            <w:shd w:val="clear" w:color="000000" w:fill="FFFFFF"/>
            <w:noWrap/>
            <w:vAlign w:val="center"/>
            <w:hideMark/>
          </w:tcPr>
          <w:p w14:paraId="7A544572" w14:textId="77777777" w:rsidR="00D24603" w:rsidRDefault="00D24603" w:rsidP="00CE3D62">
            <w:pPr>
              <w:spacing w:after="0"/>
              <w:jc w:val="cente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Total Healthcare</w:t>
            </w:r>
          </w:p>
          <w:p w14:paraId="0DF928DE"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Costs</w:t>
            </w:r>
          </w:p>
        </w:tc>
        <w:tc>
          <w:tcPr>
            <w:tcW w:w="0" w:type="auto"/>
            <w:tcBorders>
              <w:top w:val="nil"/>
              <w:left w:val="nil"/>
              <w:bottom w:val="single" w:sz="4" w:space="0" w:color="auto"/>
              <w:right w:val="nil"/>
            </w:tcBorders>
            <w:shd w:val="clear" w:color="000000" w:fill="FFFFFF"/>
            <w:vAlign w:val="center"/>
            <w:hideMark/>
          </w:tcPr>
          <w:p w14:paraId="2AA18944"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Overdose</w:t>
            </w:r>
          </w:p>
        </w:tc>
        <w:tc>
          <w:tcPr>
            <w:tcW w:w="0" w:type="auto"/>
            <w:tcBorders>
              <w:top w:val="nil"/>
              <w:left w:val="nil"/>
              <w:bottom w:val="single" w:sz="4" w:space="0" w:color="auto"/>
              <w:right w:val="nil"/>
            </w:tcBorders>
            <w:shd w:val="clear" w:color="000000" w:fill="FFFFFF"/>
            <w:vAlign w:val="center"/>
            <w:hideMark/>
          </w:tcPr>
          <w:p w14:paraId="121BCD86"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Criminal</w:t>
            </w:r>
          </w:p>
        </w:tc>
        <w:tc>
          <w:tcPr>
            <w:tcW w:w="0" w:type="auto"/>
            <w:tcBorders>
              <w:top w:val="nil"/>
              <w:left w:val="nil"/>
              <w:bottom w:val="single" w:sz="4" w:space="0" w:color="auto"/>
              <w:right w:val="nil"/>
            </w:tcBorders>
            <w:shd w:val="clear" w:color="000000" w:fill="FFFFFF"/>
            <w:vAlign w:val="center"/>
            <w:hideMark/>
          </w:tcPr>
          <w:p w14:paraId="4FA83CA9"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Production Cost</w:t>
            </w:r>
          </w:p>
        </w:tc>
        <w:tc>
          <w:tcPr>
            <w:tcW w:w="0" w:type="auto"/>
            <w:tcBorders>
              <w:top w:val="nil"/>
              <w:left w:val="nil"/>
              <w:bottom w:val="single" w:sz="4" w:space="0" w:color="auto"/>
              <w:right w:val="single" w:sz="4" w:space="0" w:color="auto"/>
            </w:tcBorders>
            <w:shd w:val="clear" w:color="000000" w:fill="FFFFFF"/>
            <w:vAlign w:val="center"/>
            <w:hideMark/>
          </w:tcPr>
          <w:p w14:paraId="042BF4F7"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Total</w:t>
            </w:r>
          </w:p>
        </w:tc>
      </w:tr>
      <w:tr w:rsidR="00D24603" w:rsidRPr="00F13CA0" w14:paraId="2529F8AF"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2572F53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w:t>
            </w:r>
          </w:p>
        </w:tc>
        <w:tc>
          <w:tcPr>
            <w:tcW w:w="0" w:type="auto"/>
            <w:tcBorders>
              <w:top w:val="nil"/>
              <w:left w:val="nil"/>
              <w:bottom w:val="nil"/>
              <w:right w:val="nil"/>
            </w:tcBorders>
            <w:shd w:val="clear" w:color="000000" w:fill="FFFFFF"/>
            <w:noWrap/>
            <w:hideMark/>
          </w:tcPr>
          <w:p w14:paraId="46361E37"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1,355 </w:t>
            </w:r>
          </w:p>
        </w:tc>
        <w:tc>
          <w:tcPr>
            <w:tcW w:w="0" w:type="auto"/>
            <w:tcBorders>
              <w:top w:val="nil"/>
              <w:left w:val="nil"/>
              <w:bottom w:val="nil"/>
              <w:right w:val="nil"/>
            </w:tcBorders>
            <w:shd w:val="clear" w:color="000000" w:fill="FFFFFF"/>
            <w:noWrap/>
            <w:hideMark/>
          </w:tcPr>
          <w:p w14:paraId="2531F8A7"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19 </w:t>
            </w:r>
          </w:p>
        </w:tc>
        <w:tc>
          <w:tcPr>
            <w:tcW w:w="0" w:type="auto"/>
            <w:tcBorders>
              <w:top w:val="nil"/>
              <w:left w:val="nil"/>
              <w:bottom w:val="nil"/>
              <w:right w:val="nil"/>
            </w:tcBorders>
            <w:shd w:val="clear" w:color="000000" w:fill="FFFFFF"/>
            <w:noWrap/>
            <w:hideMark/>
          </w:tcPr>
          <w:p w14:paraId="091CDBE3"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679 </w:t>
            </w:r>
          </w:p>
        </w:tc>
        <w:tc>
          <w:tcPr>
            <w:tcW w:w="0" w:type="auto"/>
            <w:tcBorders>
              <w:top w:val="nil"/>
              <w:left w:val="nil"/>
              <w:bottom w:val="nil"/>
              <w:right w:val="nil"/>
            </w:tcBorders>
            <w:shd w:val="clear" w:color="000000" w:fill="FFFFFF"/>
            <w:noWrap/>
            <w:hideMark/>
          </w:tcPr>
          <w:p w14:paraId="332C564D"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7,727 </w:t>
            </w:r>
          </w:p>
        </w:tc>
        <w:tc>
          <w:tcPr>
            <w:tcW w:w="0" w:type="auto"/>
            <w:tcBorders>
              <w:top w:val="nil"/>
              <w:left w:val="nil"/>
              <w:bottom w:val="nil"/>
              <w:right w:val="single" w:sz="4" w:space="0" w:color="auto"/>
            </w:tcBorders>
            <w:shd w:val="clear" w:color="000000" w:fill="FFFFFF"/>
            <w:noWrap/>
            <w:hideMark/>
          </w:tcPr>
          <w:p w14:paraId="46F7A2B6"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9,780 </w:t>
            </w:r>
          </w:p>
        </w:tc>
      </w:tr>
      <w:tr w:rsidR="00D24603" w:rsidRPr="00F13CA0" w14:paraId="19461E04"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56361FE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w:t>
            </w:r>
          </w:p>
        </w:tc>
        <w:tc>
          <w:tcPr>
            <w:tcW w:w="0" w:type="auto"/>
            <w:tcBorders>
              <w:top w:val="nil"/>
              <w:left w:val="nil"/>
              <w:bottom w:val="nil"/>
              <w:right w:val="nil"/>
            </w:tcBorders>
            <w:shd w:val="clear" w:color="000000" w:fill="FFFFFF"/>
            <w:noWrap/>
            <w:hideMark/>
          </w:tcPr>
          <w:p w14:paraId="7571A718"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358 </w:t>
            </w:r>
          </w:p>
        </w:tc>
        <w:tc>
          <w:tcPr>
            <w:tcW w:w="0" w:type="auto"/>
            <w:tcBorders>
              <w:top w:val="nil"/>
              <w:left w:val="nil"/>
              <w:bottom w:val="nil"/>
              <w:right w:val="nil"/>
            </w:tcBorders>
            <w:shd w:val="clear" w:color="000000" w:fill="FFFFFF"/>
            <w:noWrap/>
            <w:hideMark/>
          </w:tcPr>
          <w:p w14:paraId="242431F1"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4 </w:t>
            </w:r>
          </w:p>
        </w:tc>
        <w:tc>
          <w:tcPr>
            <w:tcW w:w="0" w:type="auto"/>
            <w:tcBorders>
              <w:top w:val="nil"/>
              <w:left w:val="nil"/>
              <w:bottom w:val="nil"/>
              <w:right w:val="nil"/>
            </w:tcBorders>
            <w:shd w:val="clear" w:color="000000" w:fill="FFFFFF"/>
            <w:noWrap/>
            <w:hideMark/>
          </w:tcPr>
          <w:p w14:paraId="1B9CA586"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277 </w:t>
            </w:r>
          </w:p>
        </w:tc>
        <w:tc>
          <w:tcPr>
            <w:tcW w:w="0" w:type="auto"/>
            <w:tcBorders>
              <w:top w:val="nil"/>
              <w:left w:val="nil"/>
              <w:bottom w:val="nil"/>
              <w:right w:val="nil"/>
            </w:tcBorders>
            <w:shd w:val="clear" w:color="000000" w:fill="FFFFFF"/>
            <w:noWrap/>
            <w:hideMark/>
          </w:tcPr>
          <w:p w14:paraId="6386B748"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2,715 </w:t>
            </w:r>
          </w:p>
        </w:tc>
        <w:tc>
          <w:tcPr>
            <w:tcW w:w="0" w:type="auto"/>
            <w:tcBorders>
              <w:top w:val="nil"/>
              <w:left w:val="nil"/>
              <w:bottom w:val="nil"/>
              <w:right w:val="single" w:sz="4" w:space="0" w:color="auto"/>
            </w:tcBorders>
            <w:shd w:val="clear" w:color="000000" w:fill="FFFFFF"/>
            <w:noWrap/>
            <w:hideMark/>
          </w:tcPr>
          <w:p w14:paraId="42322870"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3,354 </w:t>
            </w:r>
          </w:p>
        </w:tc>
      </w:tr>
      <w:tr w:rsidR="00D24603" w:rsidRPr="00F13CA0" w14:paraId="7F178551"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31FA445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C3</w:t>
            </w:r>
          </w:p>
        </w:tc>
        <w:tc>
          <w:tcPr>
            <w:tcW w:w="0" w:type="auto"/>
            <w:tcBorders>
              <w:top w:val="nil"/>
              <w:left w:val="nil"/>
              <w:bottom w:val="nil"/>
              <w:right w:val="nil"/>
            </w:tcBorders>
            <w:shd w:val="clear" w:color="000000" w:fill="FFFFFF"/>
            <w:noWrap/>
            <w:hideMark/>
          </w:tcPr>
          <w:p w14:paraId="691B8821"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277 </w:t>
            </w:r>
          </w:p>
        </w:tc>
        <w:tc>
          <w:tcPr>
            <w:tcW w:w="0" w:type="auto"/>
            <w:tcBorders>
              <w:top w:val="nil"/>
              <w:left w:val="nil"/>
              <w:bottom w:val="nil"/>
              <w:right w:val="nil"/>
            </w:tcBorders>
            <w:shd w:val="clear" w:color="000000" w:fill="FFFFFF"/>
            <w:noWrap/>
            <w:hideMark/>
          </w:tcPr>
          <w:p w14:paraId="60423660"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3 </w:t>
            </w:r>
          </w:p>
        </w:tc>
        <w:tc>
          <w:tcPr>
            <w:tcW w:w="0" w:type="auto"/>
            <w:tcBorders>
              <w:top w:val="nil"/>
              <w:left w:val="nil"/>
              <w:bottom w:val="nil"/>
              <w:right w:val="nil"/>
            </w:tcBorders>
            <w:shd w:val="clear" w:color="000000" w:fill="FFFFFF"/>
            <w:noWrap/>
            <w:hideMark/>
          </w:tcPr>
          <w:p w14:paraId="672CD94A"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291 </w:t>
            </w:r>
          </w:p>
        </w:tc>
        <w:tc>
          <w:tcPr>
            <w:tcW w:w="0" w:type="auto"/>
            <w:tcBorders>
              <w:top w:val="nil"/>
              <w:left w:val="nil"/>
              <w:bottom w:val="nil"/>
              <w:right w:val="nil"/>
            </w:tcBorders>
            <w:shd w:val="clear" w:color="000000" w:fill="FFFFFF"/>
            <w:noWrap/>
            <w:hideMark/>
          </w:tcPr>
          <w:p w14:paraId="3E98D29C"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2,785 </w:t>
            </w:r>
          </w:p>
        </w:tc>
        <w:tc>
          <w:tcPr>
            <w:tcW w:w="0" w:type="auto"/>
            <w:tcBorders>
              <w:top w:val="nil"/>
              <w:left w:val="nil"/>
              <w:bottom w:val="nil"/>
              <w:right w:val="single" w:sz="4" w:space="0" w:color="auto"/>
            </w:tcBorders>
            <w:shd w:val="clear" w:color="000000" w:fill="FFFFFF"/>
            <w:noWrap/>
            <w:hideMark/>
          </w:tcPr>
          <w:p w14:paraId="07D485A3"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3,356 </w:t>
            </w:r>
          </w:p>
        </w:tc>
      </w:tr>
      <w:tr w:rsidR="00D24603" w:rsidRPr="00F13CA0" w14:paraId="067D19C8"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4462831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C4</w:t>
            </w:r>
          </w:p>
        </w:tc>
        <w:tc>
          <w:tcPr>
            <w:tcW w:w="0" w:type="auto"/>
            <w:tcBorders>
              <w:top w:val="nil"/>
              <w:left w:val="nil"/>
              <w:bottom w:val="nil"/>
              <w:right w:val="nil"/>
            </w:tcBorders>
            <w:shd w:val="clear" w:color="000000" w:fill="FFFFFF"/>
            <w:noWrap/>
            <w:hideMark/>
          </w:tcPr>
          <w:p w14:paraId="124BDD34"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123 </w:t>
            </w:r>
          </w:p>
        </w:tc>
        <w:tc>
          <w:tcPr>
            <w:tcW w:w="0" w:type="auto"/>
            <w:tcBorders>
              <w:top w:val="nil"/>
              <w:left w:val="nil"/>
              <w:bottom w:val="nil"/>
              <w:right w:val="nil"/>
            </w:tcBorders>
            <w:shd w:val="clear" w:color="000000" w:fill="FFFFFF"/>
            <w:noWrap/>
            <w:hideMark/>
          </w:tcPr>
          <w:p w14:paraId="0371D130"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 </w:t>
            </w:r>
          </w:p>
        </w:tc>
        <w:tc>
          <w:tcPr>
            <w:tcW w:w="0" w:type="auto"/>
            <w:tcBorders>
              <w:top w:val="nil"/>
              <w:left w:val="nil"/>
              <w:bottom w:val="nil"/>
              <w:right w:val="nil"/>
            </w:tcBorders>
            <w:shd w:val="clear" w:color="000000" w:fill="FFFFFF"/>
            <w:noWrap/>
            <w:hideMark/>
          </w:tcPr>
          <w:p w14:paraId="4072C1E1"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72 </w:t>
            </w:r>
          </w:p>
        </w:tc>
        <w:tc>
          <w:tcPr>
            <w:tcW w:w="0" w:type="auto"/>
            <w:tcBorders>
              <w:top w:val="nil"/>
              <w:left w:val="nil"/>
              <w:bottom w:val="nil"/>
              <w:right w:val="nil"/>
            </w:tcBorders>
            <w:shd w:val="clear" w:color="000000" w:fill="FFFFFF"/>
            <w:noWrap/>
            <w:hideMark/>
          </w:tcPr>
          <w:p w14:paraId="0D84AB5C"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775 </w:t>
            </w:r>
          </w:p>
        </w:tc>
        <w:tc>
          <w:tcPr>
            <w:tcW w:w="0" w:type="auto"/>
            <w:tcBorders>
              <w:top w:val="nil"/>
              <w:left w:val="nil"/>
              <w:bottom w:val="nil"/>
              <w:right w:val="single" w:sz="4" w:space="0" w:color="auto"/>
            </w:tcBorders>
            <w:shd w:val="clear" w:color="000000" w:fill="FFFFFF"/>
            <w:noWrap/>
            <w:hideMark/>
          </w:tcPr>
          <w:p w14:paraId="35AE9B00"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971 </w:t>
            </w:r>
          </w:p>
        </w:tc>
      </w:tr>
      <w:tr w:rsidR="00D24603" w:rsidRPr="00F13CA0" w14:paraId="704C6AB3"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0852CBC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C5</w:t>
            </w:r>
          </w:p>
        </w:tc>
        <w:tc>
          <w:tcPr>
            <w:tcW w:w="0" w:type="auto"/>
            <w:tcBorders>
              <w:top w:val="nil"/>
              <w:left w:val="nil"/>
              <w:bottom w:val="nil"/>
              <w:right w:val="nil"/>
            </w:tcBorders>
            <w:shd w:val="clear" w:color="000000" w:fill="FFFFFF"/>
            <w:noWrap/>
            <w:hideMark/>
          </w:tcPr>
          <w:p w14:paraId="6B6034A8"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166 </w:t>
            </w:r>
          </w:p>
        </w:tc>
        <w:tc>
          <w:tcPr>
            <w:tcW w:w="0" w:type="auto"/>
            <w:tcBorders>
              <w:top w:val="nil"/>
              <w:left w:val="nil"/>
              <w:bottom w:val="nil"/>
              <w:right w:val="nil"/>
            </w:tcBorders>
            <w:shd w:val="clear" w:color="000000" w:fill="FFFFFF"/>
            <w:noWrap/>
            <w:hideMark/>
          </w:tcPr>
          <w:p w14:paraId="64D1070B"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 </w:t>
            </w:r>
          </w:p>
        </w:tc>
        <w:tc>
          <w:tcPr>
            <w:tcW w:w="0" w:type="auto"/>
            <w:tcBorders>
              <w:top w:val="nil"/>
              <w:left w:val="nil"/>
              <w:bottom w:val="nil"/>
              <w:right w:val="nil"/>
            </w:tcBorders>
            <w:shd w:val="clear" w:color="000000" w:fill="FFFFFF"/>
            <w:noWrap/>
            <w:hideMark/>
          </w:tcPr>
          <w:p w14:paraId="42080E22"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149 </w:t>
            </w:r>
          </w:p>
        </w:tc>
        <w:tc>
          <w:tcPr>
            <w:tcW w:w="0" w:type="auto"/>
            <w:tcBorders>
              <w:top w:val="nil"/>
              <w:left w:val="nil"/>
              <w:bottom w:val="nil"/>
              <w:right w:val="nil"/>
            </w:tcBorders>
            <w:shd w:val="clear" w:color="000000" w:fill="FFFFFF"/>
            <w:noWrap/>
            <w:hideMark/>
          </w:tcPr>
          <w:p w14:paraId="4A12FFB9"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1,506 </w:t>
            </w:r>
          </w:p>
        </w:tc>
        <w:tc>
          <w:tcPr>
            <w:tcW w:w="0" w:type="auto"/>
            <w:tcBorders>
              <w:top w:val="nil"/>
              <w:left w:val="nil"/>
              <w:bottom w:val="nil"/>
              <w:right w:val="single" w:sz="4" w:space="0" w:color="auto"/>
            </w:tcBorders>
            <w:shd w:val="clear" w:color="000000" w:fill="FFFFFF"/>
            <w:noWrap/>
            <w:hideMark/>
          </w:tcPr>
          <w:p w14:paraId="55E94016"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1,823 </w:t>
            </w:r>
          </w:p>
        </w:tc>
      </w:tr>
      <w:tr w:rsidR="00D24603" w:rsidRPr="00F13CA0" w14:paraId="70C8D7AD"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3EA645A5"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C6</w:t>
            </w:r>
          </w:p>
        </w:tc>
        <w:tc>
          <w:tcPr>
            <w:tcW w:w="0" w:type="auto"/>
            <w:tcBorders>
              <w:top w:val="nil"/>
              <w:left w:val="nil"/>
              <w:bottom w:val="nil"/>
              <w:right w:val="nil"/>
            </w:tcBorders>
            <w:shd w:val="clear" w:color="000000" w:fill="FFFFFF"/>
            <w:noWrap/>
            <w:hideMark/>
          </w:tcPr>
          <w:p w14:paraId="0BCAA515"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1,070 </w:t>
            </w:r>
          </w:p>
        </w:tc>
        <w:tc>
          <w:tcPr>
            <w:tcW w:w="0" w:type="auto"/>
            <w:tcBorders>
              <w:top w:val="nil"/>
              <w:left w:val="nil"/>
              <w:bottom w:val="nil"/>
              <w:right w:val="nil"/>
            </w:tcBorders>
            <w:shd w:val="clear" w:color="000000" w:fill="FFFFFF"/>
            <w:noWrap/>
            <w:hideMark/>
          </w:tcPr>
          <w:p w14:paraId="782BDDCF"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18 </w:t>
            </w:r>
          </w:p>
        </w:tc>
        <w:tc>
          <w:tcPr>
            <w:tcW w:w="0" w:type="auto"/>
            <w:tcBorders>
              <w:top w:val="nil"/>
              <w:left w:val="nil"/>
              <w:bottom w:val="nil"/>
              <w:right w:val="nil"/>
            </w:tcBorders>
            <w:shd w:val="clear" w:color="000000" w:fill="FFFFFF"/>
            <w:noWrap/>
            <w:hideMark/>
          </w:tcPr>
          <w:p w14:paraId="45E93D78"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795 </w:t>
            </w:r>
          </w:p>
        </w:tc>
        <w:tc>
          <w:tcPr>
            <w:tcW w:w="0" w:type="auto"/>
            <w:tcBorders>
              <w:top w:val="nil"/>
              <w:left w:val="nil"/>
              <w:bottom w:val="nil"/>
              <w:right w:val="nil"/>
            </w:tcBorders>
            <w:shd w:val="clear" w:color="000000" w:fill="FFFFFF"/>
            <w:noWrap/>
            <w:hideMark/>
          </w:tcPr>
          <w:p w14:paraId="1FE7F465"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8,139 </w:t>
            </w:r>
          </w:p>
        </w:tc>
        <w:tc>
          <w:tcPr>
            <w:tcW w:w="0" w:type="auto"/>
            <w:tcBorders>
              <w:top w:val="nil"/>
              <w:left w:val="nil"/>
              <w:bottom w:val="nil"/>
              <w:right w:val="single" w:sz="4" w:space="0" w:color="auto"/>
            </w:tcBorders>
            <w:shd w:val="clear" w:color="000000" w:fill="FFFFFF"/>
            <w:noWrap/>
            <w:hideMark/>
          </w:tcPr>
          <w:p w14:paraId="20978B54"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10,021 </w:t>
            </w:r>
          </w:p>
        </w:tc>
      </w:tr>
      <w:tr w:rsidR="00D24603" w:rsidRPr="00F13CA0" w14:paraId="3B1B0148"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6406F09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C7</w:t>
            </w:r>
          </w:p>
        </w:tc>
        <w:tc>
          <w:tcPr>
            <w:tcW w:w="0" w:type="auto"/>
            <w:tcBorders>
              <w:top w:val="nil"/>
              <w:left w:val="nil"/>
              <w:bottom w:val="nil"/>
              <w:right w:val="nil"/>
            </w:tcBorders>
            <w:shd w:val="clear" w:color="000000" w:fill="FFFFFF"/>
            <w:noWrap/>
            <w:hideMark/>
          </w:tcPr>
          <w:p w14:paraId="7948F505"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179 </w:t>
            </w:r>
          </w:p>
        </w:tc>
        <w:tc>
          <w:tcPr>
            <w:tcW w:w="0" w:type="auto"/>
            <w:tcBorders>
              <w:top w:val="nil"/>
              <w:left w:val="nil"/>
              <w:bottom w:val="nil"/>
              <w:right w:val="nil"/>
            </w:tcBorders>
            <w:shd w:val="clear" w:color="000000" w:fill="FFFFFF"/>
            <w:noWrap/>
            <w:hideMark/>
          </w:tcPr>
          <w:p w14:paraId="7EECC00B"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 </w:t>
            </w:r>
          </w:p>
        </w:tc>
        <w:tc>
          <w:tcPr>
            <w:tcW w:w="0" w:type="auto"/>
            <w:tcBorders>
              <w:top w:val="nil"/>
              <w:left w:val="nil"/>
              <w:bottom w:val="nil"/>
              <w:right w:val="nil"/>
            </w:tcBorders>
            <w:shd w:val="clear" w:color="000000" w:fill="FFFFFF"/>
            <w:noWrap/>
            <w:hideMark/>
          </w:tcPr>
          <w:p w14:paraId="5B905051"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160 </w:t>
            </w:r>
          </w:p>
        </w:tc>
        <w:tc>
          <w:tcPr>
            <w:tcW w:w="0" w:type="auto"/>
            <w:tcBorders>
              <w:top w:val="nil"/>
              <w:left w:val="nil"/>
              <w:bottom w:val="nil"/>
              <w:right w:val="nil"/>
            </w:tcBorders>
            <w:shd w:val="clear" w:color="000000" w:fill="FFFFFF"/>
            <w:noWrap/>
            <w:hideMark/>
          </w:tcPr>
          <w:p w14:paraId="4A662A09"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1,598 </w:t>
            </w:r>
          </w:p>
        </w:tc>
        <w:tc>
          <w:tcPr>
            <w:tcW w:w="0" w:type="auto"/>
            <w:tcBorders>
              <w:top w:val="nil"/>
              <w:left w:val="nil"/>
              <w:bottom w:val="nil"/>
              <w:right w:val="single" w:sz="4" w:space="0" w:color="auto"/>
            </w:tcBorders>
            <w:shd w:val="clear" w:color="000000" w:fill="FFFFFF"/>
            <w:noWrap/>
            <w:hideMark/>
          </w:tcPr>
          <w:p w14:paraId="4C6789B7"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1,939 </w:t>
            </w:r>
          </w:p>
        </w:tc>
      </w:tr>
      <w:tr w:rsidR="00D24603" w:rsidRPr="00F13CA0" w14:paraId="0C71E571"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160CEBC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C8</w:t>
            </w:r>
          </w:p>
        </w:tc>
        <w:tc>
          <w:tcPr>
            <w:tcW w:w="0" w:type="auto"/>
            <w:tcBorders>
              <w:top w:val="nil"/>
              <w:left w:val="nil"/>
              <w:bottom w:val="nil"/>
              <w:right w:val="nil"/>
            </w:tcBorders>
            <w:shd w:val="clear" w:color="000000" w:fill="FFFFFF"/>
            <w:noWrap/>
            <w:hideMark/>
          </w:tcPr>
          <w:p w14:paraId="08BE8CE9"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161 </w:t>
            </w:r>
          </w:p>
        </w:tc>
        <w:tc>
          <w:tcPr>
            <w:tcW w:w="0" w:type="auto"/>
            <w:tcBorders>
              <w:top w:val="nil"/>
              <w:left w:val="nil"/>
              <w:bottom w:val="nil"/>
              <w:right w:val="nil"/>
            </w:tcBorders>
            <w:shd w:val="clear" w:color="000000" w:fill="FFFFFF"/>
            <w:noWrap/>
            <w:hideMark/>
          </w:tcPr>
          <w:p w14:paraId="11308909"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 </w:t>
            </w:r>
          </w:p>
        </w:tc>
        <w:tc>
          <w:tcPr>
            <w:tcW w:w="0" w:type="auto"/>
            <w:tcBorders>
              <w:top w:val="nil"/>
              <w:left w:val="nil"/>
              <w:bottom w:val="nil"/>
              <w:right w:val="nil"/>
            </w:tcBorders>
            <w:shd w:val="clear" w:color="000000" w:fill="FFFFFF"/>
            <w:noWrap/>
            <w:hideMark/>
          </w:tcPr>
          <w:p w14:paraId="0E05CF33"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170 </w:t>
            </w:r>
          </w:p>
        </w:tc>
        <w:tc>
          <w:tcPr>
            <w:tcW w:w="0" w:type="auto"/>
            <w:tcBorders>
              <w:top w:val="nil"/>
              <w:left w:val="nil"/>
              <w:bottom w:val="nil"/>
              <w:right w:val="nil"/>
            </w:tcBorders>
            <w:shd w:val="clear" w:color="000000" w:fill="FFFFFF"/>
            <w:noWrap/>
            <w:hideMark/>
          </w:tcPr>
          <w:p w14:paraId="0FEAA275"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1,745 </w:t>
            </w:r>
          </w:p>
        </w:tc>
        <w:tc>
          <w:tcPr>
            <w:tcW w:w="0" w:type="auto"/>
            <w:tcBorders>
              <w:top w:val="nil"/>
              <w:left w:val="nil"/>
              <w:bottom w:val="nil"/>
              <w:right w:val="single" w:sz="4" w:space="0" w:color="auto"/>
            </w:tcBorders>
            <w:shd w:val="clear" w:color="000000" w:fill="FFFFFF"/>
            <w:noWrap/>
            <w:hideMark/>
          </w:tcPr>
          <w:p w14:paraId="37672E8F"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2,078 </w:t>
            </w:r>
          </w:p>
        </w:tc>
      </w:tr>
      <w:tr w:rsidR="00D24603" w:rsidRPr="00F13CA0" w14:paraId="00B4CCF9"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087BCA1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C9</w:t>
            </w:r>
          </w:p>
        </w:tc>
        <w:tc>
          <w:tcPr>
            <w:tcW w:w="0" w:type="auto"/>
            <w:tcBorders>
              <w:top w:val="nil"/>
              <w:left w:val="nil"/>
              <w:bottom w:val="nil"/>
              <w:right w:val="nil"/>
            </w:tcBorders>
            <w:shd w:val="clear" w:color="000000" w:fill="FFFFFF"/>
            <w:noWrap/>
            <w:hideMark/>
          </w:tcPr>
          <w:p w14:paraId="10048403"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113 </w:t>
            </w:r>
          </w:p>
        </w:tc>
        <w:tc>
          <w:tcPr>
            <w:tcW w:w="0" w:type="auto"/>
            <w:tcBorders>
              <w:top w:val="nil"/>
              <w:left w:val="nil"/>
              <w:bottom w:val="nil"/>
              <w:right w:val="nil"/>
            </w:tcBorders>
            <w:shd w:val="clear" w:color="000000" w:fill="FFFFFF"/>
            <w:noWrap/>
            <w:hideMark/>
          </w:tcPr>
          <w:p w14:paraId="18492EA6"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 </w:t>
            </w:r>
          </w:p>
        </w:tc>
        <w:tc>
          <w:tcPr>
            <w:tcW w:w="0" w:type="auto"/>
            <w:tcBorders>
              <w:top w:val="nil"/>
              <w:left w:val="nil"/>
              <w:bottom w:val="nil"/>
              <w:right w:val="nil"/>
            </w:tcBorders>
            <w:shd w:val="clear" w:color="000000" w:fill="FFFFFF"/>
            <w:noWrap/>
            <w:hideMark/>
          </w:tcPr>
          <w:p w14:paraId="4A8F5BB0"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101 </w:t>
            </w:r>
          </w:p>
        </w:tc>
        <w:tc>
          <w:tcPr>
            <w:tcW w:w="0" w:type="auto"/>
            <w:tcBorders>
              <w:top w:val="nil"/>
              <w:left w:val="nil"/>
              <w:bottom w:val="nil"/>
              <w:right w:val="nil"/>
            </w:tcBorders>
            <w:shd w:val="clear" w:color="000000" w:fill="FFFFFF"/>
            <w:noWrap/>
            <w:hideMark/>
          </w:tcPr>
          <w:p w14:paraId="78BD506B"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1,047 </w:t>
            </w:r>
          </w:p>
        </w:tc>
        <w:tc>
          <w:tcPr>
            <w:tcW w:w="0" w:type="auto"/>
            <w:tcBorders>
              <w:top w:val="nil"/>
              <w:left w:val="nil"/>
              <w:bottom w:val="nil"/>
              <w:right w:val="single" w:sz="4" w:space="0" w:color="auto"/>
            </w:tcBorders>
            <w:shd w:val="clear" w:color="000000" w:fill="FFFFFF"/>
            <w:noWrap/>
            <w:hideMark/>
          </w:tcPr>
          <w:p w14:paraId="11C2FEC7"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1,263 </w:t>
            </w:r>
          </w:p>
        </w:tc>
      </w:tr>
      <w:tr w:rsidR="00D24603" w:rsidRPr="00F13CA0" w14:paraId="72FC404F"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3328142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C10</w:t>
            </w:r>
          </w:p>
        </w:tc>
        <w:tc>
          <w:tcPr>
            <w:tcW w:w="0" w:type="auto"/>
            <w:tcBorders>
              <w:top w:val="nil"/>
              <w:left w:val="nil"/>
              <w:bottom w:val="nil"/>
              <w:right w:val="nil"/>
            </w:tcBorders>
            <w:shd w:val="clear" w:color="000000" w:fill="FFFFFF"/>
            <w:noWrap/>
            <w:hideMark/>
          </w:tcPr>
          <w:p w14:paraId="239A99CE"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142 </w:t>
            </w:r>
          </w:p>
        </w:tc>
        <w:tc>
          <w:tcPr>
            <w:tcW w:w="0" w:type="auto"/>
            <w:tcBorders>
              <w:top w:val="nil"/>
              <w:left w:val="nil"/>
              <w:bottom w:val="nil"/>
              <w:right w:val="nil"/>
            </w:tcBorders>
            <w:shd w:val="clear" w:color="000000" w:fill="FFFFFF"/>
            <w:noWrap/>
            <w:hideMark/>
          </w:tcPr>
          <w:p w14:paraId="7D0B2D31"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 </w:t>
            </w:r>
          </w:p>
        </w:tc>
        <w:tc>
          <w:tcPr>
            <w:tcW w:w="0" w:type="auto"/>
            <w:tcBorders>
              <w:top w:val="nil"/>
              <w:left w:val="nil"/>
              <w:bottom w:val="nil"/>
              <w:right w:val="nil"/>
            </w:tcBorders>
            <w:shd w:val="clear" w:color="000000" w:fill="FFFFFF"/>
            <w:noWrap/>
            <w:hideMark/>
          </w:tcPr>
          <w:p w14:paraId="30D19F95"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119 </w:t>
            </w:r>
          </w:p>
        </w:tc>
        <w:tc>
          <w:tcPr>
            <w:tcW w:w="0" w:type="auto"/>
            <w:tcBorders>
              <w:top w:val="nil"/>
              <w:left w:val="nil"/>
              <w:bottom w:val="nil"/>
              <w:right w:val="nil"/>
            </w:tcBorders>
            <w:shd w:val="clear" w:color="000000" w:fill="FFFFFF"/>
            <w:noWrap/>
            <w:hideMark/>
          </w:tcPr>
          <w:p w14:paraId="74E3F336"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1,259 </w:t>
            </w:r>
          </w:p>
        </w:tc>
        <w:tc>
          <w:tcPr>
            <w:tcW w:w="0" w:type="auto"/>
            <w:tcBorders>
              <w:top w:val="nil"/>
              <w:left w:val="nil"/>
              <w:bottom w:val="nil"/>
              <w:right w:val="single" w:sz="4" w:space="0" w:color="auto"/>
            </w:tcBorders>
            <w:shd w:val="clear" w:color="000000" w:fill="FFFFFF"/>
            <w:noWrap/>
            <w:hideMark/>
          </w:tcPr>
          <w:p w14:paraId="67F667E2"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1,522 </w:t>
            </w:r>
          </w:p>
        </w:tc>
      </w:tr>
      <w:tr w:rsidR="00D24603" w:rsidRPr="00F13CA0" w14:paraId="29B4B9D9"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523C1687"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C11</w:t>
            </w:r>
          </w:p>
        </w:tc>
        <w:tc>
          <w:tcPr>
            <w:tcW w:w="0" w:type="auto"/>
            <w:tcBorders>
              <w:top w:val="nil"/>
              <w:left w:val="nil"/>
              <w:bottom w:val="nil"/>
              <w:right w:val="nil"/>
            </w:tcBorders>
            <w:shd w:val="clear" w:color="000000" w:fill="FFFFFF"/>
            <w:noWrap/>
            <w:hideMark/>
          </w:tcPr>
          <w:p w14:paraId="66390E62"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64 </w:t>
            </w:r>
          </w:p>
        </w:tc>
        <w:tc>
          <w:tcPr>
            <w:tcW w:w="0" w:type="auto"/>
            <w:tcBorders>
              <w:top w:val="nil"/>
              <w:left w:val="nil"/>
              <w:bottom w:val="nil"/>
              <w:right w:val="nil"/>
            </w:tcBorders>
            <w:shd w:val="clear" w:color="000000" w:fill="FFFFFF"/>
            <w:noWrap/>
            <w:hideMark/>
          </w:tcPr>
          <w:p w14:paraId="35E9C189"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 </w:t>
            </w:r>
          </w:p>
        </w:tc>
        <w:tc>
          <w:tcPr>
            <w:tcW w:w="0" w:type="auto"/>
            <w:tcBorders>
              <w:top w:val="nil"/>
              <w:left w:val="nil"/>
              <w:bottom w:val="nil"/>
              <w:right w:val="nil"/>
            </w:tcBorders>
            <w:shd w:val="clear" w:color="000000" w:fill="FFFFFF"/>
            <w:noWrap/>
            <w:hideMark/>
          </w:tcPr>
          <w:p w14:paraId="63B268E1"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49 </w:t>
            </w:r>
          </w:p>
        </w:tc>
        <w:tc>
          <w:tcPr>
            <w:tcW w:w="0" w:type="auto"/>
            <w:tcBorders>
              <w:top w:val="nil"/>
              <w:left w:val="nil"/>
              <w:bottom w:val="nil"/>
              <w:right w:val="nil"/>
            </w:tcBorders>
            <w:shd w:val="clear" w:color="000000" w:fill="FFFFFF"/>
            <w:noWrap/>
            <w:hideMark/>
          </w:tcPr>
          <w:p w14:paraId="4E6E5DD9"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541 </w:t>
            </w:r>
          </w:p>
        </w:tc>
        <w:tc>
          <w:tcPr>
            <w:tcW w:w="0" w:type="auto"/>
            <w:tcBorders>
              <w:top w:val="nil"/>
              <w:left w:val="nil"/>
              <w:bottom w:val="nil"/>
              <w:right w:val="single" w:sz="4" w:space="0" w:color="auto"/>
            </w:tcBorders>
            <w:shd w:val="clear" w:color="000000" w:fill="FFFFFF"/>
            <w:noWrap/>
            <w:hideMark/>
          </w:tcPr>
          <w:p w14:paraId="7B132D10"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655 </w:t>
            </w:r>
          </w:p>
        </w:tc>
      </w:tr>
      <w:tr w:rsidR="00D24603" w:rsidRPr="00F13CA0" w14:paraId="6DA5F959"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154A773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C12</w:t>
            </w:r>
          </w:p>
        </w:tc>
        <w:tc>
          <w:tcPr>
            <w:tcW w:w="0" w:type="auto"/>
            <w:tcBorders>
              <w:top w:val="nil"/>
              <w:left w:val="nil"/>
              <w:bottom w:val="nil"/>
              <w:right w:val="nil"/>
            </w:tcBorders>
            <w:shd w:val="clear" w:color="000000" w:fill="FFFFFF"/>
            <w:noWrap/>
            <w:hideMark/>
          </w:tcPr>
          <w:p w14:paraId="64CBB04C"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660 </w:t>
            </w:r>
          </w:p>
        </w:tc>
        <w:tc>
          <w:tcPr>
            <w:tcW w:w="0" w:type="auto"/>
            <w:tcBorders>
              <w:top w:val="nil"/>
              <w:left w:val="nil"/>
              <w:bottom w:val="nil"/>
              <w:right w:val="nil"/>
            </w:tcBorders>
            <w:shd w:val="clear" w:color="000000" w:fill="FFFFFF"/>
            <w:noWrap/>
            <w:hideMark/>
          </w:tcPr>
          <w:p w14:paraId="75374C77"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10 </w:t>
            </w:r>
          </w:p>
        </w:tc>
        <w:tc>
          <w:tcPr>
            <w:tcW w:w="0" w:type="auto"/>
            <w:tcBorders>
              <w:top w:val="nil"/>
              <w:left w:val="nil"/>
              <w:bottom w:val="nil"/>
              <w:right w:val="nil"/>
            </w:tcBorders>
            <w:shd w:val="clear" w:color="000000" w:fill="FFFFFF"/>
            <w:noWrap/>
            <w:hideMark/>
          </w:tcPr>
          <w:p w14:paraId="657D70E8"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486 </w:t>
            </w:r>
          </w:p>
        </w:tc>
        <w:tc>
          <w:tcPr>
            <w:tcW w:w="0" w:type="auto"/>
            <w:tcBorders>
              <w:top w:val="nil"/>
              <w:left w:val="nil"/>
              <w:bottom w:val="nil"/>
              <w:right w:val="nil"/>
            </w:tcBorders>
            <w:shd w:val="clear" w:color="000000" w:fill="FFFFFF"/>
            <w:noWrap/>
            <w:hideMark/>
          </w:tcPr>
          <w:p w14:paraId="186161E7"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5,007 </w:t>
            </w:r>
          </w:p>
        </w:tc>
        <w:tc>
          <w:tcPr>
            <w:tcW w:w="0" w:type="auto"/>
            <w:tcBorders>
              <w:top w:val="nil"/>
              <w:left w:val="nil"/>
              <w:bottom w:val="nil"/>
              <w:right w:val="single" w:sz="4" w:space="0" w:color="auto"/>
            </w:tcBorders>
            <w:shd w:val="clear" w:color="000000" w:fill="FFFFFF"/>
            <w:noWrap/>
            <w:hideMark/>
          </w:tcPr>
          <w:p w14:paraId="6AF5AACA"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6,164 </w:t>
            </w:r>
          </w:p>
        </w:tc>
      </w:tr>
      <w:tr w:rsidR="00D24603" w:rsidRPr="00F13CA0" w14:paraId="62052C45"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135BAFD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C13</w:t>
            </w:r>
          </w:p>
        </w:tc>
        <w:tc>
          <w:tcPr>
            <w:tcW w:w="0" w:type="auto"/>
            <w:tcBorders>
              <w:top w:val="nil"/>
              <w:left w:val="nil"/>
              <w:bottom w:val="nil"/>
              <w:right w:val="nil"/>
            </w:tcBorders>
            <w:shd w:val="clear" w:color="000000" w:fill="FFFFFF"/>
            <w:noWrap/>
            <w:hideMark/>
          </w:tcPr>
          <w:p w14:paraId="3F74885E"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1,903 </w:t>
            </w:r>
          </w:p>
        </w:tc>
        <w:tc>
          <w:tcPr>
            <w:tcW w:w="0" w:type="auto"/>
            <w:tcBorders>
              <w:top w:val="nil"/>
              <w:left w:val="nil"/>
              <w:bottom w:val="nil"/>
              <w:right w:val="nil"/>
            </w:tcBorders>
            <w:shd w:val="clear" w:color="000000" w:fill="FFFFFF"/>
            <w:noWrap/>
            <w:hideMark/>
          </w:tcPr>
          <w:p w14:paraId="74A054C3"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26 </w:t>
            </w:r>
          </w:p>
        </w:tc>
        <w:tc>
          <w:tcPr>
            <w:tcW w:w="0" w:type="auto"/>
            <w:tcBorders>
              <w:top w:val="nil"/>
              <w:left w:val="nil"/>
              <w:bottom w:val="nil"/>
              <w:right w:val="nil"/>
            </w:tcBorders>
            <w:shd w:val="clear" w:color="000000" w:fill="FFFFFF"/>
            <w:noWrap/>
            <w:hideMark/>
          </w:tcPr>
          <w:p w14:paraId="45E0BC25"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1,533 </w:t>
            </w:r>
          </w:p>
        </w:tc>
        <w:tc>
          <w:tcPr>
            <w:tcW w:w="0" w:type="auto"/>
            <w:tcBorders>
              <w:top w:val="nil"/>
              <w:left w:val="nil"/>
              <w:bottom w:val="nil"/>
              <w:right w:val="nil"/>
            </w:tcBorders>
            <w:shd w:val="clear" w:color="000000" w:fill="FFFFFF"/>
            <w:noWrap/>
            <w:hideMark/>
          </w:tcPr>
          <w:p w14:paraId="599EA24B"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15,712 </w:t>
            </w:r>
          </w:p>
        </w:tc>
        <w:tc>
          <w:tcPr>
            <w:tcW w:w="0" w:type="auto"/>
            <w:tcBorders>
              <w:top w:val="nil"/>
              <w:left w:val="nil"/>
              <w:bottom w:val="nil"/>
              <w:right w:val="single" w:sz="4" w:space="0" w:color="auto"/>
            </w:tcBorders>
            <w:shd w:val="clear" w:color="000000" w:fill="FFFFFF"/>
            <w:noWrap/>
            <w:hideMark/>
          </w:tcPr>
          <w:p w14:paraId="35C502B2"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19,174 </w:t>
            </w:r>
          </w:p>
        </w:tc>
      </w:tr>
      <w:tr w:rsidR="00D24603" w:rsidRPr="00F13CA0" w14:paraId="48DEBD1E"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7B80497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C14</w:t>
            </w:r>
          </w:p>
        </w:tc>
        <w:tc>
          <w:tcPr>
            <w:tcW w:w="0" w:type="auto"/>
            <w:tcBorders>
              <w:top w:val="nil"/>
              <w:left w:val="nil"/>
              <w:bottom w:val="nil"/>
              <w:right w:val="nil"/>
            </w:tcBorders>
            <w:shd w:val="clear" w:color="000000" w:fill="FFFFFF"/>
            <w:noWrap/>
            <w:hideMark/>
          </w:tcPr>
          <w:p w14:paraId="038EC0AF"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183 </w:t>
            </w:r>
          </w:p>
        </w:tc>
        <w:tc>
          <w:tcPr>
            <w:tcW w:w="0" w:type="auto"/>
            <w:tcBorders>
              <w:top w:val="nil"/>
              <w:left w:val="nil"/>
              <w:bottom w:val="nil"/>
              <w:right w:val="nil"/>
            </w:tcBorders>
            <w:shd w:val="clear" w:color="000000" w:fill="FFFFFF"/>
            <w:noWrap/>
            <w:hideMark/>
          </w:tcPr>
          <w:p w14:paraId="1682AF73"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4 </w:t>
            </w:r>
          </w:p>
        </w:tc>
        <w:tc>
          <w:tcPr>
            <w:tcW w:w="0" w:type="auto"/>
            <w:tcBorders>
              <w:top w:val="nil"/>
              <w:left w:val="nil"/>
              <w:bottom w:val="nil"/>
              <w:right w:val="nil"/>
            </w:tcBorders>
            <w:shd w:val="clear" w:color="000000" w:fill="FFFFFF"/>
            <w:noWrap/>
            <w:hideMark/>
          </w:tcPr>
          <w:p w14:paraId="2E919942"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127 </w:t>
            </w:r>
          </w:p>
        </w:tc>
        <w:tc>
          <w:tcPr>
            <w:tcW w:w="0" w:type="auto"/>
            <w:tcBorders>
              <w:top w:val="nil"/>
              <w:left w:val="nil"/>
              <w:bottom w:val="nil"/>
              <w:right w:val="nil"/>
            </w:tcBorders>
            <w:shd w:val="clear" w:color="000000" w:fill="FFFFFF"/>
            <w:noWrap/>
            <w:hideMark/>
          </w:tcPr>
          <w:p w14:paraId="22B14196"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1,777 </w:t>
            </w:r>
          </w:p>
        </w:tc>
        <w:tc>
          <w:tcPr>
            <w:tcW w:w="0" w:type="auto"/>
            <w:tcBorders>
              <w:top w:val="nil"/>
              <w:left w:val="nil"/>
              <w:bottom w:val="nil"/>
              <w:right w:val="single" w:sz="4" w:space="0" w:color="auto"/>
            </w:tcBorders>
            <w:shd w:val="clear" w:color="000000" w:fill="FFFFFF"/>
            <w:noWrap/>
            <w:hideMark/>
          </w:tcPr>
          <w:p w14:paraId="052DCB59"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2,091 </w:t>
            </w:r>
          </w:p>
        </w:tc>
      </w:tr>
      <w:tr w:rsidR="00D24603" w:rsidRPr="00F13CA0" w14:paraId="65212761"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240A130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C15</w:t>
            </w:r>
          </w:p>
        </w:tc>
        <w:tc>
          <w:tcPr>
            <w:tcW w:w="0" w:type="auto"/>
            <w:tcBorders>
              <w:top w:val="nil"/>
              <w:left w:val="nil"/>
              <w:bottom w:val="nil"/>
              <w:right w:val="nil"/>
            </w:tcBorders>
            <w:shd w:val="clear" w:color="000000" w:fill="FFFFFF"/>
            <w:noWrap/>
            <w:hideMark/>
          </w:tcPr>
          <w:p w14:paraId="31898375"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100 </w:t>
            </w:r>
          </w:p>
        </w:tc>
        <w:tc>
          <w:tcPr>
            <w:tcW w:w="0" w:type="auto"/>
            <w:tcBorders>
              <w:top w:val="nil"/>
              <w:left w:val="nil"/>
              <w:bottom w:val="nil"/>
              <w:right w:val="nil"/>
            </w:tcBorders>
            <w:shd w:val="clear" w:color="000000" w:fill="FFFFFF"/>
            <w:noWrap/>
            <w:hideMark/>
          </w:tcPr>
          <w:p w14:paraId="03850004"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 </w:t>
            </w:r>
          </w:p>
        </w:tc>
        <w:tc>
          <w:tcPr>
            <w:tcW w:w="0" w:type="auto"/>
            <w:tcBorders>
              <w:top w:val="nil"/>
              <w:left w:val="nil"/>
              <w:bottom w:val="nil"/>
              <w:right w:val="nil"/>
            </w:tcBorders>
            <w:shd w:val="clear" w:color="000000" w:fill="FFFFFF"/>
            <w:noWrap/>
            <w:hideMark/>
          </w:tcPr>
          <w:p w14:paraId="205E4B22"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102 </w:t>
            </w:r>
          </w:p>
        </w:tc>
        <w:tc>
          <w:tcPr>
            <w:tcW w:w="0" w:type="auto"/>
            <w:tcBorders>
              <w:top w:val="nil"/>
              <w:left w:val="nil"/>
              <w:bottom w:val="nil"/>
              <w:right w:val="nil"/>
            </w:tcBorders>
            <w:shd w:val="clear" w:color="000000" w:fill="FFFFFF"/>
            <w:noWrap/>
            <w:hideMark/>
          </w:tcPr>
          <w:p w14:paraId="5C751B3C"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1,012 </w:t>
            </w:r>
          </w:p>
        </w:tc>
        <w:tc>
          <w:tcPr>
            <w:tcW w:w="0" w:type="auto"/>
            <w:tcBorders>
              <w:top w:val="nil"/>
              <w:left w:val="nil"/>
              <w:bottom w:val="nil"/>
              <w:right w:val="single" w:sz="4" w:space="0" w:color="auto"/>
            </w:tcBorders>
            <w:shd w:val="clear" w:color="000000" w:fill="FFFFFF"/>
            <w:noWrap/>
            <w:hideMark/>
          </w:tcPr>
          <w:p w14:paraId="13A2BC5E"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1,215 </w:t>
            </w:r>
          </w:p>
        </w:tc>
      </w:tr>
      <w:tr w:rsidR="00D24603" w:rsidRPr="00F13CA0" w14:paraId="48D66A4E"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43F0AE2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C16</w:t>
            </w:r>
          </w:p>
        </w:tc>
        <w:tc>
          <w:tcPr>
            <w:tcW w:w="0" w:type="auto"/>
            <w:tcBorders>
              <w:top w:val="nil"/>
              <w:left w:val="nil"/>
              <w:bottom w:val="nil"/>
              <w:right w:val="nil"/>
            </w:tcBorders>
            <w:shd w:val="clear" w:color="000000" w:fill="FFFFFF"/>
            <w:noWrap/>
            <w:hideMark/>
          </w:tcPr>
          <w:p w14:paraId="0355AF97"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71 </w:t>
            </w:r>
          </w:p>
        </w:tc>
        <w:tc>
          <w:tcPr>
            <w:tcW w:w="0" w:type="auto"/>
            <w:tcBorders>
              <w:top w:val="nil"/>
              <w:left w:val="nil"/>
              <w:bottom w:val="nil"/>
              <w:right w:val="nil"/>
            </w:tcBorders>
            <w:shd w:val="clear" w:color="000000" w:fill="FFFFFF"/>
            <w:noWrap/>
            <w:hideMark/>
          </w:tcPr>
          <w:p w14:paraId="093DE7C9"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 </w:t>
            </w:r>
          </w:p>
        </w:tc>
        <w:tc>
          <w:tcPr>
            <w:tcW w:w="0" w:type="auto"/>
            <w:tcBorders>
              <w:top w:val="nil"/>
              <w:left w:val="nil"/>
              <w:bottom w:val="nil"/>
              <w:right w:val="nil"/>
            </w:tcBorders>
            <w:shd w:val="clear" w:color="000000" w:fill="FFFFFF"/>
            <w:noWrap/>
            <w:hideMark/>
          </w:tcPr>
          <w:p w14:paraId="26F1B8C7"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67 </w:t>
            </w:r>
          </w:p>
        </w:tc>
        <w:tc>
          <w:tcPr>
            <w:tcW w:w="0" w:type="auto"/>
            <w:tcBorders>
              <w:top w:val="nil"/>
              <w:left w:val="nil"/>
              <w:bottom w:val="nil"/>
              <w:right w:val="nil"/>
            </w:tcBorders>
            <w:shd w:val="clear" w:color="000000" w:fill="FFFFFF"/>
            <w:noWrap/>
            <w:hideMark/>
          </w:tcPr>
          <w:p w14:paraId="224A6AF5"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892 </w:t>
            </w:r>
          </w:p>
        </w:tc>
        <w:tc>
          <w:tcPr>
            <w:tcW w:w="0" w:type="auto"/>
            <w:tcBorders>
              <w:top w:val="nil"/>
              <w:left w:val="nil"/>
              <w:bottom w:val="nil"/>
              <w:right w:val="single" w:sz="4" w:space="0" w:color="auto"/>
            </w:tcBorders>
            <w:shd w:val="clear" w:color="000000" w:fill="FFFFFF"/>
            <w:noWrap/>
            <w:hideMark/>
          </w:tcPr>
          <w:p w14:paraId="1BF6097B"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1,032 </w:t>
            </w:r>
          </w:p>
        </w:tc>
      </w:tr>
      <w:tr w:rsidR="00D24603" w:rsidRPr="00F13CA0" w14:paraId="736EA989"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64B91C22"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C17</w:t>
            </w:r>
          </w:p>
        </w:tc>
        <w:tc>
          <w:tcPr>
            <w:tcW w:w="0" w:type="auto"/>
            <w:tcBorders>
              <w:top w:val="nil"/>
              <w:left w:val="nil"/>
              <w:bottom w:val="nil"/>
              <w:right w:val="nil"/>
            </w:tcBorders>
            <w:shd w:val="clear" w:color="000000" w:fill="FFFFFF"/>
            <w:noWrap/>
            <w:hideMark/>
          </w:tcPr>
          <w:p w14:paraId="2C793079"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215 </w:t>
            </w:r>
          </w:p>
        </w:tc>
        <w:tc>
          <w:tcPr>
            <w:tcW w:w="0" w:type="auto"/>
            <w:tcBorders>
              <w:top w:val="nil"/>
              <w:left w:val="nil"/>
              <w:bottom w:val="nil"/>
              <w:right w:val="nil"/>
            </w:tcBorders>
            <w:shd w:val="clear" w:color="000000" w:fill="FFFFFF"/>
            <w:noWrap/>
            <w:hideMark/>
          </w:tcPr>
          <w:p w14:paraId="40456FEB"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4 </w:t>
            </w:r>
          </w:p>
        </w:tc>
        <w:tc>
          <w:tcPr>
            <w:tcW w:w="0" w:type="auto"/>
            <w:tcBorders>
              <w:top w:val="nil"/>
              <w:left w:val="nil"/>
              <w:bottom w:val="nil"/>
              <w:right w:val="nil"/>
            </w:tcBorders>
            <w:shd w:val="clear" w:color="000000" w:fill="FFFFFF"/>
            <w:noWrap/>
            <w:hideMark/>
          </w:tcPr>
          <w:p w14:paraId="42E35BAB"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197 </w:t>
            </w:r>
          </w:p>
        </w:tc>
        <w:tc>
          <w:tcPr>
            <w:tcW w:w="0" w:type="auto"/>
            <w:tcBorders>
              <w:top w:val="nil"/>
              <w:left w:val="nil"/>
              <w:bottom w:val="nil"/>
              <w:right w:val="nil"/>
            </w:tcBorders>
            <w:shd w:val="clear" w:color="000000" w:fill="FFFFFF"/>
            <w:noWrap/>
            <w:hideMark/>
          </w:tcPr>
          <w:p w14:paraId="27408C09"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2,727 </w:t>
            </w:r>
          </w:p>
        </w:tc>
        <w:tc>
          <w:tcPr>
            <w:tcW w:w="0" w:type="auto"/>
            <w:tcBorders>
              <w:top w:val="nil"/>
              <w:left w:val="nil"/>
              <w:bottom w:val="nil"/>
              <w:right w:val="single" w:sz="4" w:space="0" w:color="auto"/>
            </w:tcBorders>
            <w:shd w:val="clear" w:color="000000" w:fill="FFFFFF"/>
            <w:noWrap/>
            <w:hideMark/>
          </w:tcPr>
          <w:p w14:paraId="7248F1BC"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3,143 </w:t>
            </w:r>
          </w:p>
        </w:tc>
      </w:tr>
      <w:tr w:rsidR="00D24603" w:rsidRPr="00F13CA0" w14:paraId="0E699EDF"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776AF0D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C18</w:t>
            </w:r>
          </w:p>
        </w:tc>
        <w:tc>
          <w:tcPr>
            <w:tcW w:w="0" w:type="auto"/>
            <w:tcBorders>
              <w:top w:val="nil"/>
              <w:left w:val="nil"/>
              <w:bottom w:val="nil"/>
              <w:right w:val="nil"/>
            </w:tcBorders>
            <w:shd w:val="clear" w:color="000000" w:fill="FFFFFF"/>
            <w:noWrap/>
            <w:hideMark/>
          </w:tcPr>
          <w:p w14:paraId="5CA7577A"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100 </w:t>
            </w:r>
          </w:p>
        </w:tc>
        <w:tc>
          <w:tcPr>
            <w:tcW w:w="0" w:type="auto"/>
            <w:tcBorders>
              <w:top w:val="nil"/>
              <w:left w:val="nil"/>
              <w:bottom w:val="nil"/>
              <w:right w:val="nil"/>
            </w:tcBorders>
            <w:shd w:val="clear" w:color="000000" w:fill="FFFFFF"/>
            <w:noWrap/>
            <w:hideMark/>
          </w:tcPr>
          <w:p w14:paraId="1AD3D3A4"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 </w:t>
            </w:r>
          </w:p>
        </w:tc>
        <w:tc>
          <w:tcPr>
            <w:tcW w:w="0" w:type="auto"/>
            <w:tcBorders>
              <w:top w:val="nil"/>
              <w:left w:val="nil"/>
              <w:bottom w:val="nil"/>
              <w:right w:val="nil"/>
            </w:tcBorders>
            <w:shd w:val="clear" w:color="000000" w:fill="FFFFFF"/>
            <w:noWrap/>
            <w:hideMark/>
          </w:tcPr>
          <w:p w14:paraId="4B6AF8C5"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95 </w:t>
            </w:r>
          </w:p>
        </w:tc>
        <w:tc>
          <w:tcPr>
            <w:tcW w:w="0" w:type="auto"/>
            <w:tcBorders>
              <w:top w:val="nil"/>
              <w:left w:val="nil"/>
              <w:bottom w:val="nil"/>
              <w:right w:val="nil"/>
            </w:tcBorders>
            <w:shd w:val="clear" w:color="000000" w:fill="FFFFFF"/>
            <w:noWrap/>
            <w:hideMark/>
          </w:tcPr>
          <w:p w14:paraId="61D66E43"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1,062 </w:t>
            </w:r>
          </w:p>
        </w:tc>
        <w:tc>
          <w:tcPr>
            <w:tcW w:w="0" w:type="auto"/>
            <w:tcBorders>
              <w:top w:val="nil"/>
              <w:left w:val="nil"/>
              <w:bottom w:val="nil"/>
              <w:right w:val="single" w:sz="4" w:space="0" w:color="auto"/>
            </w:tcBorders>
            <w:shd w:val="clear" w:color="000000" w:fill="FFFFFF"/>
            <w:noWrap/>
            <w:hideMark/>
          </w:tcPr>
          <w:p w14:paraId="7A50F23A"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1,257 </w:t>
            </w:r>
          </w:p>
        </w:tc>
      </w:tr>
      <w:tr w:rsidR="00D24603" w:rsidRPr="00F13CA0" w14:paraId="334116F0"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050097F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C19</w:t>
            </w:r>
          </w:p>
        </w:tc>
        <w:tc>
          <w:tcPr>
            <w:tcW w:w="0" w:type="auto"/>
            <w:tcBorders>
              <w:top w:val="nil"/>
              <w:left w:val="nil"/>
              <w:bottom w:val="nil"/>
              <w:right w:val="nil"/>
            </w:tcBorders>
            <w:shd w:val="clear" w:color="000000" w:fill="FFFFFF"/>
            <w:noWrap/>
            <w:hideMark/>
          </w:tcPr>
          <w:p w14:paraId="02D2DF76"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122 </w:t>
            </w:r>
          </w:p>
        </w:tc>
        <w:tc>
          <w:tcPr>
            <w:tcW w:w="0" w:type="auto"/>
            <w:tcBorders>
              <w:top w:val="nil"/>
              <w:left w:val="nil"/>
              <w:bottom w:val="nil"/>
              <w:right w:val="nil"/>
            </w:tcBorders>
            <w:shd w:val="clear" w:color="000000" w:fill="FFFFFF"/>
            <w:noWrap/>
            <w:hideMark/>
          </w:tcPr>
          <w:p w14:paraId="6ED36797"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 </w:t>
            </w:r>
          </w:p>
        </w:tc>
        <w:tc>
          <w:tcPr>
            <w:tcW w:w="0" w:type="auto"/>
            <w:tcBorders>
              <w:top w:val="nil"/>
              <w:left w:val="nil"/>
              <w:bottom w:val="nil"/>
              <w:right w:val="nil"/>
            </w:tcBorders>
            <w:shd w:val="clear" w:color="000000" w:fill="FFFFFF"/>
            <w:noWrap/>
            <w:hideMark/>
          </w:tcPr>
          <w:p w14:paraId="3F39EEC3"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111 </w:t>
            </w:r>
          </w:p>
        </w:tc>
        <w:tc>
          <w:tcPr>
            <w:tcW w:w="0" w:type="auto"/>
            <w:tcBorders>
              <w:top w:val="nil"/>
              <w:left w:val="nil"/>
              <w:bottom w:val="nil"/>
              <w:right w:val="nil"/>
            </w:tcBorders>
            <w:shd w:val="clear" w:color="000000" w:fill="FFFFFF"/>
            <w:noWrap/>
            <w:hideMark/>
          </w:tcPr>
          <w:p w14:paraId="2C8996C4"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1,534 </w:t>
            </w:r>
          </w:p>
        </w:tc>
        <w:tc>
          <w:tcPr>
            <w:tcW w:w="0" w:type="auto"/>
            <w:tcBorders>
              <w:top w:val="nil"/>
              <w:left w:val="nil"/>
              <w:bottom w:val="nil"/>
              <w:right w:val="single" w:sz="4" w:space="0" w:color="auto"/>
            </w:tcBorders>
            <w:shd w:val="clear" w:color="000000" w:fill="FFFFFF"/>
            <w:noWrap/>
            <w:hideMark/>
          </w:tcPr>
          <w:p w14:paraId="3569B492"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1,769 </w:t>
            </w:r>
          </w:p>
        </w:tc>
      </w:tr>
      <w:tr w:rsidR="00D24603" w:rsidRPr="00F13CA0" w14:paraId="126A2B6C"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6319BD1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C20</w:t>
            </w:r>
          </w:p>
        </w:tc>
        <w:tc>
          <w:tcPr>
            <w:tcW w:w="0" w:type="auto"/>
            <w:tcBorders>
              <w:top w:val="nil"/>
              <w:left w:val="nil"/>
              <w:bottom w:val="nil"/>
              <w:right w:val="nil"/>
            </w:tcBorders>
            <w:shd w:val="clear" w:color="000000" w:fill="FFFFFF"/>
            <w:noWrap/>
            <w:hideMark/>
          </w:tcPr>
          <w:p w14:paraId="6D79101F"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497 </w:t>
            </w:r>
          </w:p>
        </w:tc>
        <w:tc>
          <w:tcPr>
            <w:tcW w:w="0" w:type="auto"/>
            <w:tcBorders>
              <w:top w:val="nil"/>
              <w:left w:val="nil"/>
              <w:bottom w:val="nil"/>
              <w:right w:val="nil"/>
            </w:tcBorders>
            <w:shd w:val="clear" w:color="000000" w:fill="FFFFFF"/>
            <w:noWrap/>
            <w:hideMark/>
          </w:tcPr>
          <w:p w14:paraId="586C6880"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7 </w:t>
            </w:r>
          </w:p>
        </w:tc>
        <w:tc>
          <w:tcPr>
            <w:tcW w:w="0" w:type="auto"/>
            <w:tcBorders>
              <w:top w:val="nil"/>
              <w:left w:val="nil"/>
              <w:bottom w:val="nil"/>
              <w:right w:val="nil"/>
            </w:tcBorders>
            <w:shd w:val="clear" w:color="000000" w:fill="FFFFFF"/>
            <w:noWrap/>
            <w:hideMark/>
          </w:tcPr>
          <w:p w14:paraId="51F1DE6D"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326 </w:t>
            </w:r>
          </w:p>
        </w:tc>
        <w:tc>
          <w:tcPr>
            <w:tcW w:w="0" w:type="auto"/>
            <w:tcBorders>
              <w:top w:val="nil"/>
              <w:left w:val="nil"/>
              <w:bottom w:val="nil"/>
              <w:right w:val="nil"/>
            </w:tcBorders>
            <w:shd w:val="clear" w:color="000000" w:fill="FFFFFF"/>
            <w:noWrap/>
            <w:hideMark/>
          </w:tcPr>
          <w:p w14:paraId="46EED2F7"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4,864 </w:t>
            </w:r>
          </w:p>
        </w:tc>
        <w:tc>
          <w:tcPr>
            <w:tcW w:w="0" w:type="auto"/>
            <w:tcBorders>
              <w:top w:val="nil"/>
              <w:left w:val="nil"/>
              <w:bottom w:val="nil"/>
              <w:right w:val="single" w:sz="4" w:space="0" w:color="auto"/>
            </w:tcBorders>
            <w:shd w:val="clear" w:color="000000" w:fill="FFFFFF"/>
            <w:noWrap/>
            <w:hideMark/>
          </w:tcPr>
          <w:p w14:paraId="53201FA0"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5,694 </w:t>
            </w:r>
          </w:p>
        </w:tc>
      </w:tr>
      <w:tr w:rsidR="00D24603" w:rsidRPr="00F13CA0" w14:paraId="2FF4908C"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0E10901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C21</w:t>
            </w:r>
          </w:p>
        </w:tc>
        <w:tc>
          <w:tcPr>
            <w:tcW w:w="0" w:type="auto"/>
            <w:tcBorders>
              <w:top w:val="nil"/>
              <w:left w:val="nil"/>
              <w:bottom w:val="nil"/>
              <w:right w:val="nil"/>
            </w:tcBorders>
            <w:shd w:val="clear" w:color="000000" w:fill="FFFFFF"/>
            <w:noWrap/>
            <w:hideMark/>
          </w:tcPr>
          <w:p w14:paraId="2C74DBF6"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130 </w:t>
            </w:r>
          </w:p>
        </w:tc>
        <w:tc>
          <w:tcPr>
            <w:tcW w:w="0" w:type="auto"/>
            <w:tcBorders>
              <w:top w:val="nil"/>
              <w:left w:val="nil"/>
              <w:bottom w:val="nil"/>
              <w:right w:val="nil"/>
            </w:tcBorders>
            <w:shd w:val="clear" w:color="000000" w:fill="FFFFFF"/>
            <w:noWrap/>
            <w:hideMark/>
          </w:tcPr>
          <w:p w14:paraId="1A272DC8"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 </w:t>
            </w:r>
          </w:p>
        </w:tc>
        <w:tc>
          <w:tcPr>
            <w:tcW w:w="0" w:type="auto"/>
            <w:tcBorders>
              <w:top w:val="nil"/>
              <w:left w:val="nil"/>
              <w:bottom w:val="nil"/>
              <w:right w:val="nil"/>
            </w:tcBorders>
            <w:shd w:val="clear" w:color="000000" w:fill="FFFFFF"/>
            <w:noWrap/>
            <w:hideMark/>
          </w:tcPr>
          <w:p w14:paraId="6C141B15"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152 </w:t>
            </w:r>
          </w:p>
        </w:tc>
        <w:tc>
          <w:tcPr>
            <w:tcW w:w="0" w:type="auto"/>
            <w:tcBorders>
              <w:top w:val="nil"/>
              <w:left w:val="nil"/>
              <w:bottom w:val="nil"/>
              <w:right w:val="nil"/>
            </w:tcBorders>
            <w:shd w:val="clear" w:color="000000" w:fill="FFFFFF"/>
            <w:noWrap/>
            <w:hideMark/>
          </w:tcPr>
          <w:p w14:paraId="5A5FF521"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1,485 </w:t>
            </w:r>
          </w:p>
        </w:tc>
        <w:tc>
          <w:tcPr>
            <w:tcW w:w="0" w:type="auto"/>
            <w:tcBorders>
              <w:top w:val="nil"/>
              <w:left w:val="nil"/>
              <w:bottom w:val="nil"/>
              <w:right w:val="single" w:sz="4" w:space="0" w:color="auto"/>
            </w:tcBorders>
            <w:shd w:val="clear" w:color="000000" w:fill="FFFFFF"/>
            <w:noWrap/>
            <w:hideMark/>
          </w:tcPr>
          <w:p w14:paraId="2E4BE09C"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1,769 </w:t>
            </w:r>
          </w:p>
        </w:tc>
      </w:tr>
      <w:tr w:rsidR="00D24603" w:rsidRPr="00F13CA0" w14:paraId="020A7062"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545A167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C22</w:t>
            </w:r>
          </w:p>
        </w:tc>
        <w:tc>
          <w:tcPr>
            <w:tcW w:w="0" w:type="auto"/>
            <w:tcBorders>
              <w:top w:val="nil"/>
              <w:left w:val="nil"/>
              <w:bottom w:val="nil"/>
              <w:right w:val="nil"/>
            </w:tcBorders>
            <w:shd w:val="clear" w:color="000000" w:fill="FFFFFF"/>
            <w:noWrap/>
            <w:hideMark/>
          </w:tcPr>
          <w:p w14:paraId="1F1C9146"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128 </w:t>
            </w:r>
          </w:p>
        </w:tc>
        <w:tc>
          <w:tcPr>
            <w:tcW w:w="0" w:type="auto"/>
            <w:tcBorders>
              <w:top w:val="nil"/>
              <w:left w:val="nil"/>
              <w:bottom w:val="nil"/>
              <w:right w:val="nil"/>
            </w:tcBorders>
            <w:shd w:val="clear" w:color="000000" w:fill="FFFFFF"/>
            <w:noWrap/>
            <w:hideMark/>
          </w:tcPr>
          <w:p w14:paraId="25FDED31"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 </w:t>
            </w:r>
          </w:p>
        </w:tc>
        <w:tc>
          <w:tcPr>
            <w:tcW w:w="0" w:type="auto"/>
            <w:tcBorders>
              <w:top w:val="nil"/>
              <w:left w:val="nil"/>
              <w:bottom w:val="nil"/>
              <w:right w:val="nil"/>
            </w:tcBorders>
            <w:shd w:val="clear" w:color="000000" w:fill="FFFFFF"/>
            <w:noWrap/>
            <w:hideMark/>
          </w:tcPr>
          <w:p w14:paraId="19814493"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88 </w:t>
            </w:r>
          </w:p>
        </w:tc>
        <w:tc>
          <w:tcPr>
            <w:tcW w:w="0" w:type="auto"/>
            <w:tcBorders>
              <w:top w:val="nil"/>
              <w:left w:val="nil"/>
              <w:bottom w:val="nil"/>
              <w:right w:val="nil"/>
            </w:tcBorders>
            <w:shd w:val="clear" w:color="000000" w:fill="FFFFFF"/>
            <w:noWrap/>
            <w:hideMark/>
          </w:tcPr>
          <w:p w14:paraId="0F3071BB"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1,279 </w:t>
            </w:r>
          </w:p>
        </w:tc>
        <w:tc>
          <w:tcPr>
            <w:tcW w:w="0" w:type="auto"/>
            <w:tcBorders>
              <w:top w:val="nil"/>
              <w:left w:val="nil"/>
              <w:bottom w:val="nil"/>
              <w:right w:val="single" w:sz="4" w:space="0" w:color="auto"/>
            </w:tcBorders>
            <w:shd w:val="clear" w:color="000000" w:fill="FFFFFF"/>
            <w:noWrap/>
            <w:hideMark/>
          </w:tcPr>
          <w:p w14:paraId="5087BA7F"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1,498 </w:t>
            </w:r>
          </w:p>
        </w:tc>
      </w:tr>
      <w:tr w:rsidR="00D24603" w:rsidRPr="00F13CA0" w14:paraId="2587B0E3"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658615B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C23</w:t>
            </w:r>
          </w:p>
        </w:tc>
        <w:tc>
          <w:tcPr>
            <w:tcW w:w="0" w:type="auto"/>
            <w:tcBorders>
              <w:top w:val="nil"/>
              <w:left w:val="nil"/>
              <w:bottom w:val="nil"/>
              <w:right w:val="nil"/>
            </w:tcBorders>
            <w:shd w:val="clear" w:color="000000" w:fill="FFFFFF"/>
            <w:noWrap/>
            <w:hideMark/>
          </w:tcPr>
          <w:p w14:paraId="63FB5369"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158 </w:t>
            </w:r>
          </w:p>
        </w:tc>
        <w:tc>
          <w:tcPr>
            <w:tcW w:w="0" w:type="auto"/>
            <w:tcBorders>
              <w:top w:val="nil"/>
              <w:left w:val="nil"/>
              <w:bottom w:val="nil"/>
              <w:right w:val="nil"/>
            </w:tcBorders>
            <w:shd w:val="clear" w:color="000000" w:fill="FFFFFF"/>
            <w:noWrap/>
            <w:hideMark/>
          </w:tcPr>
          <w:p w14:paraId="3BBBDCC1"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3 </w:t>
            </w:r>
          </w:p>
        </w:tc>
        <w:tc>
          <w:tcPr>
            <w:tcW w:w="0" w:type="auto"/>
            <w:tcBorders>
              <w:top w:val="nil"/>
              <w:left w:val="nil"/>
              <w:bottom w:val="nil"/>
              <w:right w:val="nil"/>
            </w:tcBorders>
            <w:shd w:val="clear" w:color="000000" w:fill="FFFFFF"/>
            <w:noWrap/>
            <w:hideMark/>
          </w:tcPr>
          <w:p w14:paraId="3110AA63"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264 </w:t>
            </w:r>
          </w:p>
        </w:tc>
        <w:tc>
          <w:tcPr>
            <w:tcW w:w="0" w:type="auto"/>
            <w:tcBorders>
              <w:top w:val="nil"/>
              <w:left w:val="nil"/>
              <w:bottom w:val="nil"/>
              <w:right w:val="nil"/>
            </w:tcBorders>
            <w:shd w:val="clear" w:color="000000" w:fill="FFFFFF"/>
            <w:noWrap/>
            <w:hideMark/>
          </w:tcPr>
          <w:p w14:paraId="67655C5F"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3,253 </w:t>
            </w:r>
          </w:p>
        </w:tc>
        <w:tc>
          <w:tcPr>
            <w:tcW w:w="0" w:type="auto"/>
            <w:tcBorders>
              <w:top w:val="nil"/>
              <w:left w:val="nil"/>
              <w:bottom w:val="nil"/>
              <w:right w:val="single" w:sz="4" w:space="0" w:color="auto"/>
            </w:tcBorders>
            <w:shd w:val="clear" w:color="000000" w:fill="FFFFFF"/>
            <w:noWrap/>
            <w:hideMark/>
          </w:tcPr>
          <w:p w14:paraId="3695A27F"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3,678 </w:t>
            </w:r>
          </w:p>
        </w:tc>
      </w:tr>
      <w:tr w:rsidR="00D24603" w:rsidRPr="00F13CA0" w14:paraId="730A8608"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6199CAA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C24</w:t>
            </w:r>
          </w:p>
        </w:tc>
        <w:tc>
          <w:tcPr>
            <w:tcW w:w="0" w:type="auto"/>
            <w:tcBorders>
              <w:top w:val="nil"/>
              <w:left w:val="nil"/>
              <w:bottom w:val="nil"/>
              <w:right w:val="nil"/>
            </w:tcBorders>
            <w:shd w:val="clear" w:color="000000" w:fill="FFFFFF"/>
            <w:noWrap/>
            <w:hideMark/>
          </w:tcPr>
          <w:p w14:paraId="63FF7E58"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146 </w:t>
            </w:r>
          </w:p>
        </w:tc>
        <w:tc>
          <w:tcPr>
            <w:tcW w:w="0" w:type="auto"/>
            <w:tcBorders>
              <w:top w:val="nil"/>
              <w:left w:val="nil"/>
              <w:bottom w:val="nil"/>
              <w:right w:val="nil"/>
            </w:tcBorders>
            <w:shd w:val="clear" w:color="000000" w:fill="FFFFFF"/>
            <w:noWrap/>
            <w:hideMark/>
          </w:tcPr>
          <w:p w14:paraId="5B9ED979"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 </w:t>
            </w:r>
          </w:p>
        </w:tc>
        <w:tc>
          <w:tcPr>
            <w:tcW w:w="0" w:type="auto"/>
            <w:tcBorders>
              <w:top w:val="nil"/>
              <w:left w:val="nil"/>
              <w:bottom w:val="nil"/>
              <w:right w:val="nil"/>
            </w:tcBorders>
            <w:shd w:val="clear" w:color="000000" w:fill="FFFFFF"/>
            <w:noWrap/>
            <w:hideMark/>
          </w:tcPr>
          <w:p w14:paraId="7809D92F"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123 </w:t>
            </w:r>
          </w:p>
        </w:tc>
        <w:tc>
          <w:tcPr>
            <w:tcW w:w="0" w:type="auto"/>
            <w:tcBorders>
              <w:top w:val="nil"/>
              <w:left w:val="nil"/>
              <w:bottom w:val="nil"/>
              <w:right w:val="nil"/>
            </w:tcBorders>
            <w:shd w:val="clear" w:color="000000" w:fill="FFFFFF"/>
            <w:noWrap/>
            <w:hideMark/>
          </w:tcPr>
          <w:p w14:paraId="2CDDE54C"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1,806 </w:t>
            </w:r>
          </w:p>
        </w:tc>
        <w:tc>
          <w:tcPr>
            <w:tcW w:w="0" w:type="auto"/>
            <w:tcBorders>
              <w:top w:val="nil"/>
              <w:left w:val="nil"/>
              <w:bottom w:val="nil"/>
              <w:right w:val="single" w:sz="4" w:space="0" w:color="auto"/>
            </w:tcBorders>
            <w:shd w:val="clear" w:color="000000" w:fill="FFFFFF"/>
            <w:noWrap/>
            <w:hideMark/>
          </w:tcPr>
          <w:p w14:paraId="57B26CF3"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2,077 </w:t>
            </w:r>
          </w:p>
        </w:tc>
      </w:tr>
      <w:tr w:rsidR="00D24603" w:rsidRPr="00F13CA0" w14:paraId="5D336911" w14:textId="77777777" w:rsidTr="00435936">
        <w:trPr>
          <w:trHeight w:val="292"/>
        </w:trPr>
        <w:tc>
          <w:tcPr>
            <w:tcW w:w="0" w:type="auto"/>
            <w:tcBorders>
              <w:top w:val="nil"/>
              <w:left w:val="single" w:sz="4" w:space="0" w:color="auto"/>
              <w:right w:val="single" w:sz="4" w:space="0" w:color="auto"/>
            </w:tcBorders>
            <w:shd w:val="clear" w:color="000000" w:fill="FFFFFF"/>
            <w:noWrap/>
            <w:vAlign w:val="center"/>
            <w:hideMark/>
          </w:tcPr>
          <w:p w14:paraId="75C4E65A"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C25</w:t>
            </w:r>
          </w:p>
        </w:tc>
        <w:tc>
          <w:tcPr>
            <w:tcW w:w="0" w:type="auto"/>
            <w:tcBorders>
              <w:top w:val="nil"/>
              <w:left w:val="nil"/>
              <w:right w:val="nil"/>
            </w:tcBorders>
            <w:shd w:val="clear" w:color="000000" w:fill="FFFFFF"/>
            <w:noWrap/>
            <w:hideMark/>
          </w:tcPr>
          <w:p w14:paraId="1DC5F7DE"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226 </w:t>
            </w:r>
          </w:p>
        </w:tc>
        <w:tc>
          <w:tcPr>
            <w:tcW w:w="0" w:type="auto"/>
            <w:tcBorders>
              <w:top w:val="nil"/>
              <w:left w:val="nil"/>
              <w:right w:val="nil"/>
            </w:tcBorders>
            <w:shd w:val="clear" w:color="000000" w:fill="FFFFFF"/>
            <w:noWrap/>
            <w:hideMark/>
          </w:tcPr>
          <w:p w14:paraId="4EC2CC26"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 </w:t>
            </w:r>
          </w:p>
        </w:tc>
        <w:tc>
          <w:tcPr>
            <w:tcW w:w="0" w:type="auto"/>
            <w:tcBorders>
              <w:top w:val="nil"/>
              <w:left w:val="nil"/>
              <w:right w:val="nil"/>
            </w:tcBorders>
            <w:shd w:val="clear" w:color="000000" w:fill="FFFFFF"/>
            <w:noWrap/>
            <w:hideMark/>
          </w:tcPr>
          <w:p w14:paraId="221EB91B"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234 </w:t>
            </w:r>
          </w:p>
        </w:tc>
        <w:tc>
          <w:tcPr>
            <w:tcW w:w="0" w:type="auto"/>
            <w:tcBorders>
              <w:top w:val="nil"/>
              <w:left w:val="nil"/>
              <w:right w:val="nil"/>
            </w:tcBorders>
            <w:shd w:val="clear" w:color="000000" w:fill="FFFFFF"/>
            <w:noWrap/>
            <w:hideMark/>
          </w:tcPr>
          <w:p w14:paraId="0FAFF87C"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2,228 </w:t>
            </w:r>
          </w:p>
        </w:tc>
        <w:tc>
          <w:tcPr>
            <w:tcW w:w="0" w:type="auto"/>
            <w:tcBorders>
              <w:top w:val="nil"/>
              <w:left w:val="nil"/>
              <w:right w:val="single" w:sz="4" w:space="0" w:color="auto"/>
            </w:tcBorders>
            <w:shd w:val="clear" w:color="000000" w:fill="FFFFFF"/>
            <w:noWrap/>
            <w:hideMark/>
          </w:tcPr>
          <w:p w14:paraId="6CDC5EF2"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2,690 </w:t>
            </w:r>
          </w:p>
        </w:tc>
      </w:tr>
      <w:tr w:rsidR="00D24603" w:rsidRPr="00F13CA0" w14:paraId="76AD42E0" w14:textId="77777777" w:rsidTr="00435936">
        <w:trPr>
          <w:trHeight w:val="292"/>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8529475"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C26</w:t>
            </w:r>
          </w:p>
        </w:tc>
        <w:tc>
          <w:tcPr>
            <w:tcW w:w="0" w:type="auto"/>
            <w:tcBorders>
              <w:top w:val="nil"/>
              <w:left w:val="nil"/>
              <w:bottom w:val="single" w:sz="4" w:space="0" w:color="auto"/>
              <w:right w:val="nil"/>
            </w:tcBorders>
            <w:shd w:val="clear" w:color="000000" w:fill="FFFFFF"/>
            <w:noWrap/>
            <w:hideMark/>
          </w:tcPr>
          <w:p w14:paraId="331619D5"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169 </w:t>
            </w:r>
          </w:p>
        </w:tc>
        <w:tc>
          <w:tcPr>
            <w:tcW w:w="0" w:type="auto"/>
            <w:tcBorders>
              <w:top w:val="nil"/>
              <w:left w:val="nil"/>
              <w:bottom w:val="single" w:sz="4" w:space="0" w:color="auto"/>
              <w:right w:val="nil"/>
            </w:tcBorders>
            <w:shd w:val="clear" w:color="000000" w:fill="FFFFFF"/>
            <w:noWrap/>
            <w:hideMark/>
          </w:tcPr>
          <w:p w14:paraId="71E9C53C"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 </w:t>
            </w:r>
          </w:p>
        </w:tc>
        <w:tc>
          <w:tcPr>
            <w:tcW w:w="0" w:type="auto"/>
            <w:tcBorders>
              <w:top w:val="nil"/>
              <w:left w:val="nil"/>
              <w:bottom w:val="single" w:sz="4" w:space="0" w:color="auto"/>
              <w:right w:val="nil"/>
            </w:tcBorders>
            <w:shd w:val="clear" w:color="000000" w:fill="FFFFFF"/>
            <w:noWrap/>
            <w:hideMark/>
          </w:tcPr>
          <w:p w14:paraId="30408C3A"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145 </w:t>
            </w:r>
          </w:p>
        </w:tc>
        <w:tc>
          <w:tcPr>
            <w:tcW w:w="0" w:type="auto"/>
            <w:tcBorders>
              <w:top w:val="nil"/>
              <w:left w:val="nil"/>
              <w:bottom w:val="single" w:sz="4" w:space="0" w:color="auto"/>
              <w:right w:val="nil"/>
            </w:tcBorders>
            <w:shd w:val="clear" w:color="000000" w:fill="FFFFFF"/>
            <w:noWrap/>
            <w:hideMark/>
          </w:tcPr>
          <w:p w14:paraId="3750699C"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2,188 </w:t>
            </w:r>
          </w:p>
        </w:tc>
        <w:tc>
          <w:tcPr>
            <w:tcW w:w="0" w:type="auto"/>
            <w:tcBorders>
              <w:top w:val="nil"/>
              <w:left w:val="nil"/>
              <w:bottom w:val="single" w:sz="4" w:space="0" w:color="auto"/>
              <w:right w:val="single" w:sz="4" w:space="0" w:color="auto"/>
            </w:tcBorders>
            <w:shd w:val="clear" w:color="000000" w:fill="FFFFFF"/>
            <w:noWrap/>
            <w:hideMark/>
          </w:tcPr>
          <w:p w14:paraId="22F045AA" w14:textId="77777777" w:rsidR="00D24603" w:rsidRPr="0002400D" w:rsidRDefault="00D24603" w:rsidP="00CE3D62">
            <w:pPr>
              <w:spacing w:after="0"/>
              <w:jc w:val="center"/>
              <w:rPr>
                <w:rFonts w:ascii="Calibri" w:hAnsi="Calibri" w:cs="Calibri"/>
                <w:color w:val="000000"/>
                <w:sz w:val="22"/>
                <w:szCs w:val="22"/>
              </w:rPr>
            </w:pPr>
            <w:r w:rsidRPr="0002400D">
              <w:rPr>
                <w:rFonts w:ascii="Calibri" w:hAnsi="Calibri" w:cs="Calibri"/>
                <w:color w:val="000000"/>
                <w:sz w:val="22"/>
                <w:szCs w:val="22"/>
              </w:rPr>
              <w:t xml:space="preserve"> 2,504 </w:t>
            </w:r>
          </w:p>
        </w:tc>
      </w:tr>
    </w:tbl>
    <w:p w14:paraId="6FEB8D73" w14:textId="77777777" w:rsidR="00D24603" w:rsidRPr="00F06B14" w:rsidRDefault="00D24603" w:rsidP="00CE3D62">
      <w:pPr>
        <w:spacing w:after="0"/>
        <w:rPr>
          <w:szCs w:val="20"/>
        </w:rPr>
      </w:pPr>
      <w:r w:rsidRPr="00F06B14">
        <w:rPr>
          <w:szCs w:val="20"/>
        </w:rPr>
        <w:t xml:space="preserve">Abbreviations: </w:t>
      </w:r>
      <w:r>
        <w:rPr>
          <w:szCs w:val="20"/>
        </w:rPr>
        <w:t xml:space="preserve">C = Community; </w:t>
      </w:r>
      <w:r w:rsidRPr="00F06B14">
        <w:rPr>
          <w:szCs w:val="20"/>
        </w:rPr>
        <w:t>EBP = Evidence-Based Practice</w:t>
      </w:r>
      <w:r>
        <w:rPr>
          <w:szCs w:val="20"/>
        </w:rPr>
        <w:t>.</w:t>
      </w:r>
    </w:p>
    <w:p w14:paraId="3A9E5B34" w14:textId="77777777" w:rsidR="00D24603" w:rsidRPr="00F06B14" w:rsidRDefault="00D24603" w:rsidP="00CE3D62">
      <w:pPr>
        <w:spacing w:after="0"/>
        <w:rPr>
          <w:szCs w:val="20"/>
        </w:rPr>
      </w:pPr>
      <w:r>
        <w:rPr>
          <w:szCs w:val="20"/>
        </w:rPr>
        <w:t>C</w:t>
      </w:r>
      <w:r w:rsidRPr="00F06B14">
        <w:rPr>
          <w:szCs w:val="20"/>
        </w:rPr>
        <w:t xml:space="preserve">ommunities are in order of decreasing OUD prevalence in the </w:t>
      </w:r>
      <w:r>
        <w:rPr>
          <w:szCs w:val="20"/>
        </w:rPr>
        <w:t>“</w:t>
      </w:r>
      <w:r w:rsidRPr="00F06B14">
        <w:rPr>
          <w:szCs w:val="20"/>
        </w:rPr>
        <w:t xml:space="preserve">Maintain </w:t>
      </w:r>
      <w:r>
        <w:rPr>
          <w:szCs w:val="20"/>
        </w:rPr>
        <w:t xml:space="preserve">2024 </w:t>
      </w:r>
      <w:r w:rsidRPr="00F06B14">
        <w:rPr>
          <w:szCs w:val="20"/>
        </w:rPr>
        <w:t xml:space="preserve">EBP </w:t>
      </w:r>
      <w:r>
        <w:rPr>
          <w:szCs w:val="20"/>
        </w:rPr>
        <w:t>L</w:t>
      </w:r>
      <w:r w:rsidRPr="00F06B14">
        <w:rPr>
          <w:szCs w:val="20"/>
        </w:rPr>
        <w:t>evels</w:t>
      </w:r>
      <w:r>
        <w:rPr>
          <w:szCs w:val="20"/>
        </w:rPr>
        <w:t>”</w:t>
      </w:r>
      <w:r w:rsidRPr="00F06B14">
        <w:rPr>
          <w:szCs w:val="20"/>
        </w:rPr>
        <w:t xml:space="preserve"> scenario</w:t>
      </w:r>
      <w:r>
        <w:rPr>
          <w:szCs w:val="20"/>
        </w:rPr>
        <w:t>.</w:t>
      </w:r>
    </w:p>
    <w:p w14:paraId="681DBF6B" w14:textId="77777777" w:rsidR="00D24603" w:rsidRDefault="00D24603" w:rsidP="00D24603">
      <w:r>
        <w:br w:type="page"/>
      </w:r>
    </w:p>
    <w:p w14:paraId="58454A6E" w14:textId="290160F1" w:rsidR="00D24603" w:rsidRDefault="00CE3D62" w:rsidP="00CE3D62">
      <w:pPr>
        <w:spacing w:after="0"/>
      </w:pPr>
      <w:r>
        <w:rPr>
          <w:b/>
          <w:bCs/>
        </w:rPr>
        <w:lastRenderedPageBreak/>
        <w:t xml:space="preserve">Supplementary </w:t>
      </w:r>
      <w:r w:rsidR="00D24603" w:rsidRPr="00F13CA0">
        <w:rPr>
          <w:b/>
          <w:bCs/>
        </w:rPr>
        <w:t xml:space="preserve">Table </w:t>
      </w:r>
      <w:r w:rsidR="00A87FBF">
        <w:rPr>
          <w:b/>
          <w:bCs/>
        </w:rPr>
        <w:t>2</w:t>
      </w:r>
      <w:r w:rsidR="00D24603">
        <w:rPr>
          <w:b/>
          <w:bCs/>
        </w:rPr>
        <w:t>8</w:t>
      </w:r>
      <w:r w:rsidR="00D24603" w:rsidRPr="00F13CA0">
        <w:rPr>
          <w:b/>
          <w:bCs/>
        </w:rPr>
        <w:t>.</w:t>
      </w:r>
      <w:r w:rsidR="00D24603" w:rsidRPr="00F13CA0">
        <w:t xml:space="preserve"> Distribution</w:t>
      </w:r>
      <w:r w:rsidR="00D24603" w:rsidRPr="003F1B21">
        <w:t xml:space="preserve"> of </w:t>
      </w:r>
      <w:r w:rsidR="00D24603">
        <w:t>societal</w:t>
      </w:r>
      <w:r w:rsidR="00D24603" w:rsidRPr="003F1B21">
        <w:t xml:space="preserve"> costs </w:t>
      </w:r>
      <w:r w:rsidR="00D24603" w:rsidRPr="00D52816">
        <w:t xml:space="preserve">(million </w:t>
      </w:r>
      <w:r w:rsidR="00D24603">
        <w:t>US</w:t>
      </w:r>
      <w:r w:rsidR="00A87FBF">
        <w:t>$</w:t>
      </w:r>
      <w:r w:rsidR="00D24603">
        <w:t>, 2025-2030</w:t>
      </w:r>
      <w:r w:rsidR="00D24603" w:rsidRPr="00D52816">
        <w:t>)</w:t>
      </w:r>
      <w:r w:rsidR="00D24603" w:rsidRPr="009A4737">
        <w:t xml:space="preserve"> </w:t>
      </w:r>
      <w:r w:rsidR="00D24603">
        <w:t xml:space="preserve">in Scenario 6 (“Improve All”) </w:t>
      </w:r>
      <w:r w:rsidR="00D24603" w:rsidRPr="003F1B21">
        <w:t>associated with opioid misuse in each community.</w:t>
      </w:r>
    </w:p>
    <w:tbl>
      <w:tblPr>
        <w:tblW w:w="0" w:type="auto"/>
        <w:tblLook w:val="04A0" w:firstRow="1" w:lastRow="0" w:firstColumn="1" w:lastColumn="0" w:noHBand="0" w:noVBand="1"/>
      </w:tblPr>
      <w:tblGrid>
        <w:gridCol w:w="1280"/>
        <w:gridCol w:w="1728"/>
        <w:gridCol w:w="1093"/>
        <w:gridCol w:w="979"/>
        <w:gridCol w:w="1673"/>
        <w:gridCol w:w="879"/>
      </w:tblGrid>
      <w:tr w:rsidR="00D24603" w:rsidRPr="00F13CA0" w14:paraId="7AC784ED" w14:textId="77777777" w:rsidTr="00435936">
        <w:trPr>
          <w:trHeight w:val="292"/>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754540A3"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sidRPr="00F13CA0">
              <w:rPr>
                <w:rFonts w:ascii="Calibri" w:eastAsia="Times New Roman" w:hAnsi="Calibri" w:cs="Calibri"/>
                <w:b/>
                <w:bCs/>
                <w:color w:val="000000"/>
                <w:kern w:val="0"/>
                <w:sz w:val="22"/>
                <w:szCs w:val="22"/>
                <w14:ligatures w14:val="none"/>
              </w:rPr>
              <w:t>Community</w:t>
            </w:r>
          </w:p>
        </w:tc>
        <w:tc>
          <w:tcPr>
            <w:tcW w:w="0" w:type="auto"/>
            <w:gridSpan w:val="5"/>
            <w:tcBorders>
              <w:top w:val="single" w:sz="4" w:space="0" w:color="auto"/>
              <w:left w:val="nil"/>
              <w:bottom w:val="single" w:sz="4" w:space="0" w:color="auto"/>
              <w:right w:val="single" w:sz="4" w:space="0" w:color="auto"/>
            </w:tcBorders>
            <w:shd w:val="clear" w:color="000000" w:fill="FFFFFF"/>
            <w:noWrap/>
            <w:vAlign w:val="center"/>
            <w:hideMark/>
          </w:tcPr>
          <w:p w14:paraId="7CCDB5E1"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Improve All (Scenario 6)</w:t>
            </w:r>
          </w:p>
        </w:tc>
      </w:tr>
      <w:tr w:rsidR="00D24603" w:rsidRPr="00F13CA0" w14:paraId="2E8638B9" w14:textId="77777777" w:rsidTr="00435936">
        <w:trPr>
          <w:trHeight w:val="87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343729B" w14:textId="77777777" w:rsidR="00D24603" w:rsidRPr="00F13CA0" w:rsidRDefault="00D24603" w:rsidP="00CE3D62">
            <w:pPr>
              <w:spacing w:after="0"/>
              <w:rPr>
                <w:rFonts w:ascii="Calibri" w:eastAsia="Times New Roman" w:hAnsi="Calibri" w:cs="Calibri"/>
                <w:b/>
                <w:bCs/>
                <w:color w:val="000000"/>
                <w:kern w:val="0"/>
                <w:sz w:val="22"/>
                <w:szCs w:val="22"/>
                <w14:ligatures w14:val="none"/>
              </w:rPr>
            </w:pPr>
          </w:p>
        </w:tc>
        <w:tc>
          <w:tcPr>
            <w:tcW w:w="0" w:type="auto"/>
            <w:tcBorders>
              <w:top w:val="nil"/>
              <w:left w:val="nil"/>
              <w:bottom w:val="single" w:sz="4" w:space="0" w:color="auto"/>
              <w:right w:val="nil"/>
            </w:tcBorders>
            <w:shd w:val="clear" w:color="000000" w:fill="FFFFFF"/>
            <w:noWrap/>
            <w:vAlign w:val="center"/>
            <w:hideMark/>
          </w:tcPr>
          <w:p w14:paraId="5D907D8C" w14:textId="77777777" w:rsidR="00D24603" w:rsidRDefault="00D24603" w:rsidP="00CE3D62">
            <w:pPr>
              <w:spacing w:after="0"/>
              <w:jc w:val="cente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Total Healthcare</w:t>
            </w:r>
          </w:p>
          <w:p w14:paraId="0B2D4A84"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Costs</w:t>
            </w:r>
          </w:p>
        </w:tc>
        <w:tc>
          <w:tcPr>
            <w:tcW w:w="0" w:type="auto"/>
            <w:tcBorders>
              <w:top w:val="nil"/>
              <w:left w:val="nil"/>
              <w:bottom w:val="single" w:sz="4" w:space="0" w:color="auto"/>
              <w:right w:val="nil"/>
            </w:tcBorders>
            <w:shd w:val="clear" w:color="000000" w:fill="FFFFFF"/>
            <w:vAlign w:val="center"/>
            <w:hideMark/>
          </w:tcPr>
          <w:p w14:paraId="63905795"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Overdose</w:t>
            </w:r>
          </w:p>
        </w:tc>
        <w:tc>
          <w:tcPr>
            <w:tcW w:w="0" w:type="auto"/>
            <w:tcBorders>
              <w:top w:val="nil"/>
              <w:left w:val="nil"/>
              <w:bottom w:val="single" w:sz="4" w:space="0" w:color="auto"/>
              <w:right w:val="nil"/>
            </w:tcBorders>
            <w:shd w:val="clear" w:color="000000" w:fill="FFFFFF"/>
            <w:vAlign w:val="center"/>
            <w:hideMark/>
          </w:tcPr>
          <w:p w14:paraId="337CE0B9"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Criminal</w:t>
            </w:r>
          </w:p>
        </w:tc>
        <w:tc>
          <w:tcPr>
            <w:tcW w:w="0" w:type="auto"/>
            <w:tcBorders>
              <w:top w:val="nil"/>
              <w:left w:val="nil"/>
              <w:bottom w:val="single" w:sz="4" w:space="0" w:color="auto"/>
              <w:right w:val="nil"/>
            </w:tcBorders>
            <w:shd w:val="clear" w:color="000000" w:fill="FFFFFF"/>
            <w:vAlign w:val="center"/>
            <w:hideMark/>
          </w:tcPr>
          <w:p w14:paraId="58C5DAC5"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Production Cost</w:t>
            </w:r>
          </w:p>
        </w:tc>
        <w:tc>
          <w:tcPr>
            <w:tcW w:w="0" w:type="auto"/>
            <w:tcBorders>
              <w:top w:val="nil"/>
              <w:left w:val="nil"/>
              <w:bottom w:val="single" w:sz="4" w:space="0" w:color="auto"/>
              <w:right w:val="single" w:sz="4" w:space="0" w:color="auto"/>
            </w:tcBorders>
            <w:shd w:val="clear" w:color="000000" w:fill="FFFFFF"/>
            <w:vAlign w:val="center"/>
            <w:hideMark/>
          </w:tcPr>
          <w:p w14:paraId="39668EEF" w14:textId="77777777" w:rsidR="00D24603" w:rsidRPr="00F13CA0" w:rsidRDefault="00D24603" w:rsidP="00CE3D62">
            <w:pPr>
              <w:spacing w:after="0"/>
              <w:jc w:val="cente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Total</w:t>
            </w:r>
          </w:p>
        </w:tc>
      </w:tr>
      <w:tr w:rsidR="00D24603" w:rsidRPr="00F13CA0" w14:paraId="1A0B2EE0"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6E3AD92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w:t>
            </w:r>
          </w:p>
        </w:tc>
        <w:tc>
          <w:tcPr>
            <w:tcW w:w="0" w:type="auto"/>
            <w:tcBorders>
              <w:top w:val="nil"/>
              <w:left w:val="nil"/>
              <w:bottom w:val="nil"/>
              <w:right w:val="nil"/>
            </w:tcBorders>
            <w:shd w:val="clear" w:color="000000" w:fill="FFFFFF"/>
            <w:noWrap/>
            <w:hideMark/>
          </w:tcPr>
          <w:p w14:paraId="62A8FBF0"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1,478 </w:t>
            </w:r>
          </w:p>
        </w:tc>
        <w:tc>
          <w:tcPr>
            <w:tcW w:w="0" w:type="auto"/>
            <w:tcBorders>
              <w:top w:val="nil"/>
              <w:left w:val="nil"/>
              <w:bottom w:val="nil"/>
              <w:right w:val="nil"/>
            </w:tcBorders>
            <w:shd w:val="clear" w:color="000000" w:fill="FFFFFF"/>
            <w:noWrap/>
            <w:hideMark/>
          </w:tcPr>
          <w:p w14:paraId="07D61982"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19 </w:t>
            </w:r>
          </w:p>
        </w:tc>
        <w:tc>
          <w:tcPr>
            <w:tcW w:w="0" w:type="auto"/>
            <w:tcBorders>
              <w:top w:val="nil"/>
              <w:left w:val="nil"/>
              <w:bottom w:val="nil"/>
              <w:right w:val="nil"/>
            </w:tcBorders>
            <w:shd w:val="clear" w:color="000000" w:fill="FFFFFF"/>
            <w:noWrap/>
            <w:hideMark/>
          </w:tcPr>
          <w:p w14:paraId="3B9D323F"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301 </w:t>
            </w:r>
          </w:p>
        </w:tc>
        <w:tc>
          <w:tcPr>
            <w:tcW w:w="0" w:type="auto"/>
            <w:tcBorders>
              <w:top w:val="nil"/>
              <w:left w:val="nil"/>
              <w:bottom w:val="nil"/>
              <w:right w:val="nil"/>
            </w:tcBorders>
            <w:shd w:val="clear" w:color="000000" w:fill="FFFFFF"/>
            <w:noWrap/>
            <w:hideMark/>
          </w:tcPr>
          <w:p w14:paraId="189D6033"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5,879 </w:t>
            </w:r>
          </w:p>
        </w:tc>
        <w:tc>
          <w:tcPr>
            <w:tcW w:w="0" w:type="auto"/>
            <w:tcBorders>
              <w:top w:val="nil"/>
              <w:left w:val="nil"/>
              <w:bottom w:val="nil"/>
              <w:right w:val="single" w:sz="4" w:space="0" w:color="auto"/>
            </w:tcBorders>
            <w:shd w:val="clear" w:color="000000" w:fill="FFFFFF"/>
            <w:noWrap/>
            <w:hideMark/>
          </w:tcPr>
          <w:p w14:paraId="688038AD"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7,677 </w:t>
            </w:r>
          </w:p>
        </w:tc>
      </w:tr>
      <w:tr w:rsidR="00D24603" w:rsidRPr="00F13CA0" w14:paraId="488BE93C"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3A11FBAD"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w:t>
            </w:r>
          </w:p>
        </w:tc>
        <w:tc>
          <w:tcPr>
            <w:tcW w:w="0" w:type="auto"/>
            <w:tcBorders>
              <w:top w:val="nil"/>
              <w:left w:val="nil"/>
              <w:bottom w:val="nil"/>
              <w:right w:val="nil"/>
            </w:tcBorders>
            <w:shd w:val="clear" w:color="000000" w:fill="FFFFFF"/>
            <w:noWrap/>
            <w:hideMark/>
          </w:tcPr>
          <w:p w14:paraId="5EF0ED71"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456 </w:t>
            </w:r>
          </w:p>
        </w:tc>
        <w:tc>
          <w:tcPr>
            <w:tcW w:w="0" w:type="auto"/>
            <w:tcBorders>
              <w:top w:val="nil"/>
              <w:left w:val="nil"/>
              <w:bottom w:val="nil"/>
              <w:right w:val="nil"/>
            </w:tcBorders>
            <w:shd w:val="clear" w:color="000000" w:fill="FFFFFF"/>
            <w:noWrap/>
            <w:hideMark/>
          </w:tcPr>
          <w:p w14:paraId="5BD200D5"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4 </w:t>
            </w:r>
          </w:p>
        </w:tc>
        <w:tc>
          <w:tcPr>
            <w:tcW w:w="0" w:type="auto"/>
            <w:tcBorders>
              <w:top w:val="nil"/>
              <w:left w:val="nil"/>
              <w:bottom w:val="nil"/>
              <w:right w:val="nil"/>
            </w:tcBorders>
            <w:shd w:val="clear" w:color="000000" w:fill="FFFFFF"/>
            <w:noWrap/>
            <w:hideMark/>
          </w:tcPr>
          <w:p w14:paraId="2276E417"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84 </w:t>
            </w:r>
          </w:p>
        </w:tc>
        <w:tc>
          <w:tcPr>
            <w:tcW w:w="0" w:type="auto"/>
            <w:tcBorders>
              <w:top w:val="nil"/>
              <w:left w:val="nil"/>
              <w:bottom w:val="nil"/>
              <w:right w:val="nil"/>
            </w:tcBorders>
            <w:shd w:val="clear" w:color="000000" w:fill="FFFFFF"/>
            <w:noWrap/>
            <w:hideMark/>
          </w:tcPr>
          <w:p w14:paraId="461911BC"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1,752 </w:t>
            </w:r>
          </w:p>
        </w:tc>
        <w:tc>
          <w:tcPr>
            <w:tcW w:w="0" w:type="auto"/>
            <w:tcBorders>
              <w:top w:val="nil"/>
              <w:left w:val="nil"/>
              <w:bottom w:val="nil"/>
              <w:right w:val="single" w:sz="4" w:space="0" w:color="auto"/>
            </w:tcBorders>
            <w:shd w:val="clear" w:color="000000" w:fill="FFFFFF"/>
            <w:noWrap/>
            <w:hideMark/>
          </w:tcPr>
          <w:p w14:paraId="4ACA28CC"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2,295 </w:t>
            </w:r>
          </w:p>
        </w:tc>
      </w:tr>
      <w:tr w:rsidR="00D24603" w:rsidRPr="00F13CA0" w14:paraId="74719555"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3A7F7572"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C3</w:t>
            </w:r>
          </w:p>
        </w:tc>
        <w:tc>
          <w:tcPr>
            <w:tcW w:w="0" w:type="auto"/>
            <w:tcBorders>
              <w:top w:val="nil"/>
              <w:left w:val="nil"/>
              <w:bottom w:val="nil"/>
              <w:right w:val="nil"/>
            </w:tcBorders>
            <w:shd w:val="clear" w:color="000000" w:fill="FFFFFF"/>
            <w:noWrap/>
            <w:hideMark/>
          </w:tcPr>
          <w:p w14:paraId="46C9574D"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469 </w:t>
            </w:r>
          </w:p>
        </w:tc>
        <w:tc>
          <w:tcPr>
            <w:tcW w:w="0" w:type="auto"/>
            <w:tcBorders>
              <w:top w:val="nil"/>
              <w:left w:val="nil"/>
              <w:bottom w:val="nil"/>
              <w:right w:val="nil"/>
            </w:tcBorders>
            <w:shd w:val="clear" w:color="000000" w:fill="FFFFFF"/>
            <w:noWrap/>
            <w:hideMark/>
          </w:tcPr>
          <w:p w14:paraId="35270A5A"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3 </w:t>
            </w:r>
          </w:p>
        </w:tc>
        <w:tc>
          <w:tcPr>
            <w:tcW w:w="0" w:type="auto"/>
            <w:tcBorders>
              <w:top w:val="nil"/>
              <w:left w:val="nil"/>
              <w:bottom w:val="nil"/>
              <w:right w:val="nil"/>
            </w:tcBorders>
            <w:shd w:val="clear" w:color="000000" w:fill="FFFFFF"/>
            <w:noWrap/>
            <w:hideMark/>
          </w:tcPr>
          <w:p w14:paraId="35C4EF52"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86 </w:t>
            </w:r>
          </w:p>
        </w:tc>
        <w:tc>
          <w:tcPr>
            <w:tcW w:w="0" w:type="auto"/>
            <w:tcBorders>
              <w:top w:val="nil"/>
              <w:left w:val="nil"/>
              <w:bottom w:val="nil"/>
              <w:right w:val="nil"/>
            </w:tcBorders>
            <w:shd w:val="clear" w:color="000000" w:fill="FFFFFF"/>
            <w:noWrap/>
            <w:hideMark/>
          </w:tcPr>
          <w:p w14:paraId="5F1DE159"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1,774 </w:t>
            </w:r>
          </w:p>
        </w:tc>
        <w:tc>
          <w:tcPr>
            <w:tcW w:w="0" w:type="auto"/>
            <w:tcBorders>
              <w:top w:val="nil"/>
              <w:left w:val="nil"/>
              <w:bottom w:val="nil"/>
              <w:right w:val="single" w:sz="4" w:space="0" w:color="auto"/>
            </w:tcBorders>
            <w:shd w:val="clear" w:color="000000" w:fill="FFFFFF"/>
            <w:noWrap/>
            <w:hideMark/>
          </w:tcPr>
          <w:p w14:paraId="185AF4E4"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2,332 </w:t>
            </w:r>
          </w:p>
        </w:tc>
      </w:tr>
      <w:tr w:rsidR="00D24603" w:rsidRPr="00F13CA0" w14:paraId="0D038247"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447ADB29"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C4</w:t>
            </w:r>
          </w:p>
        </w:tc>
        <w:tc>
          <w:tcPr>
            <w:tcW w:w="0" w:type="auto"/>
            <w:tcBorders>
              <w:top w:val="nil"/>
              <w:left w:val="nil"/>
              <w:bottom w:val="nil"/>
              <w:right w:val="nil"/>
            </w:tcBorders>
            <w:shd w:val="clear" w:color="000000" w:fill="FFFFFF"/>
            <w:noWrap/>
            <w:hideMark/>
          </w:tcPr>
          <w:p w14:paraId="38368258"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147 </w:t>
            </w:r>
          </w:p>
        </w:tc>
        <w:tc>
          <w:tcPr>
            <w:tcW w:w="0" w:type="auto"/>
            <w:tcBorders>
              <w:top w:val="nil"/>
              <w:left w:val="nil"/>
              <w:bottom w:val="nil"/>
              <w:right w:val="nil"/>
            </w:tcBorders>
            <w:shd w:val="clear" w:color="000000" w:fill="FFFFFF"/>
            <w:noWrap/>
            <w:hideMark/>
          </w:tcPr>
          <w:p w14:paraId="1E334AA1"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 </w:t>
            </w:r>
          </w:p>
        </w:tc>
        <w:tc>
          <w:tcPr>
            <w:tcW w:w="0" w:type="auto"/>
            <w:tcBorders>
              <w:top w:val="nil"/>
              <w:left w:val="nil"/>
              <w:bottom w:val="nil"/>
              <w:right w:val="nil"/>
            </w:tcBorders>
            <w:shd w:val="clear" w:color="000000" w:fill="FFFFFF"/>
            <w:noWrap/>
            <w:hideMark/>
          </w:tcPr>
          <w:p w14:paraId="30C2C21B"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29 </w:t>
            </w:r>
          </w:p>
        </w:tc>
        <w:tc>
          <w:tcPr>
            <w:tcW w:w="0" w:type="auto"/>
            <w:tcBorders>
              <w:top w:val="nil"/>
              <w:left w:val="nil"/>
              <w:bottom w:val="nil"/>
              <w:right w:val="nil"/>
            </w:tcBorders>
            <w:shd w:val="clear" w:color="000000" w:fill="FFFFFF"/>
            <w:noWrap/>
            <w:hideMark/>
          </w:tcPr>
          <w:p w14:paraId="3A9D4174"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565 </w:t>
            </w:r>
          </w:p>
        </w:tc>
        <w:tc>
          <w:tcPr>
            <w:tcW w:w="0" w:type="auto"/>
            <w:tcBorders>
              <w:top w:val="nil"/>
              <w:left w:val="nil"/>
              <w:bottom w:val="nil"/>
              <w:right w:val="single" w:sz="4" w:space="0" w:color="auto"/>
            </w:tcBorders>
            <w:shd w:val="clear" w:color="000000" w:fill="FFFFFF"/>
            <w:noWrap/>
            <w:hideMark/>
          </w:tcPr>
          <w:p w14:paraId="3DE4C918"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742 </w:t>
            </w:r>
          </w:p>
        </w:tc>
      </w:tr>
      <w:tr w:rsidR="00D24603" w:rsidRPr="00F13CA0" w14:paraId="19629517"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5AA9882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C5</w:t>
            </w:r>
          </w:p>
        </w:tc>
        <w:tc>
          <w:tcPr>
            <w:tcW w:w="0" w:type="auto"/>
            <w:tcBorders>
              <w:top w:val="nil"/>
              <w:left w:val="nil"/>
              <w:bottom w:val="nil"/>
              <w:right w:val="nil"/>
            </w:tcBorders>
            <w:shd w:val="clear" w:color="000000" w:fill="FFFFFF"/>
            <w:noWrap/>
            <w:hideMark/>
          </w:tcPr>
          <w:p w14:paraId="34D82584"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226 </w:t>
            </w:r>
          </w:p>
        </w:tc>
        <w:tc>
          <w:tcPr>
            <w:tcW w:w="0" w:type="auto"/>
            <w:tcBorders>
              <w:top w:val="nil"/>
              <w:left w:val="nil"/>
              <w:bottom w:val="nil"/>
              <w:right w:val="nil"/>
            </w:tcBorders>
            <w:shd w:val="clear" w:color="000000" w:fill="FFFFFF"/>
            <w:noWrap/>
            <w:hideMark/>
          </w:tcPr>
          <w:p w14:paraId="63241663"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 </w:t>
            </w:r>
          </w:p>
        </w:tc>
        <w:tc>
          <w:tcPr>
            <w:tcW w:w="0" w:type="auto"/>
            <w:tcBorders>
              <w:top w:val="nil"/>
              <w:left w:val="nil"/>
              <w:bottom w:val="nil"/>
              <w:right w:val="nil"/>
            </w:tcBorders>
            <w:shd w:val="clear" w:color="000000" w:fill="FFFFFF"/>
            <w:noWrap/>
            <w:hideMark/>
          </w:tcPr>
          <w:p w14:paraId="7A7BC135"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50 </w:t>
            </w:r>
          </w:p>
        </w:tc>
        <w:tc>
          <w:tcPr>
            <w:tcW w:w="0" w:type="auto"/>
            <w:tcBorders>
              <w:top w:val="nil"/>
              <w:left w:val="nil"/>
              <w:bottom w:val="nil"/>
              <w:right w:val="nil"/>
            </w:tcBorders>
            <w:shd w:val="clear" w:color="000000" w:fill="FFFFFF"/>
            <w:noWrap/>
            <w:hideMark/>
          </w:tcPr>
          <w:p w14:paraId="78B00802"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1,012 </w:t>
            </w:r>
          </w:p>
        </w:tc>
        <w:tc>
          <w:tcPr>
            <w:tcW w:w="0" w:type="auto"/>
            <w:tcBorders>
              <w:top w:val="nil"/>
              <w:left w:val="nil"/>
              <w:bottom w:val="nil"/>
              <w:right w:val="single" w:sz="4" w:space="0" w:color="auto"/>
            </w:tcBorders>
            <w:shd w:val="clear" w:color="000000" w:fill="FFFFFF"/>
            <w:noWrap/>
            <w:hideMark/>
          </w:tcPr>
          <w:p w14:paraId="14303B60"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1,290 </w:t>
            </w:r>
          </w:p>
        </w:tc>
      </w:tr>
      <w:tr w:rsidR="00D24603" w:rsidRPr="00F13CA0" w14:paraId="06A89503"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75FE4435"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C6</w:t>
            </w:r>
          </w:p>
        </w:tc>
        <w:tc>
          <w:tcPr>
            <w:tcW w:w="0" w:type="auto"/>
            <w:tcBorders>
              <w:top w:val="nil"/>
              <w:left w:val="nil"/>
              <w:bottom w:val="nil"/>
              <w:right w:val="nil"/>
            </w:tcBorders>
            <w:shd w:val="clear" w:color="000000" w:fill="FFFFFF"/>
            <w:noWrap/>
            <w:hideMark/>
          </w:tcPr>
          <w:p w14:paraId="368B8F94"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1,486 </w:t>
            </w:r>
          </w:p>
        </w:tc>
        <w:tc>
          <w:tcPr>
            <w:tcW w:w="0" w:type="auto"/>
            <w:tcBorders>
              <w:top w:val="nil"/>
              <w:left w:val="nil"/>
              <w:bottom w:val="nil"/>
              <w:right w:val="nil"/>
            </w:tcBorders>
            <w:shd w:val="clear" w:color="000000" w:fill="FFFFFF"/>
            <w:noWrap/>
            <w:hideMark/>
          </w:tcPr>
          <w:p w14:paraId="230FF104"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19 </w:t>
            </w:r>
          </w:p>
        </w:tc>
        <w:tc>
          <w:tcPr>
            <w:tcW w:w="0" w:type="auto"/>
            <w:tcBorders>
              <w:top w:val="nil"/>
              <w:left w:val="nil"/>
              <w:bottom w:val="nil"/>
              <w:right w:val="nil"/>
            </w:tcBorders>
            <w:shd w:val="clear" w:color="000000" w:fill="FFFFFF"/>
            <w:noWrap/>
            <w:hideMark/>
          </w:tcPr>
          <w:p w14:paraId="359DEE89"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314 </w:t>
            </w:r>
          </w:p>
        </w:tc>
        <w:tc>
          <w:tcPr>
            <w:tcW w:w="0" w:type="auto"/>
            <w:tcBorders>
              <w:top w:val="nil"/>
              <w:left w:val="nil"/>
              <w:bottom w:val="nil"/>
              <w:right w:val="nil"/>
            </w:tcBorders>
            <w:shd w:val="clear" w:color="000000" w:fill="FFFFFF"/>
            <w:noWrap/>
            <w:hideMark/>
          </w:tcPr>
          <w:p w14:paraId="06D4CD92"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5,812 </w:t>
            </w:r>
          </w:p>
        </w:tc>
        <w:tc>
          <w:tcPr>
            <w:tcW w:w="0" w:type="auto"/>
            <w:tcBorders>
              <w:top w:val="nil"/>
              <w:left w:val="nil"/>
              <w:bottom w:val="nil"/>
              <w:right w:val="single" w:sz="4" w:space="0" w:color="auto"/>
            </w:tcBorders>
            <w:shd w:val="clear" w:color="000000" w:fill="FFFFFF"/>
            <w:noWrap/>
            <w:hideMark/>
          </w:tcPr>
          <w:p w14:paraId="2CDF1EAD"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7,630 </w:t>
            </w:r>
          </w:p>
        </w:tc>
      </w:tr>
      <w:tr w:rsidR="00D24603" w:rsidRPr="00F13CA0" w14:paraId="53B73424"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0C69567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C7</w:t>
            </w:r>
          </w:p>
        </w:tc>
        <w:tc>
          <w:tcPr>
            <w:tcW w:w="0" w:type="auto"/>
            <w:tcBorders>
              <w:top w:val="nil"/>
              <w:left w:val="nil"/>
              <w:bottom w:val="nil"/>
              <w:right w:val="nil"/>
            </w:tcBorders>
            <w:shd w:val="clear" w:color="000000" w:fill="FFFFFF"/>
            <w:noWrap/>
            <w:hideMark/>
          </w:tcPr>
          <w:p w14:paraId="40275D9D"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227 </w:t>
            </w:r>
          </w:p>
        </w:tc>
        <w:tc>
          <w:tcPr>
            <w:tcW w:w="0" w:type="auto"/>
            <w:tcBorders>
              <w:top w:val="nil"/>
              <w:left w:val="nil"/>
              <w:bottom w:val="nil"/>
              <w:right w:val="nil"/>
            </w:tcBorders>
            <w:shd w:val="clear" w:color="000000" w:fill="FFFFFF"/>
            <w:noWrap/>
            <w:hideMark/>
          </w:tcPr>
          <w:p w14:paraId="413F1AF7"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 </w:t>
            </w:r>
          </w:p>
        </w:tc>
        <w:tc>
          <w:tcPr>
            <w:tcW w:w="0" w:type="auto"/>
            <w:tcBorders>
              <w:top w:val="nil"/>
              <w:left w:val="nil"/>
              <w:bottom w:val="nil"/>
              <w:right w:val="nil"/>
            </w:tcBorders>
            <w:shd w:val="clear" w:color="000000" w:fill="FFFFFF"/>
            <w:noWrap/>
            <w:hideMark/>
          </w:tcPr>
          <w:p w14:paraId="2CFA41C9"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65 </w:t>
            </w:r>
          </w:p>
        </w:tc>
        <w:tc>
          <w:tcPr>
            <w:tcW w:w="0" w:type="auto"/>
            <w:tcBorders>
              <w:top w:val="nil"/>
              <w:left w:val="nil"/>
              <w:bottom w:val="nil"/>
              <w:right w:val="nil"/>
            </w:tcBorders>
            <w:shd w:val="clear" w:color="000000" w:fill="FFFFFF"/>
            <w:noWrap/>
            <w:hideMark/>
          </w:tcPr>
          <w:p w14:paraId="17BA7D82"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1,126 </w:t>
            </w:r>
          </w:p>
        </w:tc>
        <w:tc>
          <w:tcPr>
            <w:tcW w:w="0" w:type="auto"/>
            <w:tcBorders>
              <w:top w:val="nil"/>
              <w:left w:val="nil"/>
              <w:bottom w:val="nil"/>
              <w:right w:val="single" w:sz="4" w:space="0" w:color="auto"/>
            </w:tcBorders>
            <w:shd w:val="clear" w:color="000000" w:fill="FFFFFF"/>
            <w:noWrap/>
            <w:hideMark/>
          </w:tcPr>
          <w:p w14:paraId="686DB49F"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1,420 </w:t>
            </w:r>
          </w:p>
        </w:tc>
      </w:tr>
      <w:tr w:rsidR="00D24603" w:rsidRPr="00F13CA0" w14:paraId="5BE9E641"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3658370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C8</w:t>
            </w:r>
          </w:p>
        </w:tc>
        <w:tc>
          <w:tcPr>
            <w:tcW w:w="0" w:type="auto"/>
            <w:tcBorders>
              <w:top w:val="nil"/>
              <w:left w:val="nil"/>
              <w:bottom w:val="nil"/>
              <w:right w:val="nil"/>
            </w:tcBorders>
            <w:shd w:val="clear" w:color="000000" w:fill="FFFFFF"/>
            <w:noWrap/>
            <w:hideMark/>
          </w:tcPr>
          <w:p w14:paraId="7142C062"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260 </w:t>
            </w:r>
          </w:p>
        </w:tc>
        <w:tc>
          <w:tcPr>
            <w:tcW w:w="0" w:type="auto"/>
            <w:tcBorders>
              <w:top w:val="nil"/>
              <w:left w:val="nil"/>
              <w:bottom w:val="nil"/>
              <w:right w:val="nil"/>
            </w:tcBorders>
            <w:shd w:val="clear" w:color="000000" w:fill="FFFFFF"/>
            <w:noWrap/>
            <w:hideMark/>
          </w:tcPr>
          <w:p w14:paraId="28DB5116"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 </w:t>
            </w:r>
          </w:p>
        </w:tc>
        <w:tc>
          <w:tcPr>
            <w:tcW w:w="0" w:type="auto"/>
            <w:tcBorders>
              <w:top w:val="nil"/>
              <w:left w:val="nil"/>
              <w:bottom w:val="nil"/>
              <w:right w:val="nil"/>
            </w:tcBorders>
            <w:shd w:val="clear" w:color="000000" w:fill="FFFFFF"/>
            <w:noWrap/>
            <w:hideMark/>
          </w:tcPr>
          <w:p w14:paraId="00C2789C"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59 </w:t>
            </w:r>
          </w:p>
        </w:tc>
        <w:tc>
          <w:tcPr>
            <w:tcW w:w="0" w:type="auto"/>
            <w:tcBorders>
              <w:top w:val="nil"/>
              <w:left w:val="nil"/>
              <w:bottom w:val="nil"/>
              <w:right w:val="nil"/>
            </w:tcBorders>
            <w:shd w:val="clear" w:color="000000" w:fill="FFFFFF"/>
            <w:noWrap/>
            <w:hideMark/>
          </w:tcPr>
          <w:p w14:paraId="3F99B451"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1,193 </w:t>
            </w:r>
          </w:p>
        </w:tc>
        <w:tc>
          <w:tcPr>
            <w:tcW w:w="0" w:type="auto"/>
            <w:tcBorders>
              <w:top w:val="nil"/>
              <w:left w:val="nil"/>
              <w:bottom w:val="nil"/>
              <w:right w:val="single" w:sz="4" w:space="0" w:color="auto"/>
            </w:tcBorders>
            <w:shd w:val="clear" w:color="000000" w:fill="FFFFFF"/>
            <w:noWrap/>
            <w:hideMark/>
          </w:tcPr>
          <w:p w14:paraId="06A75163"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1,515 </w:t>
            </w:r>
          </w:p>
        </w:tc>
      </w:tr>
      <w:tr w:rsidR="00D24603" w:rsidRPr="00F13CA0" w14:paraId="13745C4A"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37333AA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C9</w:t>
            </w:r>
          </w:p>
        </w:tc>
        <w:tc>
          <w:tcPr>
            <w:tcW w:w="0" w:type="auto"/>
            <w:tcBorders>
              <w:top w:val="nil"/>
              <w:left w:val="nil"/>
              <w:bottom w:val="nil"/>
              <w:right w:val="nil"/>
            </w:tcBorders>
            <w:shd w:val="clear" w:color="000000" w:fill="FFFFFF"/>
            <w:noWrap/>
            <w:hideMark/>
          </w:tcPr>
          <w:p w14:paraId="435E2037"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133 </w:t>
            </w:r>
          </w:p>
        </w:tc>
        <w:tc>
          <w:tcPr>
            <w:tcW w:w="0" w:type="auto"/>
            <w:tcBorders>
              <w:top w:val="nil"/>
              <w:left w:val="nil"/>
              <w:bottom w:val="nil"/>
              <w:right w:val="nil"/>
            </w:tcBorders>
            <w:shd w:val="clear" w:color="000000" w:fill="FFFFFF"/>
            <w:noWrap/>
            <w:hideMark/>
          </w:tcPr>
          <w:p w14:paraId="0D06A803"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 </w:t>
            </w:r>
          </w:p>
        </w:tc>
        <w:tc>
          <w:tcPr>
            <w:tcW w:w="0" w:type="auto"/>
            <w:tcBorders>
              <w:top w:val="nil"/>
              <w:left w:val="nil"/>
              <w:bottom w:val="nil"/>
              <w:right w:val="nil"/>
            </w:tcBorders>
            <w:shd w:val="clear" w:color="000000" w:fill="FFFFFF"/>
            <w:noWrap/>
            <w:hideMark/>
          </w:tcPr>
          <w:p w14:paraId="5368403F"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43 </w:t>
            </w:r>
          </w:p>
        </w:tc>
        <w:tc>
          <w:tcPr>
            <w:tcW w:w="0" w:type="auto"/>
            <w:tcBorders>
              <w:top w:val="nil"/>
              <w:left w:val="nil"/>
              <w:bottom w:val="nil"/>
              <w:right w:val="nil"/>
            </w:tcBorders>
            <w:shd w:val="clear" w:color="000000" w:fill="FFFFFF"/>
            <w:noWrap/>
            <w:hideMark/>
          </w:tcPr>
          <w:p w14:paraId="6175A3D3"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755 </w:t>
            </w:r>
          </w:p>
        </w:tc>
        <w:tc>
          <w:tcPr>
            <w:tcW w:w="0" w:type="auto"/>
            <w:tcBorders>
              <w:top w:val="nil"/>
              <w:left w:val="nil"/>
              <w:bottom w:val="nil"/>
              <w:right w:val="single" w:sz="4" w:space="0" w:color="auto"/>
            </w:tcBorders>
            <w:shd w:val="clear" w:color="000000" w:fill="FFFFFF"/>
            <w:noWrap/>
            <w:hideMark/>
          </w:tcPr>
          <w:p w14:paraId="791AC7EA"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933 </w:t>
            </w:r>
          </w:p>
        </w:tc>
      </w:tr>
      <w:tr w:rsidR="00D24603" w:rsidRPr="00F13CA0" w14:paraId="7441C37E"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72053528"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C10</w:t>
            </w:r>
          </w:p>
        </w:tc>
        <w:tc>
          <w:tcPr>
            <w:tcW w:w="0" w:type="auto"/>
            <w:tcBorders>
              <w:top w:val="nil"/>
              <w:left w:val="nil"/>
              <w:bottom w:val="nil"/>
              <w:right w:val="nil"/>
            </w:tcBorders>
            <w:shd w:val="clear" w:color="000000" w:fill="FFFFFF"/>
            <w:noWrap/>
            <w:hideMark/>
          </w:tcPr>
          <w:p w14:paraId="4CD53B2A"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200 </w:t>
            </w:r>
          </w:p>
        </w:tc>
        <w:tc>
          <w:tcPr>
            <w:tcW w:w="0" w:type="auto"/>
            <w:tcBorders>
              <w:top w:val="nil"/>
              <w:left w:val="nil"/>
              <w:bottom w:val="nil"/>
              <w:right w:val="nil"/>
            </w:tcBorders>
            <w:shd w:val="clear" w:color="000000" w:fill="FFFFFF"/>
            <w:noWrap/>
            <w:hideMark/>
          </w:tcPr>
          <w:p w14:paraId="2B4B8902"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 </w:t>
            </w:r>
          </w:p>
        </w:tc>
        <w:tc>
          <w:tcPr>
            <w:tcW w:w="0" w:type="auto"/>
            <w:tcBorders>
              <w:top w:val="nil"/>
              <w:left w:val="nil"/>
              <w:bottom w:val="nil"/>
              <w:right w:val="nil"/>
            </w:tcBorders>
            <w:shd w:val="clear" w:color="000000" w:fill="FFFFFF"/>
            <w:noWrap/>
            <w:hideMark/>
          </w:tcPr>
          <w:p w14:paraId="0BD3E7E6"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46 </w:t>
            </w:r>
          </w:p>
        </w:tc>
        <w:tc>
          <w:tcPr>
            <w:tcW w:w="0" w:type="auto"/>
            <w:tcBorders>
              <w:top w:val="nil"/>
              <w:left w:val="nil"/>
              <w:bottom w:val="nil"/>
              <w:right w:val="nil"/>
            </w:tcBorders>
            <w:shd w:val="clear" w:color="000000" w:fill="FFFFFF"/>
            <w:noWrap/>
            <w:hideMark/>
          </w:tcPr>
          <w:p w14:paraId="5B7411AF"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899 </w:t>
            </w:r>
          </w:p>
        </w:tc>
        <w:tc>
          <w:tcPr>
            <w:tcW w:w="0" w:type="auto"/>
            <w:tcBorders>
              <w:top w:val="nil"/>
              <w:left w:val="nil"/>
              <w:bottom w:val="nil"/>
              <w:right w:val="single" w:sz="4" w:space="0" w:color="auto"/>
            </w:tcBorders>
            <w:shd w:val="clear" w:color="000000" w:fill="FFFFFF"/>
            <w:noWrap/>
            <w:hideMark/>
          </w:tcPr>
          <w:p w14:paraId="0ED74A15"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1,146 </w:t>
            </w:r>
          </w:p>
        </w:tc>
      </w:tr>
      <w:tr w:rsidR="00D24603" w:rsidRPr="00F13CA0" w14:paraId="743A08E5"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19F5BE0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C11</w:t>
            </w:r>
          </w:p>
        </w:tc>
        <w:tc>
          <w:tcPr>
            <w:tcW w:w="0" w:type="auto"/>
            <w:tcBorders>
              <w:top w:val="nil"/>
              <w:left w:val="nil"/>
              <w:bottom w:val="nil"/>
              <w:right w:val="nil"/>
            </w:tcBorders>
            <w:shd w:val="clear" w:color="000000" w:fill="FFFFFF"/>
            <w:noWrap/>
            <w:hideMark/>
          </w:tcPr>
          <w:p w14:paraId="0386B7FB"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79 </w:t>
            </w:r>
          </w:p>
        </w:tc>
        <w:tc>
          <w:tcPr>
            <w:tcW w:w="0" w:type="auto"/>
            <w:tcBorders>
              <w:top w:val="nil"/>
              <w:left w:val="nil"/>
              <w:bottom w:val="nil"/>
              <w:right w:val="nil"/>
            </w:tcBorders>
            <w:shd w:val="clear" w:color="000000" w:fill="FFFFFF"/>
            <w:noWrap/>
            <w:hideMark/>
          </w:tcPr>
          <w:p w14:paraId="624CD194"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 </w:t>
            </w:r>
          </w:p>
        </w:tc>
        <w:tc>
          <w:tcPr>
            <w:tcW w:w="0" w:type="auto"/>
            <w:tcBorders>
              <w:top w:val="nil"/>
              <w:left w:val="nil"/>
              <w:bottom w:val="nil"/>
              <w:right w:val="nil"/>
            </w:tcBorders>
            <w:shd w:val="clear" w:color="000000" w:fill="FFFFFF"/>
            <w:noWrap/>
            <w:hideMark/>
          </w:tcPr>
          <w:p w14:paraId="3810F9DA"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26 </w:t>
            </w:r>
          </w:p>
        </w:tc>
        <w:tc>
          <w:tcPr>
            <w:tcW w:w="0" w:type="auto"/>
            <w:tcBorders>
              <w:top w:val="nil"/>
              <w:left w:val="nil"/>
              <w:bottom w:val="nil"/>
              <w:right w:val="nil"/>
            </w:tcBorders>
            <w:shd w:val="clear" w:color="000000" w:fill="FFFFFF"/>
            <w:noWrap/>
            <w:hideMark/>
          </w:tcPr>
          <w:p w14:paraId="7E4DE6ED"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428 </w:t>
            </w:r>
          </w:p>
        </w:tc>
        <w:tc>
          <w:tcPr>
            <w:tcW w:w="0" w:type="auto"/>
            <w:tcBorders>
              <w:top w:val="nil"/>
              <w:left w:val="nil"/>
              <w:bottom w:val="nil"/>
              <w:right w:val="single" w:sz="4" w:space="0" w:color="auto"/>
            </w:tcBorders>
            <w:shd w:val="clear" w:color="000000" w:fill="FFFFFF"/>
            <w:noWrap/>
            <w:hideMark/>
          </w:tcPr>
          <w:p w14:paraId="0DA0FDEC"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534 </w:t>
            </w:r>
          </w:p>
        </w:tc>
      </w:tr>
      <w:tr w:rsidR="00D24603" w:rsidRPr="00F13CA0" w14:paraId="17561FF3"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717421F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C12</w:t>
            </w:r>
          </w:p>
        </w:tc>
        <w:tc>
          <w:tcPr>
            <w:tcW w:w="0" w:type="auto"/>
            <w:tcBorders>
              <w:top w:val="nil"/>
              <w:left w:val="nil"/>
              <w:bottom w:val="nil"/>
              <w:right w:val="nil"/>
            </w:tcBorders>
            <w:shd w:val="clear" w:color="000000" w:fill="FFFFFF"/>
            <w:noWrap/>
            <w:hideMark/>
          </w:tcPr>
          <w:p w14:paraId="0F46F1FF"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808 </w:t>
            </w:r>
          </w:p>
        </w:tc>
        <w:tc>
          <w:tcPr>
            <w:tcW w:w="0" w:type="auto"/>
            <w:tcBorders>
              <w:top w:val="nil"/>
              <w:left w:val="nil"/>
              <w:bottom w:val="nil"/>
              <w:right w:val="nil"/>
            </w:tcBorders>
            <w:shd w:val="clear" w:color="000000" w:fill="FFFFFF"/>
            <w:noWrap/>
            <w:hideMark/>
          </w:tcPr>
          <w:p w14:paraId="2FBE7637"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10 </w:t>
            </w:r>
          </w:p>
        </w:tc>
        <w:tc>
          <w:tcPr>
            <w:tcW w:w="0" w:type="auto"/>
            <w:tcBorders>
              <w:top w:val="nil"/>
              <w:left w:val="nil"/>
              <w:bottom w:val="nil"/>
              <w:right w:val="nil"/>
            </w:tcBorders>
            <w:shd w:val="clear" w:color="000000" w:fill="FFFFFF"/>
            <w:noWrap/>
            <w:hideMark/>
          </w:tcPr>
          <w:p w14:paraId="38C9E6C2"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215 </w:t>
            </w:r>
          </w:p>
        </w:tc>
        <w:tc>
          <w:tcPr>
            <w:tcW w:w="0" w:type="auto"/>
            <w:tcBorders>
              <w:top w:val="nil"/>
              <w:left w:val="nil"/>
              <w:bottom w:val="nil"/>
              <w:right w:val="nil"/>
            </w:tcBorders>
            <w:shd w:val="clear" w:color="000000" w:fill="FFFFFF"/>
            <w:noWrap/>
            <w:hideMark/>
          </w:tcPr>
          <w:p w14:paraId="34A684F5"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3,669 </w:t>
            </w:r>
          </w:p>
        </w:tc>
        <w:tc>
          <w:tcPr>
            <w:tcW w:w="0" w:type="auto"/>
            <w:tcBorders>
              <w:top w:val="nil"/>
              <w:left w:val="nil"/>
              <w:bottom w:val="nil"/>
              <w:right w:val="single" w:sz="4" w:space="0" w:color="auto"/>
            </w:tcBorders>
            <w:shd w:val="clear" w:color="000000" w:fill="FFFFFF"/>
            <w:noWrap/>
            <w:hideMark/>
          </w:tcPr>
          <w:p w14:paraId="734774BB"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4,702 </w:t>
            </w:r>
          </w:p>
        </w:tc>
      </w:tr>
      <w:tr w:rsidR="00D24603" w:rsidRPr="00F13CA0" w14:paraId="224631C3"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5E14640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C13</w:t>
            </w:r>
          </w:p>
        </w:tc>
        <w:tc>
          <w:tcPr>
            <w:tcW w:w="0" w:type="auto"/>
            <w:tcBorders>
              <w:top w:val="nil"/>
              <w:left w:val="nil"/>
              <w:bottom w:val="nil"/>
              <w:right w:val="nil"/>
            </w:tcBorders>
            <w:shd w:val="clear" w:color="000000" w:fill="FFFFFF"/>
            <w:noWrap/>
            <w:hideMark/>
          </w:tcPr>
          <w:p w14:paraId="4F4F1818"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2,454 </w:t>
            </w:r>
          </w:p>
        </w:tc>
        <w:tc>
          <w:tcPr>
            <w:tcW w:w="0" w:type="auto"/>
            <w:tcBorders>
              <w:top w:val="nil"/>
              <w:left w:val="nil"/>
              <w:bottom w:val="nil"/>
              <w:right w:val="nil"/>
            </w:tcBorders>
            <w:shd w:val="clear" w:color="000000" w:fill="FFFFFF"/>
            <w:noWrap/>
            <w:hideMark/>
          </w:tcPr>
          <w:p w14:paraId="285C349A"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26 </w:t>
            </w:r>
          </w:p>
        </w:tc>
        <w:tc>
          <w:tcPr>
            <w:tcW w:w="0" w:type="auto"/>
            <w:tcBorders>
              <w:top w:val="nil"/>
              <w:left w:val="nil"/>
              <w:bottom w:val="nil"/>
              <w:right w:val="nil"/>
            </w:tcBorders>
            <w:shd w:val="clear" w:color="000000" w:fill="FFFFFF"/>
            <w:noWrap/>
            <w:hideMark/>
          </w:tcPr>
          <w:p w14:paraId="745AB04A"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652 </w:t>
            </w:r>
          </w:p>
        </w:tc>
        <w:tc>
          <w:tcPr>
            <w:tcW w:w="0" w:type="auto"/>
            <w:tcBorders>
              <w:top w:val="nil"/>
              <w:left w:val="nil"/>
              <w:bottom w:val="nil"/>
              <w:right w:val="nil"/>
            </w:tcBorders>
            <w:shd w:val="clear" w:color="000000" w:fill="FFFFFF"/>
            <w:noWrap/>
            <w:hideMark/>
          </w:tcPr>
          <w:p w14:paraId="5629F780"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11,307 </w:t>
            </w:r>
          </w:p>
        </w:tc>
        <w:tc>
          <w:tcPr>
            <w:tcW w:w="0" w:type="auto"/>
            <w:tcBorders>
              <w:top w:val="nil"/>
              <w:left w:val="nil"/>
              <w:bottom w:val="nil"/>
              <w:right w:val="single" w:sz="4" w:space="0" w:color="auto"/>
            </w:tcBorders>
            <w:shd w:val="clear" w:color="000000" w:fill="FFFFFF"/>
            <w:noWrap/>
            <w:hideMark/>
          </w:tcPr>
          <w:p w14:paraId="2308C3A4"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14,438 </w:t>
            </w:r>
          </w:p>
        </w:tc>
      </w:tr>
      <w:tr w:rsidR="00D24603" w:rsidRPr="00F13CA0" w14:paraId="325DED9C"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79EFCEB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C14</w:t>
            </w:r>
          </w:p>
        </w:tc>
        <w:tc>
          <w:tcPr>
            <w:tcW w:w="0" w:type="auto"/>
            <w:tcBorders>
              <w:top w:val="nil"/>
              <w:left w:val="nil"/>
              <w:bottom w:val="nil"/>
              <w:right w:val="nil"/>
            </w:tcBorders>
            <w:shd w:val="clear" w:color="000000" w:fill="FFFFFF"/>
            <w:noWrap/>
            <w:hideMark/>
          </w:tcPr>
          <w:p w14:paraId="7FDB451B"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265 </w:t>
            </w:r>
          </w:p>
        </w:tc>
        <w:tc>
          <w:tcPr>
            <w:tcW w:w="0" w:type="auto"/>
            <w:tcBorders>
              <w:top w:val="nil"/>
              <w:left w:val="nil"/>
              <w:bottom w:val="nil"/>
              <w:right w:val="nil"/>
            </w:tcBorders>
            <w:shd w:val="clear" w:color="000000" w:fill="FFFFFF"/>
            <w:noWrap/>
            <w:hideMark/>
          </w:tcPr>
          <w:p w14:paraId="19F72734"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4 </w:t>
            </w:r>
          </w:p>
        </w:tc>
        <w:tc>
          <w:tcPr>
            <w:tcW w:w="0" w:type="auto"/>
            <w:tcBorders>
              <w:top w:val="nil"/>
              <w:left w:val="nil"/>
              <w:bottom w:val="nil"/>
              <w:right w:val="nil"/>
            </w:tcBorders>
            <w:shd w:val="clear" w:color="000000" w:fill="FFFFFF"/>
            <w:noWrap/>
            <w:hideMark/>
          </w:tcPr>
          <w:p w14:paraId="39A7BC40"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53 </w:t>
            </w:r>
          </w:p>
        </w:tc>
        <w:tc>
          <w:tcPr>
            <w:tcW w:w="0" w:type="auto"/>
            <w:tcBorders>
              <w:top w:val="nil"/>
              <w:left w:val="nil"/>
              <w:bottom w:val="nil"/>
              <w:right w:val="nil"/>
            </w:tcBorders>
            <w:shd w:val="clear" w:color="000000" w:fill="FFFFFF"/>
            <w:noWrap/>
            <w:hideMark/>
          </w:tcPr>
          <w:p w14:paraId="72EDAC3A"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1,393 </w:t>
            </w:r>
          </w:p>
        </w:tc>
        <w:tc>
          <w:tcPr>
            <w:tcW w:w="0" w:type="auto"/>
            <w:tcBorders>
              <w:top w:val="nil"/>
              <w:left w:val="nil"/>
              <w:bottom w:val="nil"/>
              <w:right w:val="single" w:sz="4" w:space="0" w:color="auto"/>
            </w:tcBorders>
            <w:shd w:val="clear" w:color="000000" w:fill="FFFFFF"/>
            <w:noWrap/>
            <w:hideMark/>
          </w:tcPr>
          <w:p w14:paraId="22F52A21"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1,716 </w:t>
            </w:r>
          </w:p>
        </w:tc>
      </w:tr>
      <w:tr w:rsidR="00D24603" w:rsidRPr="00F13CA0" w14:paraId="4B9746DD"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5871474C"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C15</w:t>
            </w:r>
          </w:p>
        </w:tc>
        <w:tc>
          <w:tcPr>
            <w:tcW w:w="0" w:type="auto"/>
            <w:tcBorders>
              <w:top w:val="nil"/>
              <w:left w:val="nil"/>
              <w:bottom w:val="nil"/>
              <w:right w:val="nil"/>
            </w:tcBorders>
            <w:shd w:val="clear" w:color="000000" w:fill="FFFFFF"/>
            <w:noWrap/>
            <w:hideMark/>
          </w:tcPr>
          <w:p w14:paraId="0CC90F58"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176 </w:t>
            </w:r>
          </w:p>
        </w:tc>
        <w:tc>
          <w:tcPr>
            <w:tcW w:w="0" w:type="auto"/>
            <w:tcBorders>
              <w:top w:val="nil"/>
              <w:left w:val="nil"/>
              <w:bottom w:val="nil"/>
              <w:right w:val="nil"/>
            </w:tcBorders>
            <w:shd w:val="clear" w:color="000000" w:fill="FFFFFF"/>
            <w:noWrap/>
            <w:hideMark/>
          </w:tcPr>
          <w:p w14:paraId="185E698E"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 </w:t>
            </w:r>
          </w:p>
        </w:tc>
        <w:tc>
          <w:tcPr>
            <w:tcW w:w="0" w:type="auto"/>
            <w:tcBorders>
              <w:top w:val="nil"/>
              <w:left w:val="nil"/>
              <w:bottom w:val="nil"/>
              <w:right w:val="nil"/>
            </w:tcBorders>
            <w:shd w:val="clear" w:color="000000" w:fill="FFFFFF"/>
            <w:noWrap/>
            <w:hideMark/>
          </w:tcPr>
          <w:p w14:paraId="7904241B"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32 </w:t>
            </w:r>
          </w:p>
        </w:tc>
        <w:tc>
          <w:tcPr>
            <w:tcW w:w="0" w:type="auto"/>
            <w:tcBorders>
              <w:top w:val="nil"/>
              <w:left w:val="nil"/>
              <w:bottom w:val="nil"/>
              <w:right w:val="nil"/>
            </w:tcBorders>
            <w:shd w:val="clear" w:color="000000" w:fill="FFFFFF"/>
            <w:noWrap/>
            <w:hideMark/>
          </w:tcPr>
          <w:p w14:paraId="2EEA1081"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675 </w:t>
            </w:r>
          </w:p>
        </w:tc>
        <w:tc>
          <w:tcPr>
            <w:tcW w:w="0" w:type="auto"/>
            <w:tcBorders>
              <w:top w:val="nil"/>
              <w:left w:val="nil"/>
              <w:bottom w:val="nil"/>
              <w:right w:val="single" w:sz="4" w:space="0" w:color="auto"/>
            </w:tcBorders>
            <w:shd w:val="clear" w:color="000000" w:fill="FFFFFF"/>
            <w:noWrap/>
            <w:hideMark/>
          </w:tcPr>
          <w:p w14:paraId="6487DF88"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885 </w:t>
            </w:r>
          </w:p>
        </w:tc>
      </w:tr>
      <w:tr w:rsidR="00D24603" w:rsidRPr="00F13CA0" w14:paraId="281B479A"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058659B1"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C16</w:t>
            </w:r>
          </w:p>
        </w:tc>
        <w:tc>
          <w:tcPr>
            <w:tcW w:w="0" w:type="auto"/>
            <w:tcBorders>
              <w:top w:val="nil"/>
              <w:left w:val="nil"/>
              <w:bottom w:val="nil"/>
              <w:right w:val="nil"/>
            </w:tcBorders>
            <w:shd w:val="clear" w:color="000000" w:fill="FFFFFF"/>
            <w:noWrap/>
            <w:hideMark/>
          </w:tcPr>
          <w:p w14:paraId="0E2B80C5"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120 </w:t>
            </w:r>
          </w:p>
        </w:tc>
        <w:tc>
          <w:tcPr>
            <w:tcW w:w="0" w:type="auto"/>
            <w:tcBorders>
              <w:top w:val="nil"/>
              <w:left w:val="nil"/>
              <w:bottom w:val="nil"/>
              <w:right w:val="nil"/>
            </w:tcBorders>
            <w:shd w:val="clear" w:color="000000" w:fill="FFFFFF"/>
            <w:noWrap/>
            <w:hideMark/>
          </w:tcPr>
          <w:p w14:paraId="35F7B226"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 </w:t>
            </w:r>
          </w:p>
        </w:tc>
        <w:tc>
          <w:tcPr>
            <w:tcW w:w="0" w:type="auto"/>
            <w:tcBorders>
              <w:top w:val="nil"/>
              <w:left w:val="nil"/>
              <w:bottom w:val="nil"/>
              <w:right w:val="nil"/>
            </w:tcBorders>
            <w:shd w:val="clear" w:color="000000" w:fill="FFFFFF"/>
            <w:noWrap/>
            <w:hideMark/>
          </w:tcPr>
          <w:p w14:paraId="7A7A3890"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27 </w:t>
            </w:r>
          </w:p>
        </w:tc>
        <w:tc>
          <w:tcPr>
            <w:tcW w:w="0" w:type="auto"/>
            <w:tcBorders>
              <w:top w:val="nil"/>
              <w:left w:val="nil"/>
              <w:bottom w:val="nil"/>
              <w:right w:val="nil"/>
            </w:tcBorders>
            <w:shd w:val="clear" w:color="000000" w:fill="FFFFFF"/>
            <w:noWrap/>
            <w:hideMark/>
          </w:tcPr>
          <w:p w14:paraId="3DD8E792"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680 </w:t>
            </w:r>
          </w:p>
        </w:tc>
        <w:tc>
          <w:tcPr>
            <w:tcW w:w="0" w:type="auto"/>
            <w:tcBorders>
              <w:top w:val="nil"/>
              <w:left w:val="nil"/>
              <w:bottom w:val="nil"/>
              <w:right w:val="single" w:sz="4" w:space="0" w:color="auto"/>
            </w:tcBorders>
            <w:shd w:val="clear" w:color="000000" w:fill="FFFFFF"/>
            <w:noWrap/>
            <w:hideMark/>
          </w:tcPr>
          <w:p w14:paraId="45389E3C"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827 </w:t>
            </w:r>
          </w:p>
        </w:tc>
      </w:tr>
      <w:tr w:rsidR="00D24603" w:rsidRPr="00F13CA0" w14:paraId="77D65F8C"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3996B6B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C17</w:t>
            </w:r>
          </w:p>
        </w:tc>
        <w:tc>
          <w:tcPr>
            <w:tcW w:w="0" w:type="auto"/>
            <w:tcBorders>
              <w:top w:val="nil"/>
              <w:left w:val="nil"/>
              <w:bottom w:val="nil"/>
              <w:right w:val="nil"/>
            </w:tcBorders>
            <w:shd w:val="clear" w:color="000000" w:fill="FFFFFF"/>
            <w:noWrap/>
            <w:hideMark/>
          </w:tcPr>
          <w:p w14:paraId="65EB4C4F"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357 </w:t>
            </w:r>
          </w:p>
        </w:tc>
        <w:tc>
          <w:tcPr>
            <w:tcW w:w="0" w:type="auto"/>
            <w:tcBorders>
              <w:top w:val="nil"/>
              <w:left w:val="nil"/>
              <w:bottom w:val="nil"/>
              <w:right w:val="nil"/>
            </w:tcBorders>
            <w:shd w:val="clear" w:color="000000" w:fill="FFFFFF"/>
            <w:noWrap/>
            <w:hideMark/>
          </w:tcPr>
          <w:p w14:paraId="0EDB72C1"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4 </w:t>
            </w:r>
          </w:p>
        </w:tc>
        <w:tc>
          <w:tcPr>
            <w:tcW w:w="0" w:type="auto"/>
            <w:tcBorders>
              <w:top w:val="nil"/>
              <w:left w:val="nil"/>
              <w:bottom w:val="nil"/>
              <w:right w:val="nil"/>
            </w:tcBorders>
            <w:shd w:val="clear" w:color="000000" w:fill="FFFFFF"/>
            <w:noWrap/>
            <w:hideMark/>
          </w:tcPr>
          <w:p w14:paraId="13CE19DA"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81 </w:t>
            </w:r>
          </w:p>
        </w:tc>
        <w:tc>
          <w:tcPr>
            <w:tcW w:w="0" w:type="auto"/>
            <w:tcBorders>
              <w:top w:val="nil"/>
              <w:left w:val="nil"/>
              <w:bottom w:val="nil"/>
              <w:right w:val="nil"/>
            </w:tcBorders>
            <w:shd w:val="clear" w:color="000000" w:fill="FFFFFF"/>
            <w:noWrap/>
            <w:hideMark/>
          </w:tcPr>
          <w:p w14:paraId="64C27B76"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2,124 </w:t>
            </w:r>
          </w:p>
        </w:tc>
        <w:tc>
          <w:tcPr>
            <w:tcW w:w="0" w:type="auto"/>
            <w:tcBorders>
              <w:top w:val="nil"/>
              <w:left w:val="nil"/>
              <w:bottom w:val="nil"/>
              <w:right w:val="single" w:sz="4" w:space="0" w:color="auto"/>
            </w:tcBorders>
            <w:shd w:val="clear" w:color="000000" w:fill="FFFFFF"/>
            <w:noWrap/>
            <w:hideMark/>
          </w:tcPr>
          <w:p w14:paraId="140751B6"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2,566 </w:t>
            </w:r>
          </w:p>
        </w:tc>
      </w:tr>
      <w:tr w:rsidR="00D24603" w:rsidRPr="00F13CA0" w14:paraId="730ED878"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761C730B"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C18</w:t>
            </w:r>
          </w:p>
        </w:tc>
        <w:tc>
          <w:tcPr>
            <w:tcW w:w="0" w:type="auto"/>
            <w:tcBorders>
              <w:top w:val="nil"/>
              <w:left w:val="nil"/>
              <w:bottom w:val="nil"/>
              <w:right w:val="nil"/>
            </w:tcBorders>
            <w:shd w:val="clear" w:color="000000" w:fill="FFFFFF"/>
            <w:noWrap/>
            <w:hideMark/>
          </w:tcPr>
          <w:p w14:paraId="3C76707F"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131 </w:t>
            </w:r>
          </w:p>
        </w:tc>
        <w:tc>
          <w:tcPr>
            <w:tcW w:w="0" w:type="auto"/>
            <w:tcBorders>
              <w:top w:val="nil"/>
              <w:left w:val="nil"/>
              <w:bottom w:val="nil"/>
              <w:right w:val="nil"/>
            </w:tcBorders>
            <w:shd w:val="clear" w:color="000000" w:fill="FFFFFF"/>
            <w:noWrap/>
            <w:hideMark/>
          </w:tcPr>
          <w:p w14:paraId="26C68996"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 </w:t>
            </w:r>
          </w:p>
        </w:tc>
        <w:tc>
          <w:tcPr>
            <w:tcW w:w="0" w:type="auto"/>
            <w:tcBorders>
              <w:top w:val="nil"/>
              <w:left w:val="nil"/>
              <w:bottom w:val="nil"/>
              <w:right w:val="nil"/>
            </w:tcBorders>
            <w:shd w:val="clear" w:color="000000" w:fill="FFFFFF"/>
            <w:noWrap/>
            <w:hideMark/>
          </w:tcPr>
          <w:p w14:paraId="299903FA"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48 </w:t>
            </w:r>
          </w:p>
        </w:tc>
        <w:tc>
          <w:tcPr>
            <w:tcW w:w="0" w:type="auto"/>
            <w:tcBorders>
              <w:top w:val="nil"/>
              <w:left w:val="nil"/>
              <w:bottom w:val="nil"/>
              <w:right w:val="nil"/>
            </w:tcBorders>
            <w:shd w:val="clear" w:color="000000" w:fill="FFFFFF"/>
            <w:noWrap/>
            <w:hideMark/>
          </w:tcPr>
          <w:p w14:paraId="6E3A6868"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821 </w:t>
            </w:r>
          </w:p>
        </w:tc>
        <w:tc>
          <w:tcPr>
            <w:tcW w:w="0" w:type="auto"/>
            <w:tcBorders>
              <w:top w:val="nil"/>
              <w:left w:val="nil"/>
              <w:bottom w:val="nil"/>
              <w:right w:val="single" w:sz="4" w:space="0" w:color="auto"/>
            </w:tcBorders>
            <w:shd w:val="clear" w:color="000000" w:fill="FFFFFF"/>
            <w:noWrap/>
            <w:hideMark/>
          </w:tcPr>
          <w:p w14:paraId="51C44EC6"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1,001 </w:t>
            </w:r>
          </w:p>
        </w:tc>
      </w:tr>
      <w:tr w:rsidR="00D24603" w:rsidRPr="00F13CA0" w14:paraId="3E36E9D1"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1B936BEE"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C19</w:t>
            </w:r>
          </w:p>
        </w:tc>
        <w:tc>
          <w:tcPr>
            <w:tcW w:w="0" w:type="auto"/>
            <w:tcBorders>
              <w:top w:val="nil"/>
              <w:left w:val="nil"/>
              <w:bottom w:val="nil"/>
              <w:right w:val="nil"/>
            </w:tcBorders>
            <w:shd w:val="clear" w:color="000000" w:fill="FFFFFF"/>
            <w:noWrap/>
            <w:hideMark/>
          </w:tcPr>
          <w:p w14:paraId="01A05884"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191 </w:t>
            </w:r>
          </w:p>
        </w:tc>
        <w:tc>
          <w:tcPr>
            <w:tcW w:w="0" w:type="auto"/>
            <w:tcBorders>
              <w:top w:val="nil"/>
              <w:left w:val="nil"/>
              <w:bottom w:val="nil"/>
              <w:right w:val="nil"/>
            </w:tcBorders>
            <w:shd w:val="clear" w:color="000000" w:fill="FFFFFF"/>
            <w:noWrap/>
            <w:hideMark/>
          </w:tcPr>
          <w:p w14:paraId="7F706544"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 </w:t>
            </w:r>
          </w:p>
        </w:tc>
        <w:tc>
          <w:tcPr>
            <w:tcW w:w="0" w:type="auto"/>
            <w:tcBorders>
              <w:top w:val="nil"/>
              <w:left w:val="nil"/>
              <w:bottom w:val="nil"/>
              <w:right w:val="nil"/>
            </w:tcBorders>
            <w:shd w:val="clear" w:color="000000" w:fill="FFFFFF"/>
            <w:noWrap/>
            <w:hideMark/>
          </w:tcPr>
          <w:p w14:paraId="15E9CD14"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49 </w:t>
            </w:r>
          </w:p>
        </w:tc>
        <w:tc>
          <w:tcPr>
            <w:tcW w:w="0" w:type="auto"/>
            <w:tcBorders>
              <w:top w:val="nil"/>
              <w:left w:val="nil"/>
              <w:bottom w:val="nil"/>
              <w:right w:val="nil"/>
            </w:tcBorders>
            <w:shd w:val="clear" w:color="000000" w:fill="FFFFFF"/>
            <w:noWrap/>
            <w:hideMark/>
          </w:tcPr>
          <w:p w14:paraId="456D4285"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1,206 </w:t>
            </w:r>
          </w:p>
        </w:tc>
        <w:tc>
          <w:tcPr>
            <w:tcW w:w="0" w:type="auto"/>
            <w:tcBorders>
              <w:top w:val="nil"/>
              <w:left w:val="nil"/>
              <w:bottom w:val="nil"/>
              <w:right w:val="single" w:sz="4" w:space="0" w:color="auto"/>
            </w:tcBorders>
            <w:shd w:val="clear" w:color="000000" w:fill="FFFFFF"/>
            <w:noWrap/>
            <w:hideMark/>
          </w:tcPr>
          <w:p w14:paraId="0B9DC262"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1,447 </w:t>
            </w:r>
          </w:p>
        </w:tc>
      </w:tr>
      <w:tr w:rsidR="00D24603" w:rsidRPr="00F13CA0" w14:paraId="791250F9"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5BB4C3F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C20</w:t>
            </w:r>
          </w:p>
        </w:tc>
        <w:tc>
          <w:tcPr>
            <w:tcW w:w="0" w:type="auto"/>
            <w:tcBorders>
              <w:top w:val="nil"/>
              <w:left w:val="nil"/>
              <w:bottom w:val="nil"/>
              <w:right w:val="nil"/>
            </w:tcBorders>
            <w:shd w:val="clear" w:color="000000" w:fill="FFFFFF"/>
            <w:noWrap/>
            <w:hideMark/>
          </w:tcPr>
          <w:p w14:paraId="40CE36FD"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759 </w:t>
            </w:r>
          </w:p>
        </w:tc>
        <w:tc>
          <w:tcPr>
            <w:tcW w:w="0" w:type="auto"/>
            <w:tcBorders>
              <w:top w:val="nil"/>
              <w:left w:val="nil"/>
              <w:bottom w:val="nil"/>
              <w:right w:val="nil"/>
            </w:tcBorders>
            <w:shd w:val="clear" w:color="000000" w:fill="FFFFFF"/>
            <w:noWrap/>
            <w:hideMark/>
          </w:tcPr>
          <w:p w14:paraId="42206F76"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7 </w:t>
            </w:r>
          </w:p>
        </w:tc>
        <w:tc>
          <w:tcPr>
            <w:tcW w:w="0" w:type="auto"/>
            <w:tcBorders>
              <w:top w:val="nil"/>
              <w:left w:val="nil"/>
              <w:bottom w:val="nil"/>
              <w:right w:val="nil"/>
            </w:tcBorders>
            <w:shd w:val="clear" w:color="000000" w:fill="FFFFFF"/>
            <w:noWrap/>
            <w:hideMark/>
          </w:tcPr>
          <w:p w14:paraId="7160DCC1"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137 </w:t>
            </w:r>
          </w:p>
        </w:tc>
        <w:tc>
          <w:tcPr>
            <w:tcW w:w="0" w:type="auto"/>
            <w:tcBorders>
              <w:top w:val="nil"/>
              <w:left w:val="nil"/>
              <w:bottom w:val="nil"/>
              <w:right w:val="nil"/>
            </w:tcBorders>
            <w:shd w:val="clear" w:color="000000" w:fill="FFFFFF"/>
            <w:noWrap/>
            <w:hideMark/>
          </w:tcPr>
          <w:p w14:paraId="2C01BE9E"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3,881 </w:t>
            </w:r>
          </w:p>
        </w:tc>
        <w:tc>
          <w:tcPr>
            <w:tcW w:w="0" w:type="auto"/>
            <w:tcBorders>
              <w:top w:val="nil"/>
              <w:left w:val="nil"/>
              <w:bottom w:val="nil"/>
              <w:right w:val="single" w:sz="4" w:space="0" w:color="auto"/>
            </w:tcBorders>
            <w:shd w:val="clear" w:color="000000" w:fill="FFFFFF"/>
            <w:noWrap/>
            <w:hideMark/>
          </w:tcPr>
          <w:p w14:paraId="59FA7975"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4,783 </w:t>
            </w:r>
          </w:p>
        </w:tc>
      </w:tr>
      <w:tr w:rsidR="00D24603" w:rsidRPr="00F13CA0" w14:paraId="119D17D0"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4EB947A2"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C21</w:t>
            </w:r>
          </w:p>
        </w:tc>
        <w:tc>
          <w:tcPr>
            <w:tcW w:w="0" w:type="auto"/>
            <w:tcBorders>
              <w:top w:val="nil"/>
              <w:left w:val="nil"/>
              <w:bottom w:val="nil"/>
              <w:right w:val="nil"/>
            </w:tcBorders>
            <w:shd w:val="clear" w:color="000000" w:fill="FFFFFF"/>
            <w:noWrap/>
            <w:hideMark/>
          </w:tcPr>
          <w:p w14:paraId="34FDF056"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198 </w:t>
            </w:r>
          </w:p>
        </w:tc>
        <w:tc>
          <w:tcPr>
            <w:tcW w:w="0" w:type="auto"/>
            <w:tcBorders>
              <w:top w:val="nil"/>
              <w:left w:val="nil"/>
              <w:bottom w:val="nil"/>
              <w:right w:val="nil"/>
            </w:tcBorders>
            <w:shd w:val="clear" w:color="000000" w:fill="FFFFFF"/>
            <w:noWrap/>
            <w:hideMark/>
          </w:tcPr>
          <w:p w14:paraId="0CF9EEF5"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 </w:t>
            </w:r>
          </w:p>
        </w:tc>
        <w:tc>
          <w:tcPr>
            <w:tcW w:w="0" w:type="auto"/>
            <w:tcBorders>
              <w:top w:val="nil"/>
              <w:left w:val="nil"/>
              <w:bottom w:val="nil"/>
              <w:right w:val="nil"/>
            </w:tcBorders>
            <w:shd w:val="clear" w:color="000000" w:fill="FFFFFF"/>
            <w:noWrap/>
            <w:hideMark/>
          </w:tcPr>
          <w:p w14:paraId="6B50ED11"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51 </w:t>
            </w:r>
          </w:p>
        </w:tc>
        <w:tc>
          <w:tcPr>
            <w:tcW w:w="0" w:type="auto"/>
            <w:tcBorders>
              <w:top w:val="nil"/>
              <w:left w:val="nil"/>
              <w:bottom w:val="nil"/>
              <w:right w:val="nil"/>
            </w:tcBorders>
            <w:shd w:val="clear" w:color="000000" w:fill="FFFFFF"/>
            <w:noWrap/>
            <w:hideMark/>
          </w:tcPr>
          <w:p w14:paraId="1AA38AA2"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973 </w:t>
            </w:r>
          </w:p>
        </w:tc>
        <w:tc>
          <w:tcPr>
            <w:tcW w:w="0" w:type="auto"/>
            <w:tcBorders>
              <w:top w:val="nil"/>
              <w:left w:val="nil"/>
              <w:bottom w:val="nil"/>
              <w:right w:val="single" w:sz="4" w:space="0" w:color="auto"/>
            </w:tcBorders>
            <w:shd w:val="clear" w:color="000000" w:fill="FFFFFF"/>
            <w:noWrap/>
            <w:hideMark/>
          </w:tcPr>
          <w:p w14:paraId="0F0A1A3C"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1,224 </w:t>
            </w:r>
          </w:p>
        </w:tc>
      </w:tr>
      <w:tr w:rsidR="00D24603" w:rsidRPr="00F13CA0" w14:paraId="49A4A31E"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52A739E3"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C22</w:t>
            </w:r>
          </w:p>
        </w:tc>
        <w:tc>
          <w:tcPr>
            <w:tcW w:w="0" w:type="auto"/>
            <w:tcBorders>
              <w:top w:val="nil"/>
              <w:left w:val="nil"/>
              <w:bottom w:val="nil"/>
              <w:right w:val="nil"/>
            </w:tcBorders>
            <w:shd w:val="clear" w:color="000000" w:fill="FFFFFF"/>
            <w:noWrap/>
            <w:hideMark/>
          </w:tcPr>
          <w:p w14:paraId="7464A38F"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204 </w:t>
            </w:r>
          </w:p>
        </w:tc>
        <w:tc>
          <w:tcPr>
            <w:tcW w:w="0" w:type="auto"/>
            <w:tcBorders>
              <w:top w:val="nil"/>
              <w:left w:val="nil"/>
              <w:bottom w:val="nil"/>
              <w:right w:val="nil"/>
            </w:tcBorders>
            <w:shd w:val="clear" w:color="000000" w:fill="FFFFFF"/>
            <w:noWrap/>
            <w:hideMark/>
          </w:tcPr>
          <w:p w14:paraId="53E3ACF1"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 </w:t>
            </w:r>
          </w:p>
        </w:tc>
        <w:tc>
          <w:tcPr>
            <w:tcW w:w="0" w:type="auto"/>
            <w:tcBorders>
              <w:top w:val="nil"/>
              <w:left w:val="nil"/>
              <w:bottom w:val="nil"/>
              <w:right w:val="nil"/>
            </w:tcBorders>
            <w:shd w:val="clear" w:color="000000" w:fill="FFFFFF"/>
            <w:noWrap/>
            <w:hideMark/>
          </w:tcPr>
          <w:p w14:paraId="606E8D77"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35 </w:t>
            </w:r>
          </w:p>
        </w:tc>
        <w:tc>
          <w:tcPr>
            <w:tcW w:w="0" w:type="auto"/>
            <w:tcBorders>
              <w:top w:val="nil"/>
              <w:left w:val="nil"/>
              <w:bottom w:val="nil"/>
              <w:right w:val="nil"/>
            </w:tcBorders>
            <w:shd w:val="clear" w:color="000000" w:fill="FFFFFF"/>
            <w:noWrap/>
            <w:hideMark/>
          </w:tcPr>
          <w:p w14:paraId="0C35E800"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1,000 </w:t>
            </w:r>
          </w:p>
        </w:tc>
        <w:tc>
          <w:tcPr>
            <w:tcW w:w="0" w:type="auto"/>
            <w:tcBorders>
              <w:top w:val="nil"/>
              <w:left w:val="nil"/>
              <w:bottom w:val="nil"/>
              <w:right w:val="single" w:sz="4" w:space="0" w:color="auto"/>
            </w:tcBorders>
            <w:shd w:val="clear" w:color="000000" w:fill="FFFFFF"/>
            <w:noWrap/>
            <w:hideMark/>
          </w:tcPr>
          <w:p w14:paraId="0B11EC58"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1,242 </w:t>
            </w:r>
          </w:p>
        </w:tc>
      </w:tr>
      <w:tr w:rsidR="00D24603" w:rsidRPr="00F13CA0" w14:paraId="0DF1D932"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4C1283C0"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C23</w:t>
            </w:r>
          </w:p>
        </w:tc>
        <w:tc>
          <w:tcPr>
            <w:tcW w:w="0" w:type="auto"/>
            <w:tcBorders>
              <w:top w:val="nil"/>
              <w:left w:val="nil"/>
              <w:bottom w:val="nil"/>
              <w:right w:val="nil"/>
            </w:tcBorders>
            <w:shd w:val="clear" w:color="000000" w:fill="FFFFFF"/>
            <w:noWrap/>
            <w:hideMark/>
          </w:tcPr>
          <w:p w14:paraId="7D552C05"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367 </w:t>
            </w:r>
          </w:p>
        </w:tc>
        <w:tc>
          <w:tcPr>
            <w:tcW w:w="0" w:type="auto"/>
            <w:tcBorders>
              <w:top w:val="nil"/>
              <w:left w:val="nil"/>
              <w:bottom w:val="nil"/>
              <w:right w:val="nil"/>
            </w:tcBorders>
            <w:shd w:val="clear" w:color="000000" w:fill="FFFFFF"/>
            <w:noWrap/>
            <w:hideMark/>
          </w:tcPr>
          <w:p w14:paraId="4786C2C3"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3 </w:t>
            </w:r>
          </w:p>
        </w:tc>
        <w:tc>
          <w:tcPr>
            <w:tcW w:w="0" w:type="auto"/>
            <w:tcBorders>
              <w:top w:val="nil"/>
              <w:left w:val="nil"/>
              <w:bottom w:val="nil"/>
              <w:right w:val="nil"/>
            </w:tcBorders>
            <w:shd w:val="clear" w:color="000000" w:fill="FFFFFF"/>
            <w:noWrap/>
            <w:hideMark/>
          </w:tcPr>
          <w:p w14:paraId="17EA91ED"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83 </w:t>
            </w:r>
          </w:p>
        </w:tc>
        <w:tc>
          <w:tcPr>
            <w:tcW w:w="0" w:type="auto"/>
            <w:tcBorders>
              <w:top w:val="nil"/>
              <w:left w:val="nil"/>
              <w:bottom w:val="nil"/>
              <w:right w:val="nil"/>
            </w:tcBorders>
            <w:shd w:val="clear" w:color="000000" w:fill="FFFFFF"/>
            <w:noWrap/>
            <w:hideMark/>
          </w:tcPr>
          <w:p w14:paraId="1CECF7D5"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2,279 </w:t>
            </w:r>
          </w:p>
        </w:tc>
        <w:tc>
          <w:tcPr>
            <w:tcW w:w="0" w:type="auto"/>
            <w:tcBorders>
              <w:top w:val="nil"/>
              <w:left w:val="nil"/>
              <w:bottom w:val="nil"/>
              <w:right w:val="single" w:sz="4" w:space="0" w:color="auto"/>
            </w:tcBorders>
            <w:shd w:val="clear" w:color="000000" w:fill="FFFFFF"/>
            <w:noWrap/>
            <w:hideMark/>
          </w:tcPr>
          <w:p w14:paraId="49EC6BD6"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2,733 </w:t>
            </w:r>
          </w:p>
        </w:tc>
      </w:tr>
      <w:tr w:rsidR="00D24603" w:rsidRPr="00F13CA0" w14:paraId="4D4A324A" w14:textId="77777777" w:rsidTr="00435936">
        <w:trPr>
          <w:trHeight w:val="292"/>
        </w:trPr>
        <w:tc>
          <w:tcPr>
            <w:tcW w:w="0" w:type="auto"/>
            <w:tcBorders>
              <w:top w:val="nil"/>
              <w:left w:val="single" w:sz="4" w:space="0" w:color="auto"/>
              <w:bottom w:val="nil"/>
              <w:right w:val="single" w:sz="4" w:space="0" w:color="auto"/>
            </w:tcBorders>
            <w:shd w:val="clear" w:color="000000" w:fill="FFFFFF"/>
            <w:noWrap/>
            <w:vAlign w:val="center"/>
            <w:hideMark/>
          </w:tcPr>
          <w:p w14:paraId="12260E96"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C24</w:t>
            </w:r>
          </w:p>
        </w:tc>
        <w:tc>
          <w:tcPr>
            <w:tcW w:w="0" w:type="auto"/>
            <w:tcBorders>
              <w:top w:val="nil"/>
              <w:left w:val="nil"/>
              <w:bottom w:val="nil"/>
              <w:right w:val="nil"/>
            </w:tcBorders>
            <w:shd w:val="clear" w:color="000000" w:fill="FFFFFF"/>
            <w:noWrap/>
            <w:hideMark/>
          </w:tcPr>
          <w:p w14:paraId="590A458A"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250 </w:t>
            </w:r>
          </w:p>
        </w:tc>
        <w:tc>
          <w:tcPr>
            <w:tcW w:w="0" w:type="auto"/>
            <w:tcBorders>
              <w:top w:val="nil"/>
              <w:left w:val="nil"/>
              <w:bottom w:val="nil"/>
              <w:right w:val="nil"/>
            </w:tcBorders>
            <w:shd w:val="clear" w:color="000000" w:fill="FFFFFF"/>
            <w:noWrap/>
            <w:hideMark/>
          </w:tcPr>
          <w:p w14:paraId="7A1AB00C"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 </w:t>
            </w:r>
          </w:p>
        </w:tc>
        <w:tc>
          <w:tcPr>
            <w:tcW w:w="0" w:type="auto"/>
            <w:tcBorders>
              <w:top w:val="nil"/>
              <w:left w:val="nil"/>
              <w:bottom w:val="nil"/>
              <w:right w:val="nil"/>
            </w:tcBorders>
            <w:shd w:val="clear" w:color="000000" w:fill="FFFFFF"/>
            <w:noWrap/>
            <w:hideMark/>
          </w:tcPr>
          <w:p w14:paraId="6CE0B24B"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56 </w:t>
            </w:r>
          </w:p>
        </w:tc>
        <w:tc>
          <w:tcPr>
            <w:tcW w:w="0" w:type="auto"/>
            <w:tcBorders>
              <w:top w:val="nil"/>
              <w:left w:val="nil"/>
              <w:bottom w:val="nil"/>
              <w:right w:val="nil"/>
            </w:tcBorders>
            <w:shd w:val="clear" w:color="000000" w:fill="FFFFFF"/>
            <w:noWrap/>
            <w:hideMark/>
          </w:tcPr>
          <w:p w14:paraId="0324E3DB"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1,452 </w:t>
            </w:r>
          </w:p>
        </w:tc>
        <w:tc>
          <w:tcPr>
            <w:tcW w:w="0" w:type="auto"/>
            <w:tcBorders>
              <w:top w:val="nil"/>
              <w:left w:val="nil"/>
              <w:bottom w:val="nil"/>
              <w:right w:val="single" w:sz="4" w:space="0" w:color="auto"/>
            </w:tcBorders>
            <w:shd w:val="clear" w:color="000000" w:fill="FFFFFF"/>
            <w:noWrap/>
            <w:hideMark/>
          </w:tcPr>
          <w:p w14:paraId="3945FEBC"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1,759 </w:t>
            </w:r>
          </w:p>
        </w:tc>
      </w:tr>
      <w:tr w:rsidR="00D24603" w:rsidRPr="00F13CA0" w14:paraId="3CC9B53A" w14:textId="77777777" w:rsidTr="00435936">
        <w:trPr>
          <w:trHeight w:val="292"/>
        </w:trPr>
        <w:tc>
          <w:tcPr>
            <w:tcW w:w="0" w:type="auto"/>
            <w:tcBorders>
              <w:top w:val="nil"/>
              <w:left w:val="single" w:sz="4" w:space="0" w:color="auto"/>
              <w:right w:val="single" w:sz="4" w:space="0" w:color="auto"/>
            </w:tcBorders>
            <w:shd w:val="clear" w:color="000000" w:fill="FFFFFF"/>
            <w:noWrap/>
            <w:vAlign w:val="center"/>
            <w:hideMark/>
          </w:tcPr>
          <w:p w14:paraId="32781002"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C25</w:t>
            </w:r>
          </w:p>
        </w:tc>
        <w:tc>
          <w:tcPr>
            <w:tcW w:w="0" w:type="auto"/>
            <w:tcBorders>
              <w:top w:val="nil"/>
              <w:left w:val="nil"/>
              <w:right w:val="nil"/>
            </w:tcBorders>
            <w:shd w:val="clear" w:color="000000" w:fill="FFFFFF"/>
            <w:noWrap/>
            <w:hideMark/>
          </w:tcPr>
          <w:p w14:paraId="430AEF5F"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341 </w:t>
            </w:r>
          </w:p>
        </w:tc>
        <w:tc>
          <w:tcPr>
            <w:tcW w:w="0" w:type="auto"/>
            <w:tcBorders>
              <w:top w:val="nil"/>
              <w:left w:val="nil"/>
              <w:right w:val="nil"/>
            </w:tcBorders>
            <w:shd w:val="clear" w:color="000000" w:fill="FFFFFF"/>
            <w:noWrap/>
            <w:hideMark/>
          </w:tcPr>
          <w:p w14:paraId="158DF6C4"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 </w:t>
            </w:r>
          </w:p>
        </w:tc>
        <w:tc>
          <w:tcPr>
            <w:tcW w:w="0" w:type="auto"/>
            <w:tcBorders>
              <w:top w:val="nil"/>
              <w:left w:val="nil"/>
              <w:right w:val="nil"/>
            </w:tcBorders>
            <w:shd w:val="clear" w:color="000000" w:fill="FFFFFF"/>
            <w:noWrap/>
            <w:hideMark/>
          </w:tcPr>
          <w:p w14:paraId="02407C39"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69 </w:t>
            </w:r>
          </w:p>
        </w:tc>
        <w:tc>
          <w:tcPr>
            <w:tcW w:w="0" w:type="auto"/>
            <w:tcBorders>
              <w:top w:val="nil"/>
              <w:left w:val="nil"/>
              <w:right w:val="nil"/>
            </w:tcBorders>
            <w:shd w:val="clear" w:color="000000" w:fill="FFFFFF"/>
            <w:noWrap/>
            <w:hideMark/>
          </w:tcPr>
          <w:p w14:paraId="7EEA40F7"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1,389 </w:t>
            </w:r>
          </w:p>
        </w:tc>
        <w:tc>
          <w:tcPr>
            <w:tcW w:w="0" w:type="auto"/>
            <w:tcBorders>
              <w:top w:val="nil"/>
              <w:left w:val="nil"/>
              <w:right w:val="single" w:sz="4" w:space="0" w:color="auto"/>
            </w:tcBorders>
            <w:shd w:val="clear" w:color="000000" w:fill="FFFFFF"/>
            <w:noWrap/>
            <w:hideMark/>
          </w:tcPr>
          <w:p w14:paraId="7BCB2EA7"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1,801 </w:t>
            </w:r>
          </w:p>
        </w:tc>
      </w:tr>
      <w:tr w:rsidR="00D24603" w:rsidRPr="00F13CA0" w14:paraId="511B56B2" w14:textId="77777777" w:rsidTr="00435936">
        <w:trPr>
          <w:trHeight w:val="292"/>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13A55F4" w14:textId="77777777" w:rsidR="00D24603" w:rsidRPr="00F13CA0" w:rsidRDefault="00D24603" w:rsidP="00CE3D62">
            <w:pPr>
              <w:spacing w:after="0"/>
              <w:jc w:val="center"/>
              <w:rPr>
                <w:rFonts w:ascii="Calibri" w:eastAsia="Times New Roman" w:hAnsi="Calibri" w:cs="Calibri"/>
                <w:color w:val="000000"/>
                <w:kern w:val="0"/>
                <w:sz w:val="22"/>
                <w:szCs w:val="22"/>
                <w14:ligatures w14:val="none"/>
              </w:rPr>
            </w:pPr>
            <w:r w:rsidRPr="00F13CA0">
              <w:rPr>
                <w:rFonts w:ascii="Calibri" w:eastAsia="Times New Roman" w:hAnsi="Calibri" w:cs="Calibri"/>
                <w:color w:val="000000"/>
                <w:kern w:val="0"/>
                <w:sz w:val="22"/>
                <w:szCs w:val="22"/>
                <w14:ligatures w14:val="none"/>
              </w:rPr>
              <w:t>C26</w:t>
            </w:r>
          </w:p>
        </w:tc>
        <w:tc>
          <w:tcPr>
            <w:tcW w:w="0" w:type="auto"/>
            <w:tcBorders>
              <w:top w:val="nil"/>
              <w:left w:val="nil"/>
              <w:bottom w:val="single" w:sz="4" w:space="0" w:color="auto"/>
              <w:right w:val="nil"/>
            </w:tcBorders>
            <w:shd w:val="clear" w:color="000000" w:fill="FFFFFF"/>
            <w:noWrap/>
            <w:hideMark/>
          </w:tcPr>
          <w:p w14:paraId="560029FC"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269 </w:t>
            </w:r>
          </w:p>
        </w:tc>
        <w:tc>
          <w:tcPr>
            <w:tcW w:w="0" w:type="auto"/>
            <w:tcBorders>
              <w:top w:val="nil"/>
              <w:left w:val="nil"/>
              <w:bottom w:val="single" w:sz="4" w:space="0" w:color="auto"/>
              <w:right w:val="nil"/>
            </w:tcBorders>
            <w:shd w:val="clear" w:color="000000" w:fill="FFFFFF"/>
            <w:noWrap/>
            <w:hideMark/>
          </w:tcPr>
          <w:p w14:paraId="5F57992A"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 </w:t>
            </w:r>
          </w:p>
        </w:tc>
        <w:tc>
          <w:tcPr>
            <w:tcW w:w="0" w:type="auto"/>
            <w:tcBorders>
              <w:top w:val="nil"/>
              <w:left w:val="nil"/>
              <w:bottom w:val="single" w:sz="4" w:space="0" w:color="auto"/>
              <w:right w:val="nil"/>
            </w:tcBorders>
            <w:shd w:val="clear" w:color="000000" w:fill="FFFFFF"/>
            <w:noWrap/>
            <w:hideMark/>
          </w:tcPr>
          <w:p w14:paraId="3E9BBA52"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70 </w:t>
            </w:r>
          </w:p>
        </w:tc>
        <w:tc>
          <w:tcPr>
            <w:tcW w:w="0" w:type="auto"/>
            <w:tcBorders>
              <w:top w:val="nil"/>
              <w:left w:val="nil"/>
              <w:bottom w:val="single" w:sz="4" w:space="0" w:color="auto"/>
              <w:right w:val="nil"/>
            </w:tcBorders>
            <w:shd w:val="clear" w:color="000000" w:fill="FFFFFF"/>
            <w:noWrap/>
            <w:hideMark/>
          </w:tcPr>
          <w:p w14:paraId="7747C25D"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1,784 </w:t>
            </w:r>
          </w:p>
        </w:tc>
        <w:tc>
          <w:tcPr>
            <w:tcW w:w="0" w:type="auto"/>
            <w:tcBorders>
              <w:top w:val="nil"/>
              <w:left w:val="nil"/>
              <w:bottom w:val="single" w:sz="4" w:space="0" w:color="auto"/>
              <w:right w:val="single" w:sz="4" w:space="0" w:color="auto"/>
            </w:tcBorders>
            <w:shd w:val="clear" w:color="000000" w:fill="FFFFFF"/>
            <w:noWrap/>
            <w:hideMark/>
          </w:tcPr>
          <w:p w14:paraId="16F85D2D" w14:textId="77777777" w:rsidR="00D24603" w:rsidRPr="0002400D" w:rsidRDefault="00D24603" w:rsidP="00CE3D62">
            <w:pPr>
              <w:spacing w:after="0"/>
              <w:jc w:val="center"/>
              <w:rPr>
                <w:rFonts w:ascii="Calibri" w:hAnsi="Calibri" w:cs="Calibri"/>
                <w:color w:val="000000"/>
                <w:sz w:val="22"/>
                <w:szCs w:val="22"/>
              </w:rPr>
            </w:pPr>
            <w:r w:rsidRPr="006C0DE1">
              <w:rPr>
                <w:rFonts w:ascii="Calibri" w:hAnsi="Calibri" w:cs="Calibri"/>
                <w:color w:val="000000"/>
                <w:sz w:val="22"/>
                <w:szCs w:val="22"/>
              </w:rPr>
              <w:t xml:space="preserve"> 2,125 </w:t>
            </w:r>
          </w:p>
        </w:tc>
      </w:tr>
    </w:tbl>
    <w:p w14:paraId="20D9D238" w14:textId="77777777" w:rsidR="00D24603" w:rsidRPr="00F06B14" w:rsidRDefault="00D24603" w:rsidP="00CE3D62">
      <w:pPr>
        <w:spacing w:after="0"/>
        <w:rPr>
          <w:szCs w:val="20"/>
        </w:rPr>
      </w:pPr>
      <w:r w:rsidRPr="00F06B14">
        <w:rPr>
          <w:szCs w:val="20"/>
        </w:rPr>
        <w:t xml:space="preserve">Abbreviations: </w:t>
      </w:r>
      <w:r>
        <w:rPr>
          <w:szCs w:val="20"/>
        </w:rPr>
        <w:t>C = Community.</w:t>
      </w:r>
    </w:p>
    <w:p w14:paraId="5F6262DE" w14:textId="77777777" w:rsidR="00D24603" w:rsidRPr="00F06B14" w:rsidRDefault="00D24603" w:rsidP="00CE3D62">
      <w:pPr>
        <w:spacing w:after="0"/>
        <w:rPr>
          <w:szCs w:val="20"/>
        </w:rPr>
      </w:pPr>
      <w:r>
        <w:rPr>
          <w:szCs w:val="20"/>
        </w:rPr>
        <w:t>C</w:t>
      </w:r>
      <w:r w:rsidRPr="00F06B14">
        <w:rPr>
          <w:szCs w:val="20"/>
        </w:rPr>
        <w:t xml:space="preserve">ommunities are in order of decreasing OUD prevalence in the </w:t>
      </w:r>
      <w:r>
        <w:rPr>
          <w:szCs w:val="20"/>
        </w:rPr>
        <w:t>“</w:t>
      </w:r>
      <w:r w:rsidRPr="00F06B14">
        <w:rPr>
          <w:szCs w:val="20"/>
        </w:rPr>
        <w:t xml:space="preserve">Maintain </w:t>
      </w:r>
      <w:r>
        <w:rPr>
          <w:szCs w:val="20"/>
        </w:rPr>
        <w:t xml:space="preserve">2024 </w:t>
      </w:r>
      <w:r w:rsidRPr="00F06B14">
        <w:rPr>
          <w:szCs w:val="20"/>
        </w:rPr>
        <w:t xml:space="preserve">EBP </w:t>
      </w:r>
      <w:r>
        <w:rPr>
          <w:szCs w:val="20"/>
        </w:rPr>
        <w:t>L</w:t>
      </w:r>
      <w:r w:rsidRPr="00F06B14">
        <w:rPr>
          <w:szCs w:val="20"/>
        </w:rPr>
        <w:t>evels</w:t>
      </w:r>
      <w:r>
        <w:rPr>
          <w:szCs w:val="20"/>
        </w:rPr>
        <w:t>”</w:t>
      </w:r>
      <w:r w:rsidRPr="00F06B14">
        <w:rPr>
          <w:szCs w:val="20"/>
        </w:rPr>
        <w:t xml:space="preserve"> scenario</w:t>
      </w:r>
      <w:r>
        <w:rPr>
          <w:szCs w:val="20"/>
        </w:rPr>
        <w:t>.</w:t>
      </w:r>
    </w:p>
    <w:p w14:paraId="5C77C526" w14:textId="77777777" w:rsidR="00D24603" w:rsidRDefault="00D24603" w:rsidP="00D24603">
      <w:r>
        <w:br w:type="page"/>
      </w:r>
    </w:p>
    <w:p w14:paraId="79D32F39" w14:textId="77777777" w:rsidR="00D24603" w:rsidRPr="00163F86" w:rsidRDefault="00D24603" w:rsidP="00D24603">
      <w:pPr>
        <w:keepNext/>
      </w:pPr>
      <w:r w:rsidRPr="00163F86">
        <w:rPr>
          <w:noProof/>
        </w:rPr>
        <w:lastRenderedPageBreak/>
        <w:drawing>
          <wp:inline distT="0" distB="0" distL="0" distR="0" wp14:anchorId="0C8F6C12" wp14:editId="7531B51E">
            <wp:extent cx="5943600" cy="7429500"/>
            <wp:effectExtent l="0" t="0" r="0" b="0"/>
            <wp:docPr id="882646875" name="Picture 6" descr="A char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46875" name="Picture 6" descr="A chart of a graph&#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429500"/>
                    </a:xfrm>
                    <a:prstGeom prst="rect">
                      <a:avLst/>
                    </a:prstGeom>
                    <a:noFill/>
                    <a:ln>
                      <a:noFill/>
                    </a:ln>
                  </pic:spPr>
                </pic:pic>
              </a:graphicData>
            </a:graphic>
          </wp:inline>
        </w:drawing>
      </w:r>
    </w:p>
    <w:p w14:paraId="35C7978B" w14:textId="4BD741C6" w:rsidR="00D24603" w:rsidRPr="00CE3D62" w:rsidRDefault="00CE3D62" w:rsidP="00D24603">
      <w:pPr>
        <w:pStyle w:val="Caption"/>
        <w:spacing w:after="0"/>
        <w:rPr>
          <w:i w:val="0"/>
          <w:iCs w:val="0"/>
          <w:sz w:val="20"/>
          <w:szCs w:val="20"/>
        </w:rPr>
      </w:pPr>
      <w:r w:rsidRPr="00CE3D62">
        <w:rPr>
          <w:b/>
          <w:bCs/>
          <w:i w:val="0"/>
          <w:iCs w:val="0"/>
          <w:sz w:val="20"/>
          <w:szCs w:val="20"/>
        </w:rPr>
        <w:t xml:space="preserve">Supplementary </w:t>
      </w:r>
      <w:r w:rsidR="00D24603" w:rsidRPr="00CE3D62">
        <w:rPr>
          <w:b/>
          <w:bCs/>
          <w:i w:val="0"/>
          <w:iCs w:val="0"/>
          <w:sz w:val="20"/>
          <w:szCs w:val="20"/>
        </w:rPr>
        <w:t xml:space="preserve">Figure </w:t>
      </w:r>
      <w:r w:rsidR="00A87FBF">
        <w:rPr>
          <w:b/>
          <w:bCs/>
          <w:i w:val="0"/>
          <w:iCs w:val="0"/>
          <w:sz w:val="20"/>
          <w:szCs w:val="20"/>
        </w:rPr>
        <w:t>5</w:t>
      </w:r>
      <w:r w:rsidR="00D24603" w:rsidRPr="00CE3D62">
        <w:rPr>
          <w:b/>
          <w:bCs/>
          <w:i w:val="0"/>
          <w:iCs w:val="0"/>
          <w:sz w:val="20"/>
          <w:szCs w:val="20"/>
        </w:rPr>
        <w:t>.</w:t>
      </w:r>
      <w:r w:rsidR="00D24603" w:rsidRPr="00CE3D62">
        <w:rPr>
          <w:i w:val="0"/>
          <w:iCs w:val="0"/>
          <w:sz w:val="20"/>
          <w:szCs w:val="20"/>
        </w:rPr>
        <w:t xml:space="preserve"> Community-level cost-effectiveness frontier results.</w:t>
      </w:r>
    </w:p>
    <w:p w14:paraId="450D7075" w14:textId="77777777" w:rsidR="00D24603" w:rsidRPr="00DA141C" w:rsidRDefault="00D24603" w:rsidP="00D24603"/>
    <w:p w14:paraId="2FA024DA" w14:textId="77777777" w:rsidR="00D24603" w:rsidRDefault="00D24603" w:rsidP="00D24603">
      <w:r>
        <w:br w:type="page"/>
      </w:r>
    </w:p>
    <w:p w14:paraId="2DB28BB3" w14:textId="77777777" w:rsidR="00D24603" w:rsidRDefault="00D24603" w:rsidP="00D24603">
      <w:pPr>
        <w:keepNext/>
      </w:pPr>
      <w:r>
        <w:rPr>
          <w:noProof/>
        </w:rPr>
        <w:lastRenderedPageBreak/>
        <w:drawing>
          <wp:inline distT="0" distB="0" distL="0" distR="0" wp14:anchorId="0EFE4426" wp14:editId="4B893035">
            <wp:extent cx="5943600" cy="7429500"/>
            <wp:effectExtent l="0" t="0" r="0" b="0"/>
            <wp:docPr id="1517926863"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26863" name="Picture 1" descr="A screenshot of a graph&#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429500"/>
                    </a:xfrm>
                    <a:prstGeom prst="rect">
                      <a:avLst/>
                    </a:prstGeom>
                    <a:noFill/>
                    <a:ln>
                      <a:noFill/>
                    </a:ln>
                  </pic:spPr>
                </pic:pic>
              </a:graphicData>
            </a:graphic>
          </wp:inline>
        </w:drawing>
      </w:r>
    </w:p>
    <w:p w14:paraId="35A616F6" w14:textId="1303115A" w:rsidR="00D24603" w:rsidRDefault="00CE3D62" w:rsidP="00D24603">
      <w:r>
        <w:rPr>
          <w:b/>
          <w:bCs/>
        </w:rPr>
        <w:t xml:space="preserve">Supplementary </w:t>
      </w:r>
      <w:r w:rsidR="00D24603" w:rsidRPr="0018753D">
        <w:rPr>
          <w:b/>
          <w:bCs/>
        </w:rPr>
        <w:t xml:space="preserve">Figure </w:t>
      </w:r>
      <w:r w:rsidR="00A87FBF">
        <w:rPr>
          <w:b/>
          <w:bCs/>
        </w:rPr>
        <w:t>6</w:t>
      </w:r>
      <w:r w:rsidR="00D24603" w:rsidRPr="0018753D">
        <w:rPr>
          <w:b/>
          <w:bCs/>
        </w:rPr>
        <w:t>.</w:t>
      </w:r>
      <w:r w:rsidR="00D24603" w:rsidRPr="0018753D">
        <w:t xml:space="preserve"> Probability of cost-effectiveness for intervention scenarios at a willingness-to-pay threshold of $100,000 per QALY, stratified</w:t>
      </w:r>
      <w:r w:rsidR="00D24603" w:rsidRPr="00425BC0">
        <w:t xml:space="preserve"> by community.</w:t>
      </w:r>
    </w:p>
    <w:p w14:paraId="3FCBB967" w14:textId="77777777" w:rsidR="00D24603" w:rsidRPr="00F06B14" w:rsidRDefault="00D24603" w:rsidP="00D24603">
      <w:pPr>
        <w:rPr>
          <w:szCs w:val="20"/>
        </w:rPr>
      </w:pPr>
      <w:r w:rsidRPr="00F06B14">
        <w:rPr>
          <w:szCs w:val="20"/>
        </w:rPr>
        <w:t>Abbreviations: EBP = Evidence-Based Practice</w:t>
      </w:r>
      <w:r>
        <w:rPr>
          <w:szCs w:val="20"/>
        </w:rPr>
        <w:t>.</w:t>
      </w:r>
    </w:p>
    <w:p w14:paraId="05947CB0" w14:textId="77777777" w:rsidR="00D24603" w:rsidRDefault="00D24603" w:rsidP="00D24603"/>
    <w:p w14:paraId="2C801E5E" w14:textId="77777777" w:rsidR="00D24603" w:rsidRDefault="00D24603" w:rsidP="00D24603">
      <w:r>
        <w:br w:type="page"/>
      </w:r>
    </w:p>
    <w:p w14:paraId="4A19B8FD" w14:textId="77777777" w:rsidR="00D24603" w:rsidRDefault="00D24603" w:rsidP="00D24603">
      <w:pPr>
        <w:keepNext/>
      </w:pPr>
      <w:r>
        <w:rPr>
          <w:noProof/>
        </w:rPr>
        <w:lastRenderedPageBreak/>
        <w:drawing>
          <wp:inline distT="0" distB="0" distL="0" distR="0" wp14:anchorId="690B4941" wp14:editId="710620F2">
            <wp:extent cx="5943600" cy="7429500"/>
            <wp:effectExtent l="0" t="0" r="0" b="0"/>
            <wp:docPr id="1949016116" name="Picture 2" descr="A white sheet with many small dot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16116" name="Picture 2" descr="A white sheet with many small dots and number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429500"/>
                    </a:xfrm>
                    <a:prstGeom prst="rect">
                      <a:avLst/>
                    </a:prstGeom>
                    <a:noFill/>
                    <a:ln>
                      <a:noFill/>
                    </a:ln>
                  </pic:spPr>
                </pic:pic>
              </a:graphicData>
            </a:graphic>
          </wp:inline>
        </w:drawing>
      </w:r>
    </w:p>
    <w:p w14:paraId="57DAAEA1" w14:textId="3991D14A" w:rsidR="00D24603" w:rsidRDefault="00CE3D62" w:rsidP="00D24603">
      <w:r>
        <w:rPr>
          <w:b/>
          <w:bCs/>
        </w:rPr>
        <w:t xml:space="preserve">Supplementary </w:t>
      </w:r>
      <w:r w:rsidR="00D24603" w:rsidRPr="004C0764">
        <w:rPr>
          <w:b/>
          <w:bCs/>
        </w:rPr>
        <w:t xml:space="preserve">Figure </w:t>
      </w:r>
      <w:r w:rsidR="00A87FBF">
        <w:rPr>
          <w:b/>
          <w:bCs/>
        </w:rPr>
        <w:t>7</w:t>
      </w:r>
      <w:r w:rsidR="00D24603" w:rsidRPr="004C0764">
        <w:rPr>
          <w:b/>
          <w:bCs/>
        </w:rPr>
        <w:t>.</w:t>
      </w:r>
      <w:r w:rsidR="00D24603" w:rsidRPr="005C0004">
        <w:t xml:space="preserve"> Expected loss for intervention scenarios at a willingness-to-pay threshold of $100,000 per</w:t>
      </w:r>
      <w:r w:rsidR="00D24603" w:rsidRPr="008F5265">
        <w:t xml:space="preserve"> QALY, stratified by community.</w:t>
      </w:r>
    </w:p>
    <w:p w14:paraId="7B6A45D4" w14:textId="77777777" w:rsidR="00D24603" w:rsidRPr="00F06B14" w:rsidRDefault="00D24603" w:rsidP="00D24603">
      <w:pPr>
        <w:rPr>
          <w:szCs w:val="20"/>
        </w:rPr>
      </w:pPr>
      <w:r w:rsidRPr="00F06B14">
        <w:rPr>
          <w:szCs w:val="20"/>
        </w:rPr>
        <w:t>Abbreviations: EBP = Evidence-Based Practice</w:t>
      </w:r>
      <w:r>
        <w:rPr>
          <w:szCs w:val="20"/>
        </w:rPr>
        <w:t>.</w:t>
      </w:r>
    </w:p>
    <w:p w14:paraId="3705D312" w14:textId="77777777" w:rsidR="00D24603" w:rsidRPr="00F06B14" w:rsidRDefault="00D24603" w:rsidP="00D24603">
      <w:pPr>
        <w:rPr>
          <w:szCs w:val="20"/>
        </w:rPr>
      </w:pPr>
      <w:r>
        <w:rPr>
          <w:szCs w:val="20"/>
        </w:rPr>
        <w:t>C</w:t>
      </w:r>
      <w:r w:rsidRPr="00F06B14">
        <w:rPr>
          <w:szCs w:val="20"/>
        </w:rPr>
        <w:t xml:space="preserve">ommunities are in order of decreasing OUD prevalence in the </w:t>
      </w:r>
      <w:r>
        <w:rPr>
          <w:szCs w:val="20"/>
        </w:rPr>
        <w:t>“</w:t>
      </w:r>
      <w:r w:rsidRPr="00F06B14">
        <w:rPr>
          <w:szCs w:val="20"/>
        </w:rPr>
        <w:t xml:space="preserve">Maintain </w:t>
      </w:r>
      <w:r>
        <w:rPr>
          <w:szCs w:val="20"/>
        </w:rPr>
        <w:t xml:space="preserve">2024 </w:t>
      </w:r>
      <w:r w:rsidRPr="00F06B14">
        <w:rPr>
          <w:szCs w:val="20"/>
        </w:rPr>
        <w:t xml:space="preserve">EBP </w:t>
      </w:r>
      <w:r>
        <w:rPr>
          <w:szCs w:val="20"/>
        </w:rPr>
        <w:t>L</w:t>
      </w:r>
      <w:r w:rsidRPr="00F06B14">
        <w:rPr>
          <w:szCs w:val="20"/>
        </w:rPr>
        <w:t>evels</w:t>
      </w:r>
      <w:r>
        <w:rPr>
          <w:szCs w:val="20"/>
        </w:rPr>
        <w:t>”</w:t>
      </w:r>
      <w:r w:rsidRPr="00F06B14">
        <w:rPr>
          <w:szCs w:val="20"/>
        </w:rPr>
        <w:t xml:space="preserve"> scenario</w:t>
      </w:r>
      <w:r>
        <w:rPr>
          <w:szCs w:val="20"/>
        </w:rPr>
        <w:t>.</w:t>
      </w:r>
    </w:p>
    <w:p w14:paraId="757F3985" w14:textId="3C376D32" w:rsidR="00CE3D62" w:rsidRDefault="00CE3D62" w:rsidP="00D24603">
      <w:r>
        <w:br w:type="page"/>
      </w:r>
    </w:p>
    <w:p w14:paraId="57B786EB" w14:textId="07C7BB93" w:rsidR="00012ADF" w:rsidRPr="00363E8B" w:rsidRDefault="00012ADF" w:rsidP="00363E8B">
      <w:pPr>
        <w:pStyle w:val="Heading1"/>
        <w:rPr>
          <w:highlight w:val="lightGray"/>
        </w:rPr>
      </w:pPr>
      <w:bookmarkStart w:id="49" w:name="_Toc206681002"/>
      <w:bookmarkStart w:id="50" w:name="_Toc226020694"/>
      <w:r w:rsidRPr="00363E8B">
        <w:lastRenderedPageBreak/>
        <w:t>R</w:t>
      </w:r>
      <w:r w:rsidR="00363E8B" w:rsidRPr="00363E8B">
        <w:t>eferences</w:t>
      </w:r>
      <w:bookmarkEnd w:id="49"/>
      <w:bookmarkEnd w:id="50"/>
    </w:p>
    <w:p w14:paraId="19FAF38E" w14:textId="77777777" w:rsidR="0037266D" w:rsidRPr="0037266D" w:rsidRDefault="00012ADF" w:rsidP="0037266D">
      <w:pPr>
        <w:pStyle w:val="EndNoteBibliography"/>
        <w:spacing w:after="0"/>
        <w:rPr>
          <w:noProof/>
        </w:rPr>
      </w:pPr>
      <w:r w:rsidRPr="00363E8B">
        <w:rPr>
          <w:rFonts w:ascii="Times New Roman" w:hAnsi="Times New Roman" w:cs="Times New Roman"/>
          <w:sz w:val="20"/>
          <w:szCs w:val="20"/>
          <w:highlight w:val="lightGray"/>
        </w:rPr>
        <w:fldChar w:fldCharType="begin"/>
      </w:r>
      <w:r w:rsidRPr="00363E8B">
        <w:rPr>
          <w:rFonts w:ascii="Times New Roman" w:hAnsi="Times New Roman" w:cs="Times New Roman"/>
          <w:sz w:val="20"/>
          <w:szCs w:val="20"/>
          <w:highlight w:val="lightGray"/>
        </w:rPr>
        <w:instrText xml:space="preserve"> ADDIN EN.REFLIST </w:instrText>
      </w:r>
      <w:r w:rsidRPr="00363E8B">
        <w:rPr>
          <w:rFonts w:ascii="Times New Roman" w:hAnsi="Times New Roman" w:cs="Times New Roman"/>
          <w:sz w:val="20"/>
          <w:szCs w:val="20"/>
          <w:highlight w:val="lightGray"/>
        </w:rPr>
        <w:fldChar w:fldCharType="separate"/>
      </w:r>
      <w:r w:rsidR="0037266D" w:rsidRPr="0037266D">
        <w:rPr>
          <w:noProof/>
        </w:rPr>
        <w:t>1.</w:t>
      </w:r>
      <w:r w:rsidR="0037266D" w:rsidRPr="0037266D">
        <w:rPr>
          <w:noProof/>
        </w:rPr>
        <w:tab/>
        <w:t xml:space="preserve">HEALing Communities Study Consortium. The HEALing (Helping to End Addiction Long-term (SM)) Communities Study: Protocol for a cluster randomized trial at the community level to reduce opioid overdose deaths through implementation of an integrated set of evidence-based practices. </w:t>
      </w:r>
      <w:r w:rsidR="0037266D" w:rsidRPr="0037266D">
        <w:rPr>
          <w:i/>
          <w:noProof/>
        </w:rPr>
        <w:t>Drug and alcohol dependence</w:t>
      </w:r>
      <w:r w:rsidR="0037266D" w:rsidRPr="0037266D">
        <w:rPr>
          <w:noProof/>
        </w:rPr>
        <w:t>. Dec 1 2020;217:108335. doi:10.1016/j.drugalcdep.2020.108335</w:t>
      </w:r>
    </w:p>
    <w:p w14:paraId="4D3EB91F" w14:textId="545700A3" w:rsidR="0037266D" w:rsidRPr="0037266D" w:rsidRDefault="0037266D" w:rsidP="0037266D">
      <w:pPr>
        <w:pStyle w:val="EndNoteBibliography"/>
        <w:spacing w:after="0"/>
        <w:rPr>
          <w:noProof/>
        </w:rPr>
      </w:pPr>
      <w:r w:rsidRPr="0037266D">
        <w:rPr>
          <w:noProof/>
        </w:rPr>
        <w:t>2.</w:t>
      </w:r>
      <w:r w:rsidRPr="0037266D">
        <w:rPr>
          <w:noProof/>
        </w:rPr>
        <w:tab/>
        <w:t xml:space="preserve">US Food and Drug Administration. Information about Medication-Assisted Treatment (MAT). Accessed March, 2024. </w:t>
      </w:r>
      <w:hyperlink r:id="rId23" w:history="1">
        <w:r w:rsidRPr="0037266D">
          <w:rPr>
            <w:rStyle w:val="Hyperlink"/>
            <w:noProof/>
          </w:rPr>
          <w:t>https://www.fda.gov/drugs/information-drug-class/information-about-medication-assisted-treatment-mat</w:t>
        </w:r>
      </w:hyperlink>
    </w:p>
    <w:p w14:paraId="0633CE72" w14:textId="77777777" w:rsidR="0037266D" w:rsidRPr="0037266D" w:rsidRDefault="0037266D" w:rsidP="0037266D">
      <w:pPr>
        <w:pStyle w:val="EndNoteBibliography"/>
        <w:spacing w:after="0"/>
        <w:rPr>
          <w:noProof/>
        </w:rPr>
      </w:pPr>
      <w:r w:rsidRPr="0037266D">
        <w:rPr>
          <w:noProof/>
        </w:rPr>
        <w:t>3.</w:t>
      </w:r>
      <w:r w:rsidRPr="0037266D">
        <w:rPr>
          <w:noProof/>
        </w:rPr>
        <w:tab/>
        <w:t>Dowd WN, Chen Q, Chhatwal J, et al. Estimating Community-Level Prevalence of Opioid Use Disorder: Extrapolating from Medicaid Claims Data. . 2023</w:t>
      </w:r>
    </w:p>
    <w:p w14:paraId="7E804015" w14:textId="7635D5F1" w:rsidR="0037266D" w:rsidRPr="0037266D" w:rsidRDefault="0037266D" w:rsidP="0037266D">
      <w:pPr>
        <w:pStyle w:val="EndNoteBibliography"/>
        <w:spacing w:after="0"/>
        <w:rPr>
          <w:noProof/>
        </w:rPr>
      </w:pPr>
      <w:r w:rsidRPr="0037266D">
        <w:rPr>
          <w:noProof/>
        </w:rPr>
        <w:t>4.</w:t>
      </w:r>
      <w:r w:rsidRPr="0037266D">
        <w:rPr>
          <w:noProof/>
        </w:rPr>
        <w:tab/>
        <w:t xml:space="preserve">Substance Abuse and Mental Health Services Administration (SAMHSA). National Survey on Drug Use and Health. </w:t>
      </w:r>
      <w:hyperlink r:id="rId24" w:history="1">
        <w:r w:rsidRPr="0037266D">
          <w:rPr>
            <w:rStyle w:val="Hyperlink"/>
            <w:noProof/>
          </w:rPr>
          <w:t>https://www.samhsa.gov/data/data-we-collect/nsduh-national-survey-drug-use-and-health</w:t>
        </w:r>
      </w:hyperlink>
    </w:p>
    <w:p w14:paraId="3D232C01" w14:textId="77777777" w:rsidR="0037266D" w:rsidRPr="0037266D" w:rsidRDefault="0037266D" w:rsidP="0037266D">
      <w:pPr>
        <w:pStyle w:val="EndNoteBibliography"/>
        <w:spacing w:after="0"/>
        <w:rPr>
          <w:noProof/>
        </w:rPr>
      </w:pPr>
      <w:r w:rsidRPr="0037266D">
        <w:rPr>
          <w:noProof/>
        </w:rPr>
        <w:t>5.</w:t>
      </w:r>
      <w:r w:rsidRPr="0037266D">
        <w:rPr>
          <w:noProof/>
        </w:rPr>
        <w:tab/>
        <w:t xml:space="preserve">Chadd A, Silvola R, Vorontsova Y, et al. Development of a Natural Language Processing Machine to Enhance Identification of Opioid Use Disorder in Electronic Health Records. </w:t>
      </w:r>
      <w:r w:rsidRPr="0037266D">
        <w:rPr>
          <w:i/>
          <w:noProof/>
        </w:rPr>
        <w:t>Proceedings of IMPRS</w:t>
      </w:r>
      <w:r w:rsidRPr="0037266D">
        <w:rPr>
          <w:noProof/>
        </w:rPr>
        <w:t>. 2021;4(1)</w:t>
      </w:r>
    </w:p>
    <w:p w14:paraId="29C9EA1B" w14:textId="77777777" w:rsidR="0037266D" w:rsidRPr="0037266D" w:rsidRDefault="0037266D" w:rsidP="0037266D">
      <w:pPr>
        <w:pStyle w:val="EndNoteBibliography"/>
        <w:spacing w:after="0"/>
        <w:rPr>
          <w:noProof/>
        </w:rPr>
      </w:pPr>
      <w:r w:rsidRPr="0037266D">
        <w:rPr>
          <w:noProof/>
        </w:rPr>
        <w:t>6.</w:t>
      </w:r>
      <w:r w:rsidRPr="0037266D">
        <w:rPr>
          <w:noProof/>
        </w:rPr>
        <w:tab/>
        <w:t xml:space="preserve">Ranapurwala SI, Alam IZ, Pence BW, et al. Development and validation of an electronic health records-based opioid use disorder algorithm by expert clinical adjudication among patients with prescribed opioids. </w:t>
      </w:r>
      <w:r w:rsidRPr="0037266D">
        <w:rPr>
          <w:i/>
          <w:noProof/>
        </w:rPr>
        <w:t>Pharmacoepidemiol Drug Saf</w:t>
      </w:r>
      <w:r w:rsidRPr="0037266D">
        <w:rPr>
          <w:noProof/>
        </w:rPr>
        <w:t>. May 2023;32(5):577–585. doi:10.1002/pds.5591</w:t>
      </w:r>
    </w:p>
    <w:p w14:paraId="48276D2E" w14:textId="3D50A0D4" w:rsidR="0037266D" w:rsidRPr="0037266D" w:rsidRDefault="0037266D" w:rsidP="0037266D">
      <w:pPr>
        <w:pStyle w:val="EndNoteBibliography"/>
        <w:spacing w:after="0"/>
        <w:rPr>
          <w:noProof/>
        </w:rPr>
      </w:pPr>
      <w:r w:rsidRPr="0037266D">
        <w:rPr>
          <w:noProof/>
        </w:rPr>
        <w:t>7.</w:t>
      </w:r>
      <w:r w:rsidRPr="0037266D">
        <w:rPr>
          <w:noProof/>
        </w:rPr>
        <w:tab/>
        <w:t xml:space="preserve">Substance Abuse and Mental Health Services Administration (SAMHSA). National Survey on Drug Use and Health: 4-Year RDAS (2015 to 2018). Accessed April 18 2023. </w:t>
      </w:r>
      <w:hyperlink r:id="rId25" w:anchor="/survey/NSDUH-2015-2018-RD04YR/" w:history="1">
        <w:r w:rsidRPr="0037266D">
          <w:rPr>
            <w:rStyle w:val="Hyperlink"/>
            <w:noProof/>
          </w:rPr>
          <w:t>https://rdas.samhsa.gov/#/survey/NSDUH-2015-2018-RD04YR/</w:t>
        </w:r>
      </w:hyperlink>
      <w:r w:rsidRPr="0037266D">
        <w:rPr>
          <w:noProof/>
        </w:rPr>
        <w:t>.</w:t>
      </w:r>
    </w:p>
    <w:p w14:paraId="21559B75" w14:textId="259AB9D8" w:rsidR="0037266D" w:rsidRPr="0037266D" w:rsidRDefault="0037266D" w:rsidP="0037266D">
      <w:pPr>
        <w:pStyle w:val="EndNoteBibliography"/>
        <w:spacing w:after="0"/>
        <w:rPr>
          <w:noProof/>
        </w:rPr>
      </w:pPr>
      <w:r w:rsidRPr="0037266D">
        <w:rPr>
          <w:noProof/>
        </w:rPr>
        <w:t>8.</w:t>
      </w:r>
      <w:r w:rsidRPr="0037266D">
        <w:rPr>
          <w:noProof/>
        </w:rPr>
        <w:tab/>
        <w:t xml:space="preserve">Substance Abuse and Mental Health Services Administration (SAMHSA). National Survey on Drug Use and Health. Accessed May 7, 2023. </w:t>
      </w:r>
      <w:hyperlink r:id="rId26" w:history="1">
        <w:r w:rsidRPr="0037266D">
          <w:rPr>
            <w:rStyle w:val="Hyperlink"/>
            <w:noProof/>
          </w:rPr>
          <w:t>https://www.samhsa.gov/data/data-we-collect/nsduh-national-survey-drug-use-and-health</w:t>
        </w:r>
      </w:hyperlink>
    </w:p>
    <w:p w14:paraId="0656272C" w14:textId="74545601" w:rsidR="0037266D" w:rsidRPr="0037266D" w:rsidRDefault="0037266D" w:rsidP="0037266D">
      <w:pPr>
        <w:pStyle w:val="EndNoteBibliography"/>
        <w:spacing w:after="0"/>
        <w:rPr>
          <w:noProof/>
        </w:rPr>
      </w:pPr>
      <w:r w:rsidRPr="0037266D">
        <w:rPr>
          <w:noProof/>
        </w:rPr>
        <w:t>9.</w:t>
      </w:r>
      <w:r w:rsidRPr="0037266D">
        <w:rPr>
          <w:noProof/>
        </w:rPr>
        <w:tab/>
        <w:t xml:space="preserve">Substance Abuse and Mental Health Services Administration (SAMHSA). 2016-2018 NSDUH substate region estimates - Tables. Substance Abuse and Mental Health Services Administration. Accessed Jan 17, 2023. </w:t>
      </w:r>
      <w:hyperlink r:id="rId27" w:history="1">
        <w:r w:rsidRPr="0037266D">
          <w:rPr>
            <w:rStyle w:val="Hyperlink"/>
            <w:noProof/>
          </w:rPr>
          <w:t>https://www.samhsa.gov/data/report/2016-2018-nsduh-substate-region-estimates-tables</w:t>
        </w:r>
      </w:hyperlink>
    </w:p>
    <w:p w14:paraId="5FC5D774" w14:textId="249693C5" w:rsidR="0037266D" w:rsidRPr="0037266D" w:rsidRDefault="0037266D" w:rsidP="0037266D">
      <w:pPr>
        <w:pStyle w:val="EndNoteBibliography"/>
        <w:spacing w:after="0"/>
        <w:rPr>
          <w:noProof/>
        </w:rPr>
      </w:pPr>
      <w:r w:rsidRPr="0037266D">
        <w:rPr>
          <w:noProof/>
        </w:rPr>
        <w:t>10.</w:t>
      </w:r>
      <w:r w:rsidRPr="0037266D">
        <w:rPr>
          <w:noProof/>
        </w:rPr>
        <w:tab/>
        <w:t xml:space="preserve">Substance Abuse and Mental Health Services Administration (SAMHSA). National survey on drug use and health: 2-year RDAS (2016 to 2017) [Data set]. Substance Abuse and Mental Health Data Archive. Accessed Jan 17, 2023. </w:t>
      </w:r>
      <w:hyperlink r:id="rId28" w:anchor="/survey/NSDUH-2016-2017-RD02YR" w:history="1">
        <w:r w:rsidRPr="0037266D">
          <w:rPr>
            <w:rStyle w:val="Hyperlink"/>
            <w:noProof/>
          </w:rPr>
          <w:t>https://rdas.samhsa.gov/#/survey/NSDUH-2016-2017-RD02YR</w:t>
        </w:r>
      </w:hyperlink>
    </w:p>
    <w:p w14:paraId="47B4D57B" w14:textId="51A9A000" w:rsidR="0037266D" w:rsidRPr="0037266D" w:rsidRDefault="0037266D" w:rsidP="0037266D">
      <w:pPr>
        <w:pStyle w:val="EndNoteBibliography"/>
        <w:spacing w:after="0"/>
        <w:rPr>
          <w:noProof/>
        </w:rPr>
      </w:pPr>
      <w:r w:rsidRPr="0037266D">
        <w:rPr>
          <w:noProof/>
        </w:rPr>
        <w:t>11.</w:t>
      </w:r>
      <w:r w:rsidRPr="0037266D">
        <w:rPr>
          <w:noProof/>
        </w:rPr>
        <w:tab/>
        <w:t xml:space="preserve">Substance Abuse and Mental Health Services Administration (SAMHSA). National survey on drug use and health: 2-year RDAS (2017 to 2018) [Data set]. Substance Abuse and Mental Health Data Archive. Accessed Jan 17, 2023. </w:t>
      </w:r>
      <w:hyperlink r:id="rId29" w:anchor="/survey/NSDUH-2017-2018-RD02YR" w:history="1">
        <w:r w:rsidRPr="0037266D">
          <w:rPr>
            <w:rStyle w:val="Hyperlink"/>
            <w:noProof/>
          </w:rPr>
          <w:t>https://rdas.samhsa.gov/#/survey/NSDUH-2017-2018-RD02YR</w:t>
        </w:r>
      </w:hyperlink>
    </w:p>
    <w:p w14:paraId="1BFAE0C6" w14:textId="124248ED" w:rsidR="0037266D" w:rsidRPr="0037266D" w:rsidRDefault="0037266D" w:rsidP="0037266D">
      <w:pPr>
        <w:pStyle w:val="EndNoteBibliography"/>
        <w:spacing w:after="0"/>
        <w:rPr>
          <w:noProof/>
        </w:rPr>
      </w:pPr>
      <w:r w:rsidRPr="0037266D">
        <w:rPr>
          <w:noProof/>
        </w:rPr>
        <w:t>12.</w:t>
      </w:r>
      <w:r w:rsidRPr="0037266D">
        <w:rPr>
          <w:noProof/>
        </w:rPr>
        <w:tab/>
        <w:t xml:space="preserve">Substance Abuse and Mental Health Services Administration (SAMHSA). National survey on drug use and health: 2-year RDAS (2016 to 2017) [Data set]. Substance Abuse and Mental Health Data Archive. Accessed Jan 17, 2023. </w:t>
      </w:r>
      <w:hyperlink r:id="rId30" w:anchor="/survey/NSDUH-2016-2017-RD02YR" w:history="1">
        <w:r w:rsidRPr="0037266D">
          <w:rPr>
            <w:rStyle w:val="Hyperlink"/>
            <w:noProof/>
          </w:rPr>
          <w:t>https://rdas.samhsa.gov/#/survey/NSDUH-2016-2017-RD02YR</w:t>
        </w:r>
      </w:hyperlink>
    </w:p>
    <w:p w14:paraId="3BA07260" w14:textId="2011E6F1" w:rsidR="0037266D" w:rsidRPr="0037266D" w:rsidRDefault="0037266D" w:rsidP="0037266D">
      <w:pPr>
        <w:pStyle w:val="EndNoteBibliography"/>
        <w:spacing w:after="0"/>
        <w:rPr>
          <w:noProof/>
        </w:rPr>
      </w:pPr>
      <w:r w:rsidRPr="0037266D">
        <w:rPr>
          <w:noProof/>
        </w:rPr>
        <w:t>13.</w:t>
      </w:r>
      <w:r w:rsidRPr="0037266D">
        <w:rPr>
          <w:noProof/>
        </w:rPr>
        <w:tab/>
        <w:t xml:space="preserve">Substance Abuse and Mental Health Services Administration (SAMHSA). National survey on drug use and health: 2-year RDAS (2017 to 2018) [Data set]. Substance Abuse and Mental Health Data Archive. Accessed Jan 17, 2023. </w:t>
      </w:r>
      <w:hyperlink r:id="rId31" w:anchor="/survey/NSDUH-2017-2018-RD02YR" w:history="1">
        <w:r w:rsidRPr="0037266D">
          <w:rPr>
            <w:rStyle w:val="Hyperlink"/>
            <w:noProof/>
          </w:rPr>
          <w:t>https://rdas.samhsa.gov/#/survey/NSDUH-2017-2018-RD02YR</w:t>
        </w:r>
      </w:hyperlink>
    </w:p>
    <w:p w14:paraId="5F417514" w14:textId="77777777" w:rsidR="0037266D" w:rsidRPr="0037266D" w:rsidRDefault="0037266D" w:rsidP="0037266D">
      <w:pPr>
        <w:pStyle w:val="EndNoteBibliography"/>
        <w:spacing w:after="0"/>
        <w:rPr>
          <w:noProof/>
        </w:rPr>
      </w:pPr>
      <w:r w:rsidRPr="0037266D">
        <w:rPr>
          <w:noProof/>
        </w:rPr>
        <w:t>14.</w:t>
      </w:r>
      <w:r w:rsidRPr="0037266D">
        <w:rPr>
          <w:noProof/>
        </w:rPr>
        <w:tab/>
        <w:t xml:space="preserve">Keyes KM, Rutherford C, Hamilton A, et al. What is the prevalence of and trend in opioid use disorder in the United States from 2010 to 2019? Using multiplier approaches to estimate prevalence for an unknown population size. </w:t>
      </w:r>
      <w:r w:rsidRPr="0037266D">
        <w:rPr>
          <w:i/>
          <w:noProof/>
        </w:rPr>
        <w:t>Drug Alcohol Depend Rep</w:t>
      </w:r>
      <w:r w:rsidRPr="0037266D">
        <w:rPr>
          <w:noProof/>
        </w:rPr>
        <w:t>. Jun 2022;3doi:10.1016/j.dadr.2022.100052</w:t>
      </w:r>
    </w:p>
    <w:p w14:paraId="6658DB9C" w14:textId="77777777" w:rsidR="0037266D" w:rsidRPr="0037266D" w:rsidRDefault="0037266D" w:rsidP="0037266D">
      <w:pPr>
        <w:pStyle w:val="EndNoteBibliography"/>
        <w:spacing w:after="0"/>
        <w:rPr>
          <w:noProof/>
        </w:rPr>
      </w:pPr>
      <w:r w:rsidRPr="0037266D">
        <w:rPr>
          <w:noProof/>
        </w:rPr>
        <w:t>15.</w:t>
      </w:r>
      <w:r w:rsidRPr="0037266D">
        <w:rPr>
          <w:noProof/>
        </w:rPr>
        <w:tab/>
        <w:t xml:space="preserve">Mojtabai R. Estimating the Prevalence of Substance Use Disorders in the US Using the Benchmark Multiplier Method. </w:t>
      </w:r>
      <w:r w:rsidRPr="0037266D">
        <w:rPr>
          <w:i/>
          <w:noProof/>
        </w:rPr>
        <w:t>JAMA Psychiatry</w:t>
      </w:r>
      <w:r w:rsidRPr="0037266D">
        <w:rPr>
          <w:noProof/>
        </w:rPr>
        <w:t>. Nov 1 2022;79(11):1074–1080. doi:10.1001/jamapsychiatry.2022.2756</w:t>
      </w:r>
    </w:p>
    <w:p w14:paraId="1660B96D" w14:textId="77777777" w:rsidR="0037266D" w:rsidRPr="0037266D" w:rsidRDefault="0037266D" w:rsidP="0037266D">
      <w:pPr>
        <w:pStyle w:val="EndNoteBibliography"/>
        <w:spacing w:after="0"/>
        <w:rPr>
          <w:noProof/>
        </w:rPr>
      </w:pPr>
      <w:r w:rsidRPr="0037266D">
        <w:rPr>
          <w:noProof/>
        </w:rPr>
        <w:t>16.</w:t>
      </w:r>
      <w:r w:rsidRPr="0037266D">
        <w:rPr>
          <w:noProof/>
        </w:rPr>
        <w:tab/>
        <w:t xml:space="preserve">Chhatwal J, Mueller PP, Chen Q, et al. Estimated Reductions in Opioid Overdose Deaths With Sustainment of Public Health Interventions in 4 US States. </w:t>
      </w:r>
      <w:r w:rsidRPr="0037266D">
        <w:rPr>
          <w:i/>
          <w:noProof/>
        </w:rPr>
        <w:t>JAMA Netw Open</w:t>
      </w:r>
      <w:r w:rsidRPr="0037266D">
        <w:rPr>
          <w:noProof/>
        </w:rPr>
        <w:t>. Jun 1 2023;6(6):e2314925. doi:10.1001/jamanetworkopen.2023.14925</w:t>
      </w:r>
    </w:p>
    <w:p w14:paraId="2CE64F9F" w14:textId="39BCA071" w:rsidR="0037266D" w:rsidRPr="0037266D" w:rsidRDefault="0037266D" w:rsidP="0037266D">
      <w:pPr>
        <w:pStyle w:val="EndNoteBibliography"/>
        <w:spacing w:after="0"/>
        <w:rPr>
          <w:noProof/>
        </w:rPr>
      </w:pPr>
      <w:r w:rsidRPr="0037266D">
        <w:rPr>
          <w:noProof/>
        </w:rPr>
        <w:t>17.</w:t>
      </w:r>
      <w:r w:rsidRPr="0037266D">
        <w:rPr>
          <w:noProof/>
        </w:rPr>
        <w:tab/>
        <w:t xml:space="preserve">United States Census Bureau. American Community Survey Data Profiles. Accessed January 17, 2024. </w:t>
      </w:r>
      <w:hyperlink r:id="rId32" w:history="1">
        <w:r w:rsidRPr="0037266D">
          <w:rPr>
            <w:rStyle w:val="Hyperlink"/>
            <w:noProof/>
          </w:rPr>
          <w:t>https://www.census.gov/acs/www/data/data-tables-and-tools/data-profiles/</w:t>
        </w:r>
      </w:hyperlink>
    </w:p>
    <w:p w14:paraId="232F06EA" w14:textId="54246FF4" w:rsidR="0037266D" w:rsidRPr="0037266D" w:rsidRDefault="0037266D" w:rsidP="0037266D">
      <w:pPr>
        <w:pStyle w:val="EndNoteBibliography"/>
        <w:spacing w:after="0"/>
        <w:rPr>
          <w:noProof/>
        </w:rPr>
      </w:pPr>
      <w:r w:rsidRPr="0037266D">
        <w:rPr>
          <w:noProof/>
        </w:rPr>
        <w:t>18.</w:t>
      </w:r>
      <w:r w:rsidRPr="0037266D">
        <w:rPr>
          <w:noProof/>
        </w:rPr>
        <w:tab/>
        <w:t xml:space="preserve">CDC WONDER. Multiple cause of death 1999-2020. Accessed Jan 1, 2024. </w:t>
      </w:r>
      <w:hyperlink r:id="rId33" w:history="1">
        <w:r w:rsidRPr="0037266D">
          <w:rPr>
            <w:rStyle w:val="Hyperlink"/>
            <w:noProof/>
          </w:rPr>
          <w:t>http://wonder.cdc.gov/mcd-icd10.html</w:t>
        </w:r>
      </w:hyperlink>
    </w:p>
    <w:p w14:paraId="1E51B8BD" w14:textId="77777777" w:rsidR="0037266D" w:rsidRPr="0037266D" w:rsidRDefault="0037266D" w:rsidP="0037266D">
      <w:pPr>
        <w:pStyle w:val="EndNoteBibliography"/>
        <w:spacing w:after="0"/>
        <w:rPr>
          <w:noProof/>
        </w:rPr>
      </w:pPr>
      <w:r w:rsidRPr="0037266D">
        <w:rPr>
          <w:noProof/>
        </w:rPr>
        <w:t>19.</w:t>
      </w:r>
      <w:r w:rsidRPr="0037266D">
        <w:rPr>
          <w:noProof/>
        </w:rPr>
        <w:tab/>
        <w:t xml:space="preserve">Morgan JR, Schackman BR, Leff JA, Linas BP, Walley AY. Injectable naltrexone, oral naltrexone, and buprenorphine utilization and discontinuation among individuals treated for opioid use disorder in a United States commercially insured population. </w:t>
      </w:r>
      <w:r w:rsidRPr="0037266D">
        <w:rPr>
          <w:i/>
          <w:noProof/>
        </w:rPr>
        <w:t>Journal of substance abuse treatment</w:t>
      </w:r>
      <w:r w:rsidRPr="0037266D">
        <w:rPr>
          <w:noProof/>
        </w:rPr>
        <w:t xml:space="preserve">. 2018;85:90–96. </w:t>
      </w:r>
    </w:p>
    <w:p w14:paraId="7467DECE" w14:textId="77777777" w:rsidR="0037266D" w:rsidRPr="0037266D" w:rsidRDefault="0037266D" w:rsidP="0037266D">
      <w:pPr>
        <w:pStyle w:val="EndNoteBibliography"/>
        <w:spacing w:after="0"/>
        <w:rPr>
          <w:noProof/>
        </w:rPr>
      </w:pPr>
      <w:r w:rsidRPr="0037266D">
        <w:rPr>
          <w:noProof/>
        </w:rPr>
        <w:lastRenderedPageBreak/>
        <w:t>20.</w:t>
      </w:r>
      <w:r w:rsidRPr="0037266D">
        <w:rPr>
          <w:noProof/>
        </w:rPr>
        <w:tab/>
        <w:t xml:space="preserve">Nosyk B, Li L, Evans E, et al. Utilization and outcomes of detoxification and maintenance treatment for opioid dependence in publicly-funded facilities in California, USA: 1991–2012. </w:t>
      </w:r>
      <w:r w:rsidRPr="0037266D">
        <w:rPr>
          <w:i/>
          <w:noProof/>
        </w:rPr>
        <w:t>Drug and alcohol dependence</w:t>
      </w:r>
      <w:r w:rsidRPr="0037266D">
        <w:rPr>
          <w:noProof/>
        </w:rPr>
        <w:t xml:space="preserve">. 2014;143:149–157. </w:t>
      </w:r>
    </w:p>
    <w:p w14:paraId="6BAC5197" w14:textId="77777777" w:rsidR="0037266D" w:rsidRPr="0037266D" w:rsidRDefault="0037266D" w:rsidP="0037266D">
      <w:pPr>
        <w:pStyle w:val="EndNoteBibliography"/>
        <w:spacing w:after="0"/>
        <w:rPr>
          <w:noProof/>
        </w:rPr>
      </w:pPr>
      <w:r w:rsidRPr="0037266D">
        <w:rPr>
          <w:noProof/>
        </w:rPr>
        <w:t>21.</w:t>
      </w:r>
      <w:r w:rsidRPr="0037266D">
        <w:rPr>
          <w:noProof/>
        </w:rPr>
        <w:tab/>
        <w:t xml:space="preserve">Krebs E, Enns B, Evans E, et al. Cost-effectiveness of publicly funded treatment of opioid use disorder in California. </w:t>
      </w:r>
      <w:r w:rsidRPr="0037266D">
        <w:rPr>
          <w:i/>
          <w:noProof/>
        </w:rPr>
        <w:t>Annals of internal medicine</w:t>
      </w:r>
      <w:r w:rsidRPr="0037266D">
        <w:rPr>
          <w:noProof/>
        </w:rPr>
        <w:t xml:space="preserve">. 2018;168(1):10–19. </w:t>
      </w:r>
    </w:p>
    <w:p w14:paraId="4B97BA7A" w14:textId="77777777" w:rsidR="0037266D" w:rsidRPr="0037266D" w:rsidRDefault="0037266D" w:rsidP="0037266D">
      <w:pPr>
        <w:pStyle w:val="EndNoteBibliography"/>
        <w:spacing w:after="0"/>
        <w:rPr>
          <w:noProof/>
        </w:rPr>
      </w:pPr>
      <w:r w:rsidRPr="0037266D">
        <w:rPr>
          <w:noProof/>
        </w:rPr>
        <w:t>22.</w:t>
      </w:r>
      <w:r w:rsidRPr="0037266D">
        <w:rPr>
          <w:noProof/>
        </w:rPr>
        <w:tab/>
        <w:t xml:space="preserve">Fleury M-J, Djouini A, Huỳnh C, et al. Remission from substance use disorders: A systematic review and meta-analysis. </w:t>
      </w:r>
      <w:r w:rsidRPr="0037266D">
        <w:rPr>
          <w:i/>
          <w:noProof/>
        </w:rPr>
        <w:t>Drug and alcohol dependence</w:t>
      </w:r>
      <w:r w:rsidRPr="0037266D">
        <w:rPr>
          <w:noProof/>
        </w:rPr>
        <w:t xml:space="preserve">. 2016;168:293–306. </w:t>
      </w:r>
    </w:p>
    <w:p w14:paraId="3A8AC76D" w14:textId="77777777" w:rsidR="0037266D" w:rsidRPr="0037266D" w:rsidRDefault="0037266D" w:rsidP="0037266D">
      <w:pPr>
        <w:pStyle w:val="EndNoteBibliography"/>
        <w:spacing w:after="0"/>
        <w:rPr>
          <w:noProof/>
        </w:rPr>
      </w:pPr>
      <w:r w:rsidRPr="0037266D">
        <w:rPr>
          <w:noProof/>
        </w:rPr>
        <w:t>23.</w:t>
      </w:r>
      <w:r w:rsidRPr="0037266D">
        <w:rPr>
          <w:noProof/>
        </w:rPr>
        <w:tab/>
        <w:t xml:space="preserve">Krebs E, Enns B, Evans E, et al. Cost-Effectiveness of Publicly Funded Treatment of Opioid Use Disorder in California. </w:t>
      </w:r>
      <w:r w:rsidRPr="0037266D">
        <w:rPr>
          <w:i/>
          <w:noProof/>
        </w:rPr>
        <w:t>Ann Intern Med</w:t>
      </w:r>
      <w:r w:rsidRPr="0037266D">
        <w:rPr>
          <w:noProof/>
        </w:rPr>
        <w:t>. Jan 2 2018;168(1):10–19. doi:10.7326/m17-0611</w:t>
      </w:r>
    </w:p>
    <w:p w14:paraId="262965C9" w14:textId="77777777" w:rsidR="0037266D" w:rsidRPr="0037266D" w:rsidRDefault="0037266D" w:rsidP="0037266D">
      <w:pPr>
        <w:pStyle w:val="EndNoteBibliography"/>
        <w:spacing w:after="0"/>
        <w:rPr>
          <w:noProof/>
        </w:rPr>
      </w:pPr>
      <w:r w:rsidRPr="0037266D">
        <w:rPr>
          <w:noProof/>
        </w:rPr>
        <w:t>24.</w:t>
      </w:r>
      <w:r w:rsidRPr="0037266D">
        <w:rPr>
          <w:noProof/>
        </w:rPr>
        <w:tab/>
        <w:t xml:space="preserve">Nosyk B, Guh DP, Bansback NJ, et al. Cost-effectiveness of diacetylmorphine versus methadone for chronic opioid dependence refractory to treatment. </w:t>
      </w:r>
      <w:r w:rsidRPr="0037266D">
        <w:rPr>
          <w:i/>
          <w:noProof/>
        </w:rPr>
        <w:t>CMAJ</w:t>
      </w:r>
      <w:r w:rsidRPr="0037266D">
        <w:rPr>
          <w:noProof/>
        </w:rPr>
        <w:t>. Apr 3 2012;184(6):E317–28. doi:10.1503/cmaj.110669</w:t>
      </w:r>
    </w:p>
    <w:p w14:paraId="72F49463" w14:textId="77777777" w:rsidR="0037266D" w:rsidRPr="0037266D" w:rsidRDefault="0037266D" w:rsidP="0037266D">
      <w:pPr>
        <w:pStyle w:val="EndNoteBibliography"/>
        <w:spacing w:after="0"/>
        <w:rPr>
          <w:noProof/>
        </w:rPr>
      </w:pPr>
      <w:r w:rsidRPr="0037266D">
        <w:rPr>
          <w:noProof/>
        </w:rPr>
        <w:t>25.</w:t>
      </w:r>
      <w:r w:rsidRPr="0037266D">
        <w:rPr>
          <w:noProof/>
        </w:rPr>
        <w:tab/>
        <w:t xml:space="preserve">Nosyk B, Anglin MD, Brecht ML, Lima VD, Hser YI. Characterizing durations of heroin abstinence in the California Civil Addict Program: results from a 33-year observational cohort study. </w:t>
      </w:r>
      <w:r w:rsidRPr="0037266D">
        <w:rPr>
          <w:i/>
          <w:noProof/>
        </w:rPr>
        <w:t>Am J Epidemiol</w:t>
      </w:r>
      <w:r w:rsidRPr="0037266D">
        <w:rPr>
          <w:noProof/>
        </w:rPr>
        <w:t>. Apr 1 2013;177(7):675–82. doi:10.1093/aje/kws284</w:t>
      </w:r>
    </w:p>
    <w:p w14:paraId="52FB6F6F" w14:textId="77777777" w:rsidR="0037266D" w:rsidRPr="0037266D" w:rsidRDefault="0037266D" w:rsidP="0037266D">
      <w:pPr>
        <w:pStyle w:val="EndNoteBibliography"/>
        <w:spacing w:after="0"/>
        <w:rPr>
          <w:noProof/>
        </w:rPr>
      </w:pPr>
      <w:r w:rsidRPr="0037266D">
        <w:rPr>
          <w:noProof/>
        </w:rPr>
        <w:t>26.</w:t>
      </w:r>
      <w:r w:rsidRPr="0037266D">
        <w:rPr>
          <w:noProof/>
        </w:rPr>
        <w:tab/>
        <w:t xml:space="preserve">Nosyk B, MacNab YC, Sun H, et al. Proportional hazards frailty models for recurrent methadone maintenance treatment. </w:t>
      </w:r>
      <w:r w:rsidRPr="0037266D">
        <w:rPr>
          <w:i/>
          <w:noProof/>
        </w:rPr>
        <w:t>American journal of epidemiology</w:t>
      </w:r>
      <w:r w:rsidRPr="0037266D">
        <w:rPr>
          <w:noProof/>
        </w:rPr>
        <w:t xml:space="preserve">. 2009;170(6):783–792. </w:t>
      </w:r>
    </w:p>
    <w:p w14:paraId="2BC1C981" w14:textId="77777777" w:rsidR="0037266D" w:rsidRPr="0037266D" w:rsidRDefault="0037266D" w:rsidP="0037266D">
      <w:pPr>
        <w:pStyle w:val="EndNoteBibliography"/>
        <w:spacing w:after="0"/>
        <w:rPr>
          <w:noProof/>
        </w:rPr>
      </w:pPr>
      <w:r w:rsidRPr="0037266D">
        <w:rPr>
          <w:noProof/>
        </w:rPr>
        <w:t>27.</w:t>
      </w:r>
      <w:r w:rsidRPr="0037266D">
        <w:rPr>
          <w:noProof/>
        </w:rPr>
        <w:tab/>
        <w:t xml:space="preserve">Zang X, Bessey SE, Krieger MS, et al. Comparing projected fatal overdose outcomes and costs of strategies to expand community-based distribution of naloxone in Rhode Island. </w:t>
      </w:r>
      <w:r w:rsidRPr="0037266D">
        <w:rPr>
          <w:i/>
          <w:noProof/>
        </w:rPr>
        <w:t>JAMA Network Open</w:t>
      </w:r>
      <w:r w:rsidRPr="0037266D">
        <w:rPr>
          <w:noProof/>
        </w:rPr>
        <w:t xml:space="preserve">. 2022;5(11):e2241174–e2241174. </w:t>
      </w:r>
    </w:p>
    <w:p w14:paraId="45DFFB51" w14:textId="77777777" w:rsidR="0037266D" w:rsidRPr="0037266D" w:rsidRDefault="0037266D" w:rsidP="0037266D">
      <w:pPr>
        <w:pStyle w:val="EndNoteBibliography"/>
        <w:spacing w:after="0"/>
        <w:rPr>
          <w:noProof/>
        </w:rPr>
      </w:pPr>
      <w:r w:rsidRPr="0037266D">
        <w:rPr>
          <w:noProof/>
        </w:rPr>
        <w:t>28.</w:t>
      </w:r>
      <w:r w:rsidRPr="0037266D">
        <w:rPr>
          <w:noProof/>
        </w:rPr>
        <w:tab/>
        <w:t xml:space="preserve">Santo T, Clark B, Hickman M, et al. Association of opioid agonist treatment with all-cause mortality and specific causes of death among people with opioid dependence: a systematic review and meta-analysis. </w:t>
      </w:r>
      <w:r w:rsidRPr="0037266D">
        <w:rPr>
          <w:i/>
          <w:noProof/>
        </w:rPr>
        <w:t>JAMA psychiatry</w:t>
      </w:r>
      <w:r w:rsidRPr="0037266D">
        <w:rPr>
          <w:noProof/>
        </w:rPr>
        <w:t xml:space="preserve">. 2021;78(9):979–993. </w:t>
      </w:r>
    </w:p>
    <w:p w14:paraId="24E17587" w14:textId="19D5A3ED" w:rsidR="0037266D" w:rsidRPr="0037266D" w:rsidRDefault="0037266D" w:rsidP="0037266D">
      <w:pPr>
        <w:pStyle w:val="EndNoteBibliography"/>
        <w:spacing w:after="0"/>
        <w:rPr>
          <w:noProof/>
        </w:rPr>
      </w:pPr>
      <w:r w:rsidRPr="0037266D">
        <w:rPr>
          <w:noProof/>
        </w:rPr>
        <w:t>29.</w:t>
      </w:r>
      <w:r w:rsidRPr="0037266D">
        <w:rPr>
          <w:noProof/>
        </w:rPr>
        <w:tab/>
        <w:t xml:space="preserve">IQVIA. IQVIA National Prescription Audit Available from: </w:t>
      </w:r>
      <w:hyperlink r:id="rId34" w:history="1">
        <w:r w:rsidRPr="0037266D">
          <w:rPr>
            <w:rStyle w:val="Hyperlink"/>
            <w:noProof/>
          </w:rPr>
          <w:t>https://www.iqvia.com/solutions/real-world-evidence/real-world-data-and-insights</w:t>
        </w:r>
      </w:hyperlink>
      <w:r w:rsidRPr="0037266D">
        <w:rPr>
          <w:noProof/>
        </w:rPr>
        <w:t>. 2023;</w:t>
      </w:r>
    </w:p>
    <w:p w14:paraId="1C5A373E" w14:textId="77777777" w:rsidR="0037266D" w:rsidRPr="0037266D" w:rsidRDefault="0037266D" w:rsidP="0037266D">
      <w:pPr>
        <w:pStyle w:val="EndNoteBibliography"/>
        <w:spacing w:after="0"/>
        <w:rPr>
          <w:noProof/>
        </w:rPr>
      </w:pPr>
      <w:r w:rsidRPr="0037266D">
        <w:rPr>
          <w:noProof/>
        </w:rPr>
        <w:t>30.</w:t>
      </w:r>
      <w:r w:rsidRPr="0037266D">
        <w:rPr>
          <w:noProof/>
        </w:rPr>
        <w:tab/>
        <w:t xml:space="preserve">Zang X, Bessey SE, Krieger MS, et al. Comparing Projected Fatal Overdose Outcomes and Costs of Strategies to Expand Community-Based Distribution of Naloxone in Rhode Island. </w:t>
      </w:r>
      <w:r w:rsidRPr="0037266D">
        <w:rPr>
          <w:i/>
          <w:noProof/>
        </w:rPr>
        <w:t>JAMA Netw Open</w:t>
      </w:r>
      <w:r w:rsidRPr="0037266D">
        <w:rPr>
          <w:noProof/>
        </w:rPr>
        <w:t>. Nov 1 2022;5(11):e2241174. doi:10.1001/jamanetworkopen.2022.41174</w:t>
      </w:r>
    </w:p>
    <w:p w14:paraId="072031F4" w14:textId="77777777" w:rsidR="0037266D" w:rsidRPr="0037266D" w:rsidRDefault="0037266D" w:rsidP="0037266D">
      <w:pPr>
        <w:pStyle w:val="EndNoteBibliography"/>
        <w:spacing w:after="0"/>
        <w:rPr>
          <w:noProof/>
        </w:rPr>
      </w:pPr>
      <w:r w:rsidRPr="0037266D">
        <w:rPr>
          <w:noProof/>
        </w:rPr>
        <w:t>31.</w:t>
      </w:r>
      <w:r w:rsidRPr="0037266D">
        <w:rPr>
          <w:noProof/>
        </w:rPr>
        <w:tab/>
        <w:t xml:space="preserve">Irvine MA, Oller D, Boggis J, et al. Estimating naloxone need in the USA across fentanyl, heroin, and prescription opioid epidemics: a modelling study. </w:t>
      </w:r>
      <w:r w:rsidRPr="0037266D">
        <w:rPr>
          <w:i/>
          <w:noProof/>
        </w:rPr>
        <w:t>Lancet Public Health</w:t>
      </w:r>
      <w:r w:rsidRPr="0037266D">
        <w:rPr>
          <w:noProof/>
        </w:rPr>
        <w:t>. Mar 2022;7(3):e210–e218. doi:10.1016/s2468-2667(21)00304-2</w:t>
      </w:r>
    </w:p>
    <w:p w14:paraId="002882C9" w14:textId="77777777" w:rsidR="0037266D" w:rsidRPr="0037266D" w:rsidRDefault="0037266D" w:rsidP="0037266D">
      <w:pPr>
        <w:pStyle w:val="EndNoteBibliography"/>
        <w:spacing w:after="0"/>
        <w:rPr>
          <w:noProof/>
        </w:rPr>
      </w:pPr>
      <w:r w:rsidRPr="0037266D">
        <w:rPr>
          <w:noProof/>
        </w:rPr>
        <w:t>32.</w:t>
      </w:r>
      <w:r w:rsidRPr="0037266D">
        <w:rPr>
          <w:noProof/>
        </w:rPr>
        <w:tab/>
        <w:t xml:space="preserve">Larney S, Tran LT, Leung J, et al. All-cause and cause-specific mortality among people using extramedical opioids: a systematic review and meta-analysis. </w:t>
      </w:r>
      <w:r w:rsidRPr="0037266D">
        <w:rPr>
          <w:i/>
          <w:noProof/>
        </w:rPr>
        <w:t>JAMA psychiatry</w:t>
      </w:r>
      <w:r w:rsidRPr="0037266D">
        <w:rPr>
          <w:noProof/>
        </w:rPr>
        <w:t xml:space="preserve">. 2020;77(5):493–502. </w:t>
      </w:r>
    </w:p>
    <w:p w14:paraId="09FF5DA8" w14:textId="77777777" w:rsidR="0037266D" w:rsidRPr="0037266D" w:rsidRDefault="0037266D" w:rsidP="0037266D">
      <w:pPr>
        <w:pStyle w:val="EndNoteBibliography"/>
        <w:spacing w:after="0"/>
        <w:rPr>
          <w:noProof/>
        </w:rPr>
      </w:pPr>
      <w:r w:rsidRPr="0037266D">
        <w:rPr>
          <w:noProof/>
        </w:rPr>
        <w:t>33.</w:t>
      </w:r>
      <w:r w:rsidRPr="0037266D">
        <w:rPr>
          <w:noProof/>
        </w:rPr>
        <w:tab/>
        <w:t xml:space="preserve">Arias E, Xu J. United States Life Tables, 2019. </w:t>
      </w:r>
      <w:r w:rsidRPr="0037266D">
        <w:rPr>
          <w:i/>
          <w:noProof/>
        </w:rPr>
        <w:t>Natl Vital Stat Rep</w:t>
      </w:r>
      <w:r w:rsidRPr="0037266D">
        <w:rPr>
          <w:noProof/>
        </w:rPr>
        <w:t xml:space="preserve">. Mar 2022;70(19):1–59. </w:t>
      </w:r>
    </w:p>
    <w:p w14:paraId="5A713BBA" w14:textId="77777777" w:rsidR="0037266D" w:rsidRPr="0037266D" w:rsidRDefault="0037266D" w:rsidP="0037266D">
      <w:pPr>
        <w:pStyle w:val="EndNoteBibliography"/>
        <w:spacing w:after="0"/>
        <w:rPr>
          <w:noProof/>
        </w:rPr>
      </w:pPr>
      <w:r w:rsidRPr="0037266D">
        <w:rPr>
          <w:noProof/>
        </w:rPr>
        <w:t>34.</w:t>
      </w:r>
      <w:r w:rsidRPr="0037266D">
        <w:rPr>
          <w:noProof/>
        </w:rPr>
        <w:tab/>
        <w:t xml:space="preserve">Sordo L, Barrio G, Bravo MJ, et al. Mortality risk during and after opioid substitution treatment: systematic review and meta-analysis of cohort studies. </w:t>
      </w:r>
      <w:r w:rsidRPr="0037266D">
        <w:rPr>
          <w:i/>
          <w:noProof/>
        </w:rPr>
        <w:t>bmj</w:t>
      </w:r>
      <w:r w:rsidRPr="0037266D">
        <w:rPr>
          <w:noProof/>
        </w:rPr>
        <w:t>. 2017;357</w:t>
      </w:r>
    </w:p>
    <w:p w14:paraId="10CA0FCA" w14:textId="77777777" w:rsidR="0037266D" w:rsidRPr="0037266D" w:rsidRDefault="0037266D" w:rsidP="0037266D">
      <w:pPr>
        <w:pStyle w:val="EndNoteBibliography"/>
        <w:spacing w:after="0"/>
        <w:rPr>
          <w:noProof/>
        </w:rPr>
      </w:pPr>
      <w:r w:rsidRPr="0037266D">
        <w:rPr>
          <w:noProof/>
        </w:rPr>
        <w:t>35.</w:t>
      </w:r>
      <w:r w:rsidRPr="0037266D">
        <w:rPr>
          <w:noProof/>
        </w:rPr>
        <w:tab/>
        <w:t xml:space="preserve">Nosyk B, Guh DP, Bansback NJ, et al. Cost-effectiveness of diacetylmorphine versus methadone for chronic opioid dependence refractory to treatment. </w:t>
      </w:r>
      <w:r w:rsidRPr="0037266D">
        <w:rPr>
          <w:i/>
          <w:noProof/>
        </w:rPr>
        <w:t>Cmaj</w:t>
      </w:r>
      <w:r w:rsidRPr="0037266D">
        <w:rPr>
          <w:noProof/>
        </w:rPr>
        <w:t xml:space="preserve">. 2012;184(6):E317–E328. </w:t>
      </w:r>
    </w:p>
    <w:p w14:paraId="23BDDCEB" w14:textId="77777777" w:rsidR="0037266D" w:rsidRPr="0037266D" w:rsidRDefault="0037266D" w:rsidP="0037266D">
      <w:pPr>
        <w:pStyle w:val="EndNoteBibliography"/>
        <w:spacing w:after="0"/>
        <w:rPr>
          <w:noProof/>
        </w:rPr>
      </w:pPr>
      <w:r w:rsidRPr="0037266D">
        <w:rPr>
          <w:noProof/>
        </w:rPr>
        <w:t>36.</w:t>
      </w:r>
      <w:r w:rsidRPr="0037266D">
        <w:rPr>
          <w:noProof/>
        </w:rPr>
        <w:tab/>
        <w:t xml:space="preserve">Wampler DA, Molina DK, McManus J, Laws P, Manifold CA. No deaths associated with patient refusal of transport after naloxone-reversed opioid overdose. </w:t>
      </w:r>
      <w:r w:rsidRPr="0037266D">
        <w:rPr>
          <w:i/>
          <w:noProof/>
        </w:rPr>
        <w:t>Prehosp Emerg Care</w:t>
      </w:r>
      <w:r w:rsidRPr="0037266D">
        <w:rPr>
          <w:noProof/>
        </w:rPr>
        <w:t xml:space="preserve">. 2011;15(3):320–324. </w:t>
      </w:r>
    </w:p>
    <w:p w14:paraId="2538CAB1" w14:textId="77777777" w:rsidR="0037266D" w:rsidRPr="0037266D" w:rsidRDefault="0037266D" w:rsidP="0037266D">
      <w:pPr>
        <w:pStyle w:val="EndNoteBibliography"/>
        <w:spacing w:after="0"/>
        <w:rPr>
          <w:noProof/>
        </w:rPr>
      </w:pPr>
      <w:r w:rsidRPr="0037266D">
        <w:rPr>
          <w:noProof/>
        </w:rPr>
        <w:t>37.</w:t>
      </w:r>
      <w:r w:rsidRPr="0037266D">
        <w:rPr>
          <w:noProof/>
        </w:rPr>
        <w:tab/>
        <w:t xml:space="preserve">Karamouzian M, Kuo M, Crabtree A, Buxton JA. Correlates of seeking emergency medical help in the event of an overdose in British Columbia, Canada: Findings from the Take Home Naloxone program. </w:t>
      </w:r>
      <w:r w:rsidRPr="0037266D">
        <w:rPr>
          <w:i/>
          <w:noProof/>
        </w:rPr>
        <w:t>International Journal of Drug Policy</w:t>
      </w:r>
      <w:r w:rsidRPr="0037266D">
        <w:rPr>
          <w:noProof/>
        </w:rPr>
        <w:t xml:space="preserve">. 2019;71:157–163. </w:t>
      </w:r>
    </w:p>
    <w:p w14:paraId="2B648741" w14:textId="77777777" w:rsidR="0037266D" w:rsidRPr="0037266D" w:rsidRDefault="0037266D" w:rsidP="0037266D">
      <w:pPr>
        <w:pStyle w:val="EndNoteBibliography"/>
        <w:spacing w:after="0"/>
        <w:rPr>
          <w:noProof/>
        </w:rPr>
      </w:pPr>
      <w:r w:rsidRPr="0037266D">
        <w:rPr>
          <w:noProof/>
        </w:rPr>
        <w:t>38.</w:t>
      </w:r>
      <w:r w:rsidRPr="0037266D">
        <w:rPr>
          <w:noProof/>
        </w:rPr>
        <w:tab/>
        <w:t xml:space="preserve">Briggs A, Sculpher M, Claxton K. </w:t>
      </w:r>
      <w:r w:rsidRPr="0037266D">
        <w:rPr>
          <w:i/>
          <w:noProof/>
        </w:rPr>
        <w:t>Decision modelling for health economic evaluation</w:t>
      </w:r>
      <w:r w:rsidRPr="0037266D">
        <w:rPr>
          <w:noProof/>
        </w:rPr>
        <w:t>. Oup Oxford; 2006.</w:t>
      </w:r>
    </w:p>
    <w:p w14:paraId="0E40E7E3" w14:textId="77777777" w:rsidR="0037266D" w:rsidRPr="0037266D" w:rsidRDefault="0037266D" w:rsidP="0037266D">
      <w:pPr>
        <w:pStyle w:val="EndNoteBibliography"/>
        <w:spacing w:after="0"/>
        <w:rPr>
          <w:noProof/>
        </w:rPr>
      </w:pPr>
      <w:r w:rsidRPr="0037266D">
        <w:rPr>
          <w:noProof/>
        </w:rPr>
        <w:t>39.</w:t>
      </w:r>
      <w:r w:rsidRPr="0037266D">
        <w:rPr>
          <w:noProof/>
        </w:rPr>
        <w:tab/>
        <w:t xml:space="preserve">Timko C, Schultz NR, Cucciare MA, Vittorio L, Garrison-Diehn C. Retention in medication-assisted treatment for opiate dependence: A systematic review. </w:t>
      </w:r>
      <w:r w:rsidRPr="0037266D">
        <w:rPr>
          <w:i/>
          <w:noProof/>
        </w:rPr>
        <w:t>J Addict Dis</w:t>
      </w:r>
      <w:r w:rsidRPr="0037266D">
        <w:rPr>
          <w:noProof/>
        </w:rPr>
        <w:t>. 2016;35(1):22–35. doi:10.1080/10550887.2016.1100960</w:t>
      </w:r>
    </w:p>
    <w:p w14:paraId="1955ADD1" w14:textId="77777777" w:rsidR="0037266D" w:rsidRPr="0037266D" w:rsidRDefault="0037266D" w:rsidP="0037266D">
      <w:pPr>
        <w:pStyle w:val="EndNoteBibliography"/>
        <w:spacing w:after="0"/>
        <w:rPr>
          <w:noProof/>
        </w:rPr>
      </w:pPr>
      <w:r w:rsidRPr="0037266D">
        <w:rPr>
          <w:noProof/>
        </w:rPr>
        <w:t>40.</w:t>
      </w:r>
      <w:r w:rsidRPr="0037266D">
        <w:rPr>
          <w:noProof/>
        </w:rPr>
        <w:tab/>
        <w:t>Wittenberg E, Bray JW, Aden B, Gebremariam A, Nosyk B, Schackman BR. Measuring benefits of opioid misuse treatment for economic evalu</w:t>
      </w:r>
      <w:r w:rsidRPr="0037266D">
        <w:rPr>
          <w:rFonts w:hint="eastAsia"/>
          <w:noProof/>
        </w:rPr>
        <w:t>ation: health</w:t>
      </w:r>
      <w:r w:rsidRPr="0037266D">
        <w:rPr>
          <w:rFonts w:hint="eastAsia"/>
          <w:noProof/>
        </w:rPr>
        <w:t>‐</w:t>
      </w:r>
      <w:r w:rsidRPr="0037266D">
        <w:rPr>
          <w:rFonts w:hint="eastAsia"/>
          <w:noProof/>
        </w:rPr>
        <w:t>related quality of life of opioid</w:t>
      </w:r>
      <w:r w:rsidRPr="0037266D">
        <w:rPr>
          <w:rFonts w:hint="eastAsia"/>
          <w:noProof/>
        </w:rPr>
        <w:t>‐</w:t>
      </w:r>
      <w:r w:rsidRPr="0037266D">
        <w:rPr>
          <w:rFonts w:hint="eastAsia"/>
          <w:noProof/>
        </w:rPr>
        <w:t xml:space="preserve">dependent individuals and their spouses as assessed by a sample of the US population. </w:t>
      </w:r>
      <w:r w:rsidRPr="0037266D">
        <w:rPr>
          <w:rFonts w:hint="eastAsia"/>
          <w:i/>
          <w:noProof/>
        </w:rPr>
        <w:t>Addiction</w:t>
      </w:r>
      <w:r w:rsidRPr="0037266D">
        <w:rPr>
          <w:rFonts w:hint="eastAsia"/>
          <w:noProof/>
        </w:rPr>
        <w:t>. 2016;111(4):675</w:t>
      </w:r>
      <w:r w:rsidRPr="0037266D">
        <w:rPr>
          <w:rFonts w:hint="eastAsia"/>
          <w:noProof/>
        </w:rPr>
        <w:t>–</w:t>
      </w:r>
      <w:r w:rsidRPr="0037266D">
        <w:rPr>
          <w:rFonts w:hint="eastAsia"/>
          <w:noProof/>
        </w:rPr>
        <w:t xml:space="preserve">684. </w:t>
      </w:r>
    </w:p>
    <w:p w14:paraId="0F64E8BD" w14:textId="45A22F85" w:rsidR="0037266D" w:rsidRPr="0037266D" w:rsidRDefault="0037266D" w:rsidP="0037266D">
      <w:pPr>
        <w:pStyle w:val="EndNoteBibliography"/>
        <w:spacing w:after="0"/>
        <w:rPr>
          <w:noProof/>
        </w:rPr>
      </w:pPr>
      <w:r w:rsidRPr="0037266D">
        <w:rPr>
          <w:noProof/>
        </w:rPr>
        <w:t>41.</w:t>
      </w:r>
      <w:r w:rsidRPr="0037266D">
        <w:rPr>
          <w:noProof/>
        </w:rPr>
        <w:tab/>
        <w:t xml:space="preserve">Centers for Medicare &amp; Medicaid Services. </w:t>
      </w:r>
      <w:r w:rsidRPr="0037266D">
        <w:rPr>
          <w:i/>
          <w:noProof/>
        </w:rPr>
        <w:t>Calendar Year 2022 National Final Unadjusted Payment Rates for Opioid Treatment Programs</w:t>
      </w:r>
      <w:r w:rsidRPr="0037266D">
        <w:rPr>
          <w:noProof/>
        </w:rPr>
        <w:t xml:space="preserve">. 2021. </w:t>
      </w:r>
      <w:hyperlink r:id="rId35" w:history="1">
        <w:r w:rsidRPr="0037266D">
          <w:rPr>
            <w:rStyle w:val="Hyperlink"/>
            <w:noProof/>
          </w:rPr>
          <w:t>https://www.cms.gov/files/document/cy-2022-national-final-unadjusted-payment-rates-otps.pdf</w:t>
        </w:r>
      </w:hyperlink>
    </w:p>
    <w:p w14:paraId="641E523D" w14:textId="4C6DADF2" w:rsidR="0037266D" w:rsidRPr="0037266D" w:rsidRDefault="0037266D" w:rsidP="0037266D">
      <w:pPr>
        <w:pStyle w:val="EndNoteBibliography"/>
        <w:spacing w:after="0"/>
        <w:rPr>
          <w:noProof/>
        </w:rPr>
      </w:pPr>
      <w:r w:rsidRPr="0037266D">
        <w:rPr>
          <w:noProof/>
        </w:rPr>
        <w:lastRenderedPageBreak/>
        <w:t>42.</w:t>
      </w:r>
      <w:r w:rsidRPr="0037266D">
        <w:rPr>
          <w:noProof/>
        </w:rPr>
        <w:tab/>
        <w:t xml:space="preserve">Department of Veterans Affairs. VA Drug Pricing Database. </w:t>
      </w:r>
      <w:hyperlink r:id="rId36" w:history="1">
        <w:r w:rsidRPr="0037266D">
          <w:rPr>
            <w:rStyle w:val="Hyperlink"/>
            <w:noProof/>
          </w:rPr>
          <w:t>https://catalog.data.gov/dataset/va-drug-pricing-database</w:t>
        </w:r>
      </w:hyperlink>
    </w:p>
    <w:p w14:paraId="5A0DD047" w14:textId="557E0C44" w:rsidR="0037266D" w:rsidRPr="0037266D" w:rsidRDefault="0037266D" w:rsidP="0037266D">
      <w:pPr>
        <w:pStyle w:val="EndNoteBibliography"/>
        <w:spacing w:after="0"/>
        <w:rPr>
          <w:noProof/>
        </w:rPr>
      </w:pPr>
      <w:r w:rsidRPr="0037266D">
        <w:rPr>
          <w:noProof/>
        </w:rPr>
        <w:t>43.</w:t>
      </w:r>
      <w:r w:rsidRPr="0037266D">
        <w:rPr>
          <w:noProof/>
        </w:rPr>
        <w:tab/>
        <w:t xml:space="preserve">Emergent BioSolutions. Emergent BioSolutions’ NARCAN® Nasal Spray Launches Over the Counter Making it Possible for Everyone to Help Save a Life from an Opioid Overdose Emergency. </w:t>
      </w:r>
      <w:hyperlink r:id="rId37" w:anchor=":~:text=The%20Manufacturer's%20Suggested%20Retail%20Price,to%20roughly%20%2422.50%20per%20dose" w:history="1">
        <w:r w:rsidRPr="0037266D">
          <w:rPr>
            <w:rStyle w:val="Hyperlink"/>
            <w:noProof/>
          </w:rPr>
          <w:t>https://investors.emergentbiosolutions.com/news-releases/news-release-details/emergent-biosolutions-narcanr-nasal-spray-launches-over-counter#:~:text=The%20Manufacturer's%20Suggested%20Retail%20Price,to%20roughly%20%2422.50%20per%20dose</w:t>
        </w:r>
      </w:hyperlink>
      <w:r w:rsidRPr="0037266D">
        <w:rPr>
          <w:noProof/>
        </w:rPr>
        <w:t>.</w:t>
      </w:r>
    </w:p>
    <w:p w14:paraId="02805E81" w14:textId="77777777" w:rsidR="0037266D" w:rsidRPr="0037266D" w:rsidRDefault="0037266D" w:rsidP="0037266D">
      <w:pPr>
        <w:pStyle w:val="EndNoteBibliography"/>
        <w:spacing w:after="0"/>
        <w:rPr>
          <w:noProof/>
        </w:rPr>
      </w:pPr>
      <w:r w:rsidRPr="0037266D">
        <w:rPr>
          <w:noProof/>
        </w:rPr>
        <w:t>44.</w:t>
      </w:r>
      <w:r w:rsidRPr="0037266D">
        <w:rPr>
          <w:noProof/>
        </w:rPr>
        <w:tab/>
        <w:t xml:space="preserve">Behrends CN, Gutkind S, Winkelstein E, et al. Costs of opioid overdose education and naloxone distribution in New York City. </w:t>
      </w:r>
      <w:r w:rsidRPr="0037266D">
        <w:rPr>
          <w:i/>
          <w:noProof/>
        </w:rPr>
        <w:t>Substance abuse</w:t>
      </w:r>
      <w:r w:rsidRPr="0037266D">
        <w:rPr>
          <w:noProof/>
        </w:rPr>
        <w:t xml:space="preserve">. 2022;43(1):692–698. </w:t>
      </w:r>
    </w:p>
    <w:p w14:paraId="05E52541" w14:textId="015F6DB5" w:rsidR="0037266D" w:rsidRPr="0037266D" w:rsidRDefault="0037266D" w:rsidP="0037266D">
      <w:pPr>
        <w:pStyle w:val="EndNoteBibliography"/>
        <w:spacing w:after="0"/>
        <w:rPr>
          <w:noProof/>
        </w:rPr>
      </w:pPr>
      <w:r w:rsidRPr="0037266D">
        <w:rPr>
          <w:noProof/>
        </w:rPr>
        <w:t>45.</w:t>
      </w:r>
      <w:r w:rsidRPr="0037266D">
        <w:rPr>
          <w:noProof/>
        </w:rPr>
        <w:tab/>
        <w:t xml:space="preserve">Centers for Medicare &amp; Medicaid Services. </w:t>
      </w:r>
      <w:r w:rsidRPr="0037266D">
        <w:rPr>
          <w:i/>
          <w:noProof/>
        </w:rPr>
        <w:t>Ambulance Fee Schedule Public Use Files</w:t>
      </w:r>
      <w:r w:rsidRPr="0037266D">
        <w:rPr>
          <w:noProof/>
        </w:rPr>
        <w:t xml:space="preserve">. 2023. </w:t>
      </w:r>
      <w:hyperlink r:id="rId38" w:history="1">
        <w:r w:rsidRPr="0037266D">
          <w:rPr>
            <w:rStyle w:val="Hyperlink"/>
            <w:noProof/>
          </w:rPr>
          <w:t>https://www.cms.gov/medicare/payment/fee-schedules/ambulance/ambulance-fee-schedule-public-use-files</w:t>
        </w:r>
      </w:hyperlink>
    </w:p>
    <w:p w14:paraId="2E246A72" w14:textId="77777777" w:rsidR="0037266D" w:rsidRPr="0037266D" w:rsidRDefault="0037266D" w:rsidP="0037266D">
      <w:pPr>
        <w:pStyle w:val="EndNoteBibliography"/>
        <w:spacing w:after="0"/>
        <w:rPr>
          <w:noProof/>
        </w:rPr>
      </w:pPr>
      <w:r w:rsidRPr="0037266D">
        <w:rPr>
          <w:noProof/>
        </w:rPr>
        <w:t>46.</w:t>
      </w:r>
      <w:r w:rsidRPr="0037266D">
        <w:rPr>
          <w:noProof/>
        </w:rPr>
        <w:tab/>
        <w:t xml:space="preserve">McCollister K, Yang X, Sayed B, French MT, Leff JA, Schackman BR. Monetary conversion factors for economic evaluations of substance use disorders. </w:t>
      </w:r>
      <w:r w:rsidRPr="0037266D">
        <w:rPr>
          <w:i/>
          <w:noProof/>
        </w:rPr>
        <w:t>Journal of substance abuse treatment</w:t>
      </w:r>
      <w:r w:rsidRPr="0037266D">
        <w:rPr>
          <w:noProof/>
        </w:rPr>
        <w:t xml:space="preserve">. 2017;81:25–34. </w:t>
      </w:r>
    </w:p>
    <w:p w14:paraId="0185610E" w14:textId="3A117E75" w:rsidR="0037266D" w:rsidRPr="0037266D" w:rsidRDefault="0037266D" w:rsidP="0037266D">
      <w:pPr>
        <w:pStyle w:val="EndNoteBibliography"/>
        <w:spacing w:after="0"/>
        <w:rPr>
          <w:noProof/>
        </w:rPr>
      </w:pPr>
      <w:r w:rsidRPr="0037266D">
        <w:rPr>
          <w:noProof/>
        </w:rPr>
        <w:t>47.</w:t>
      </w:r>
      <w:r w:rsidRPr="0037266D">
        <w:rPr>
          <w:noProof/>
        </w:rPr>
        <w:tab/>
        <w:t xml:space="preserve">Karaca Z, Moore B. </w:t>
      </w:r>
      <w:r w:rsidRPr="0037266D">
        <w:rPr>
          <w:i/>
          <w:noProof/>
        </w:rPr>
        <w:t>Costs of Emergency Department Visits for Mental and Substance Use Disorders in the United States, 2017</w:t>
      </w:r>
      <w:r w:rsidRPr="0037266D">
        <w:rPr>
          <w:noProof/>
        </w:rPr>
        <w:t xml:space="preserve">. 2020. </w:t>
      </w:r>
      <w:hyperlink r:id="rId39" w:history="1">
        <w:r w:rsidRPr="0037266D">
          <w:rPr>
            <w:rStyle w:val="Hyperlink"/>
            <w:noProof/>
          </w:rPr>
          <w:t>https://hcup-us.ahrq.gov/reports/statbriefs/sb257-ED-Costs-Mental-Substance-Use-Disorders-2017.pdf</w:t>
        </w:r>
      </w:hyperlink>
    </w:p>
    <w:p w14:paraId="7DA10549" w14:textId="77777777" w:rsidR="0037266D" w:rsidRPr="0037266D" w:rsidRDefault="0037266D" w:rsidP="0037266D">
      <w:pPr>
        <w:pStyle w:val="EndNoteBibliography"/>
        <w:spacing w:after="0"/>
        <w:rPr>
          <w:noProof/>
        </w:rPr>
      </w:pPr>
      <w:r w:rsidRPr="0037266D">
        <w:rPr>
          <w:noProof/>
        </w:rPr>
        <w:t>48.</w:t>
      </w:r>
      <w:r w:rsidRPr="0037266D">
        <w:rPr>
          <w:noProof/>
        </w:rPr>
        <w:tab/>
        <w:t xml:space="preserve">Henderson D, Jacobson SH, Johnson AW. The theory and practice of simulated annealing. </w:t>
      </w:r>
      <w:r w:rsidRPr="0037266D">
        <w:rPr>
          <w:i/>
          <w:noProof/>
        </w:rPr>
        <w:t>Handbook of metaheuristics</w:t>
      </w:r>
      <w:r w:rsidRPr="0037266D">
        <w:rPr>
          <w:noProof/>
        </w:rPr>
        <w:t xml:space="preserve">. 2003:287–319. </w:t>
      </w:r>
    </w:p>
    <w:p w14:paraId="3EC6D178" w14:textId="77777777" w:rsidR="0037266D" w:rsidRPr="0037266D" w:rsidRDefault="0037266D" w:rsidP="0037266D">
      <w:pPr>
        <w:pStyle w:val="EndNoteBibliography"/>
        <w:spacing w:after="0"/>
        <w:rPr>
          <w:noProof/>
        </w:rPr>
      </w:pPr>
      <w:r w:rsidRPr="0037266D">
        <w:rPr>
          <w:noProof/>
        </w:rPr>
        <w:t>49.</w:t>
      </w:r>
      <w:r w:rsidRPr="0037266D">
        <w:rPr>
          <w:noProof/>
        </w:rPr>
        <w:tab/>
        <w:t xml:space="preserve">Kirkpatrick S, Gelatt Jr CD, Vecchi MP. Optimization by simulated annealing. </w:t>
      </w:r>
      <w:r w:rsidRPr="0037266D">
        <w:rPr>
          <w:i/>
          <w:noProof/>
        </w:rPr>
        <w:t>science</w:t>
      </w:r>
      <w:r w:rsidRPr="0037266D">
        <w:rPr>
          <w:noProof/>
        </w:rPr>
        <w:t xml:space="preserve">. 1983;220(4598):671–680. </w:t>
      </w:r>
    </w:p>
    <w:p w14:paraId="42D31C47" w14:textId="77777777" w:rsidR="0037266D" w:rsidRPr="0037266D" w:rsidRDefault="0037266D" w:rsidP="0037266D">
      <w:pPr>
        <w:pStyle w:val="EndNoteBibliography"/>
        <w:spacing w:after="0"/>
        <w:rPr>
          <w:noProof/>
        </w:rPr>
      </w:pPr>
      <w:r w:rsidRPr="0037266D">
        <w:rPr>
          <w:noProof/>
        </w:rPr>
        <w:t>50.</w:t>
      </w:r>
      <w:r w:rsidRPr="0037266D">
        <w:rPr>
          <w:noProof/>
        </w:rPr>
        <w:tab/>
        <w:t xml:space="preserve">Grosse SD, Krueger KV, Pike J. Estimated annual and lifetime labor productivity in the United States, 2016: implications for economic evaluations. </w:t>
      </w:r>
      <w:r w:rsidRPr="0037266D">
        <w:rPr>
          <w:i/>
          <w:noProof/>
        </w:rPr>
        <w:t>Journal of medical economics</w:t>
      </w:r>
      <w:r w:rsidRPr="0037266D">
        <w:rPr>
          <w:noProof/>
        </w:rPr>
        <w:t xml:space="preserve">. 2019;22(6):501–508. </w:t>
      </w:r>
    </w:p>
    <w:p w14:paraId="2129A9B5" w14:textId="77777777" w:rsidR="0037266D" w:rsidRPr="0037266D" w:rsidRDefault="0037266D" w:rsidP="0037266D">
      <w:pPr>
        <w:pStyle w:val="EndNoteBibliography"/>
        <w:spacing w:after="0"/>
        <w:rPr>
          <w:noProof/>
        </w:rPr>
      </w:pPr>
      <w:r w:rsidRPr="0037266D">
        <w:rPr>
          <w:noProof/>
        </w:rPr>
        <w:t>51.</w:t>
      </w:r>
      <w:r w:rsidRPr="0037266D">
        <w:rPr>
          <w:noProof/>
        </w:rPr>
        <w:tab/>
        <w:t>U.S. Department of Justice National Drug Intelligence Center. The Economic Impact of Illicit Drug Use on American Society. 2011;</w:t>
      </w:r>
    </w:p>
    <w:p w14:paraId="49AC83CE" w14:textId="77777777" w:rsidR="0037266D" w:rsidRPr="0037266D" w:rsidRDefault="0037266D" w:rsidP="0037266D">
      <w:pPr>
        <w:pStyle w:val="EndNoteBibliography"/>
        <w:spacing w:after="0"/>
        <w:rPr>
          <w:noProof/>
        </w:rPr>
      </w:pPr>
      <w:r w:rsidRPr="0037266D">
        <w:rPr>
          <w:noProof/>
        </w:rPr>
        <w:t>52.</w:t>
      </w:r>
      <w:r w:rsidRPr="0037266D">
        <w:rPr>
          <w:noProof/>
        </w:rPr>
        <w:tab/>
        <w:t xml:space="preserve">Florence CS, Zhou C, Luo F, Xu L. The economic burden of prescription opioid overdose, abuse, and dependence in the United States, 2013. </w:t>
      </w:r>
      <w:r w:rsidRPr="0037266D">
        <w:rPr>
          <w:i/>
          <w:noProof/>
        </w:rPr>
        <w:t>Medical Care</w:t>
      </w:r>
      <w:r w:rsidRPr="0037266D">
        <w:rPr>
          <w:noProof/>
        </w:rPr>
        <w:t xml:space="preserve">. 2016;54(10):901–906. </w:t>
      </w:r>
    </w:p>
    <w:p w14:paraId="4E30B8EB" w14:textId="77777777" w:rsidR="0037266D" w:rsidRPr="0037266D" w:rsidRDefault="0037266D" w:rsidP="0037266D">
      <w:pPr>
        <w:pStyle w:val="EndNoteBibliography"/>
        <w:spacing w:after="0"/>
        <w:rPr>
          <w:noProof/>
        </w:rPr>
      </w:pPr>
      <w:r w:rsidRPr="0037266D">
        <w:rPr>
          <w:noProof/>
        </w:rPr>
        <w:t>53.</w:t>
      </w:r>
      <w:r w:rsidRPr="0037266D">
        <w:rPr>
          <w:noProof/>
        </w:rPr>
        <w:tab/>
        <w:t xml:space="preserve">Murphy SM. The cost of opioid use disorder and the value of aversion. </w:t>
      </w:r>
      <w:r w:rsidRPr="0037266D">
        <w:rPr>
          <w:i/>
          <w:noProof/>
        </w:rPr>
        <w:t>Drug and alcohol dependence</w:t>
      </w:r>
      <w:r w:rsidRPr="0037266D">
        <w:rPr>
          <w:noProof/>
        </w:rPr>
        <w:t xml:space="preserve">. 2020;217:108382. </w:t>
      </w:r>
    </w:p>
    <w:p w14:paraId="334DCD34" w14:textId="77777777" w:rsidR="0037266D" w:rsidRPr="0037266D" w:rsidRDefault="0037266D" w:rsidP="0037266D">
      <w:pPr>
        <w:pStyle w:val="EndNoteBibliography"/>
        <w:rPr>
          <w:noProof/>
        </w:rPr>
      </w:pPr>
      <w:r w:rsidRPr="0037266D">
        <w:rPr>
          <w:noProof/>
        </w:rPr>
        <w:t>54.</w:t>
      </w:r>
      <w:r w:rsidRPr="0037266D">
        <w:rPr>
          <w:noProof/>
        </w:rPr>
        <w:tab/>
        <w:t xml:space="preserve">Gauthier P, Greco P, Meyers-Ohki S, Desai A, Rotrosen J. Patients' perspectives on initiating treatment with extended-release naltrexone (XR-NTX). </w:t>
      </w:r>
      <w:r w:rsidRPr="0037266D">
        <w:rPr>
          <w:i/>
          <w:noProof/>
        </w:rPr>
        <w:t>Journal of Substance Abuse Treatment</w:t>
      </w:r>
      <w:r w:rsidRPr="0037266D">
        <w:rPr>
          <w:noProof/>
        </w:rPr>
        <w:t xml:space="preserve">. 2021;122:108183. </w:t>
      </w:r>
    </w:p>
    <w:p w14:paraId="0FA712DA" w14:textId="44881300" w:rsidR="003D4931" w:rsidRDefault="00012ADF" w:rsidP="00363E8B">
      <w:pPr>
        <w:spacing w:after="0" w:line="360" w:lineRule="auto"/>
        <w:rPr>
          <w:rFonts w:cs="Times New Roman"/>
          <w:szCs w:val="20"/>
          <w:highlight w:val="lightGray"/>
        </w:rPr>
      </w:pPr>
      <w:r w:rsidRPr="00363E8B">
        <w:rPr>
          <w:rFonts w:cs="Times New Roman"/>
          <w:szCs w:val="20"/>
          <w:highlight w:val="lightGray"/>
        </w:rPr>
        <w:fldChar w:fldCharType="end"/>
      </w:r>
    </w:p>
    <w:sectPr w:rsidR="003D4931" w:rsidSect="003D4931">
      <w:footerReference w:type="default" r:id="rId4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443ED" w14:textId="77777777" w:rsidR="00870643" w:rsidRDefault="00870643" w:rsidP="00B20610">
      <w:pPr>
        <w:spacing w:after="0" w:line="240" w:lineRule="auto"/>
      </w:pPr>
      <w:r>
        <w:separator/>
      </w:r>
    </w:p>
  </w:endnote>
  <w:endnote w:type="continuationSeparator" w:id="0">
    <w:p w14:paraId="19F1B28D" w14:textId="77777777" w:rsidR="00870643" w:rsidRDefault="00870643" w:rsidP="00B20610">
      <w:pPr>
        <w:spacing w:after="0" w:line="240" w:lineRule="auto"/>
      </w:pPr>
      <w:r>
        <w:continuationSeparator/>
      </w:r>
    </w:p>
  </w:endnote>
  <w:endnote w:type="continuationNotice" w:id="1">
    <w:p w14:paraId="1D347B5E" w14:textId="77777777" w:rsidR="00870643" w:rsidRDefault="008706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36484055"/>
      <w:docPartObj>
        <w:docPartGallery w:val="Page Numbers (Bottom of Page)"/>
        <w:docPartUnique/>
      </w:docPartObj>
    </w:sdtPr>
    <w:sdtContent>
      <w:p w14:paraId="267BA830" w14:textId="043C0F6E" w:rsidR="00B22713" w:rsidRDefault="00B22713" w:rsidP="004359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83F72">
          <w:rPr>
            <w:rStyle w:val="PageNumber"/>
            <w:noProof/>
          </w:rPr>
          <w:t>1</w:t>
        </w:r>
        <w:r>
          <w:rPr>
            <w:rStyle w:val="PageNumber"/>
          </w:rPr>
          <w:fldChar w:fldCharType="end"/>
        </w:r>
      </w:p>
    </w:sdtContent>
  </w:sdt>
  <w:p w14:paraId="2A9EBB14" w14:textId="77777777" w:rsidR="00B22713" w:rsidRDefault="00B22713" w:rsidP="007C3D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5358175"/>
      <w:docPartObj>
        <w:docPartGallery w:val="Page Numbers (Bottom of Page)"/>
        <w:docPartUnique/>
      </w:docPartObj>
    </w:sdtPr>
    <w:sdtContent>
      <w:p w14:paraId="521F8AD7" w14:textId="6D067BAC" w:rsidR="00B22713" w:rsidRDefault="00B22713" w:rsidP="004359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66DECBA" w14:textId="77777777" w:rsidR="00B22713" w:rsidRDefault="00B22713" w:rsidP="007C3D4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27484037"/>
      <w:docPartObj>
        <w:docPartGallery w:val="Page Numbers (Bottom of Page)"/>
        <w:docPartUnique/>
      </w:docPartObj>
    </w:sdtPr>
    <w:sdtContent>
      <w:p w14:paraId="22356F12" w14:textId="3EB4E9D6" w:rsidR="00B20610" w:rsidRDefault="00B20610" w:rsidP="004359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02886">
          <w:rPr>
            <w:rStyle w:val="PageNumber"/>
            <w:noProof/>
          </w:rPr>
          <w:t>9</w:t>
        </w:r>
        <w:r>
          <w:rPr>
            <w:rStyle w:val="PageNumber"/>
          </w:rPr>
          <w:fldChar w:fldCharType="end"/>
        </w:r>
      </w:p>
    </w:sdtContent>
  </w:sdt>
  <w:p w14:paraId="25D61D79" w14:textId="77777777" w:rsidR="00B20610" w:rsidRDefault="00B20610" w:rsidP="00B2061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642024"/>
      <w:docPartObj>
        <w:docPartGallery w:val="Page Numbers (Bottom of Page)"/>
        <w:docPartUnique/>
      </w:docPartObj>
    </w:sdtPr>
    <w:sdtEndPr>
      <w:rPr>
        <w:rFonts w:cs="Times New Roman"/>
        <w:noProof/>
        <w:sz w:val="22"/>
        <w:szCs w:val="22"/>
      </w:rPr>
    </w:sdtEndPr>
    <w:sdtContent>
      <w:p w14:paraId="7A7B7688" w14:textId="08CB8FC7" w:rsidR="00854D1A" w:rsidRPr="00A213B8" w:rsidRDefault="00854D1A" w:rsidP="00A213B8">
        <w:pPr>
          <w:pStyle w:val="Footer"/>
          <w:jc w:val="right"/>
          <w:rPr>
            <w:rFonts w:cs="Times New Roman"/>
            <w:sz w:val="22"/>
            <w:szCs w:val="22"/>
          </w:rPr>
        </w:pPr>
        <w:r w:rsidRPr="00A213B8">
          <w:rPr>
            <w:rFonts w:cs="Times New Roman"/>
            <w:sz w:val="22"/>
            <w:szCs w:val="22"/>
          </w:rPr>
          <w:fldChar w:fldCharType="begin"/>
        </w:r>
        <w:r w:rsidRPr="00A213B8">
          <w:rPr>
            <w:rFonts w:cs="Times New Roman"/>
            <w:sz w:val="22"/>
            <w:szCs w:val="22"/>
          </w:rPr>
          <w:instrText xml:space="preserve"> PAGE   \* MERGEFORMAT </w:instrText>
        </w:r>
        <w:r w:rsidRPr="00A213B8">
          <w:rPr>
            <w:rFonts w:cs="Times New Roman"/>
            <w:sz w:val="22"/>
            <w:szCs w:val="22"/>
          </w:rPr>
          <w:fldChar w:fldCharType="separate"/>
        </w:r>
        <w:r w:rsidRPr="00A213B8">
          <w:rPr>
            <w:rFonts w:cs="Times New Roman"/>
            <w:noProof/>
            <w:sz w:val="22"/>
            <w:szCs w:val="22"/>
          </w:rPr>
          <w:t>2</w:t>
        </w:r>
        <w:r w:rsidRPr="00A213B8">
          <w:rPr>
            <w:rFonts w:cs="Times New Roman"/>
            <w:noProof/>
            <w:sz w:val="22"/>
            <w:szCs w:val="22"/>
          </w:rPr>
          <w:fldChar w:fldCharType="end"/>
        </w:r>
      </w:p>
    </w:sdtContent>
  </w:sdt>
  <w:p w14:paraId="22B96394" w14:textId="77777777" w:rsidR="00B20610" w:rsidRDefault="00B20610" w:rsidP="00B20610">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027346"/>
      <w:docPartObj>
        <w:docPartGallery w:val="Page Numbers (Bottom of Page)"/>
        <w:docPartUnique/>
      </w:docPartObj>
    </w:sdtPr>
    <w:sdtEndPr>
      <w:rPr>
        <w:noProof/>
      </w:rPr>
    </w:sdtEndPr>
    <w:sdtContent>
      <w:p w14:paraId="595079FE" w14:textId="77777777" w:rsidR="003D4931" w:rsidRDefault="003D49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64F3CA" w14:textId="77777777" w:rsidR="003D4931" w:rsidRDefault="003D49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50299" w14:textId="77777777" w:rsidR="00870643" w:rsidRDefault="00870643" w:rsidP="00B20610">
      <w:pPr>
        <w:spacing w:after="0" w:line="240" w:lineRule="auto"/>
      </w:pPr>
      <w:r>
        <w:separator/>
      </w:r>
    </w:p>
  </w:footnote>
  <w:footnote w:type="continuationSeparator" w:id="0">
    <w:p w14:paraId="06E72681" w14:textId="77777777" w:rsidR="00870643" w:rsidRDefault="00870643" w:rsidP="00B20610">
      <w:pPr>
        <w:spacing w:after="0" w:line="240" w:lineRule="auto"/>
      </w:pPr>
      <w:r>
        <w:continuationSeparator/>
      </w:r>
    </w:p>
  </w:footnote>
  <w:footnote w:type="continuationNotice" w:id="1">
    <w:p w14:paraId="20D9D76A" w14:textId="77777777" w:rsidR="00870643" w:rsidRDefault="00870643">
      <w:pPr>
        <w:spacing w:after="0" w:line="240" w:lineRule="auto"/>
      </w:pPr>
    </w:p>
  </w:footnote>
  <w:footnote w:id="2">
    <w:p w14:paraId="40C4951B" w14:textId="77777777" w:rsidR="00787C26" w:rsidRPr="00363E8B" w:rsidRDefault="00787C26" w:rsidP="00787C26">
      <w:pPr>
        <w:pStyle w:val="FootnoteText"/>
        <w:rPr>
          <w:rFonts w:ascii="Times New Roman" w:hAnsi="Times New Roman" w:cs="Times New Roman"/>
        </w:rPr>
      </w:pPr>
      <w:r w:rsidRPr="00363E8B">
        <w:rPr>
          <w:rStyle w:val="FootnoteReference"/>
          <w:rFonts w:ascii="Times New Roman" w:hAnsi="Times New Roman" w:cs="Times New Roman"/>
        </w:rPr>
        <w:footnoteRef/>
      </w:r>
      <w:r w:rsidRPr="00363E8B">
        <w:rPr>
          <w:rFonts w:ascii="Times New Roman" w:hAnsi="Times New Roman" w:cs="Times New Roman"/>
        </w:rPr>
        <w:t xml:space="preserve"> Note: Buprenorphine is also available as a six-month implant, but it represents a very small proportion of buprenorphine provided to Medicaid beneficiaries and was excluded from this analysis. The days supplied computation assumed that buprenorphine and naltrexone (i.e., Vivitrol) injections lasted 30 days.</w:t>
      </w:r>
    </w:p>
  </w:footnote>
  <w:footnote w:id="3">
    <w:p w14:paraId="50991482" w14:textId="77777777" w:rsidR="00787C26" w:rsidRPr="00363E8B" w:rsidRDefault="00787C26" w:rsidP="00787C26">
      <w:pPr>
        <w:pStyle w:val="FootnoteText"/>
        <w:rPr>
          <w:rFonts w:ascii="Times New Roman" w:hAnsi="Times New Roman" w:cs="Times New Roman"/>
        </w:rPr>
      </w:pPr>
      <w:r w:rsidRPr="00363E8B">
        <w:rPr>
          <w:rStyle w:val="FootnoteReference"/>
          <w:rFonts w:ascii="Times New Roman" w:hAnsi="Times New Roman" w:cs="Times New Roman"/>
        </w:rPr>
        <w:footnoteRef/>
      </w:r>
      <w:r w:rsidRPr="00363E8B">
        <w:rPr>
          <w:rFonts w:ascii="Times New Roman" w:hAnsi="Times New Roman" w:cs="Times New Roman"/>
        </w:rPr>
        <w:t xml:space="preserve"> The constraints were applied along with a scaling factor that applied equally to each of the five state-specific costs. This had the effect of constraining the relative costs among states based on NSDUH but not the absolute values. </w:t>
      </w:r>
    </w:p>
  </w:footnote>
  <w:footnote w:id="4">
    <w:p w14:paraId="1BB4A80E" w14:textId="77777777" w:rsidR="00787C26" w:rsidRPr="00363E8B" w:rsidRDefault="00787C26" w:rsidP="00787C26">
      <w:pPr>
        <w:pStyle w:val="FootnoteText"/>
        <w:rPr>
          <w:rFonts w:ascii="Times New Roman" w:hAnsi="Times New Roman" w:cs="Times New Roman"/>
        </w:rPr>
      </w:pPr>
      <w:r w:rsidRPr="00363E8B">
        <w:rPr>
          <w:rStyle w:val="FootnoteReference"/>
          <w:rFonts w:ascii="Times New Roman" w:hAnsi="Times New Roman" w:cs="Times New Roman"/>
        </w:rPr>
        <w:footnoteRef/>
      </w:r>
      <w:r w:rsidRPr="00363E8B">
        <w:rPr>
          <w:rFonts w:ascii="Times New Roman" w:hAnsi="Times New Roman" w:cs="Times New Roman"/>
        </w:rPr>
        <w:t xml:space="preserve"> Grosse and colleagues define non-market productivity as “performing household activities, caring and helping people, consumer purchases, volunteer activities, secondary childcare, and […] secondary eldercare.”</w:t>
      </w:r>
    </w:p>
  </w:footnote>
  <w:footnote w:id="5">
    <w:p w14:paraId="7C9FD8FB" w14:textId="77777777" w:rsidR="00787C26" w:rsidRDefault="00787C26" w:rsidP="00787C26">
      <w:pPr>
        <w:pStyle w:val="FootnoteText"/>
      </w:pPr>
      <w:r w:rsidRPr="00363E8B">
        <w:rPr>
          <w:rStyle w:val="FootnoteReference"/>
          <w:rFonts w:ascii="Times New Roman" w:hAnsi="Times New Roman" w:cs="Times New Roman"/>
        </w:rPr>
        <w:footnoteRef/>
      </w:r>
      <w:r w:rsidRPr="00363E8B">
        <w:rPr>
          <w:rFonts w:ascii="Times New Roman" w:hAnsi="Times New Roman" w:cs="Times New Roman"/>
        </w:rPr>
        <w:t xml:space="preserve"> For example, this implies that productivity for someone in the RX state was assumed to be 93.7% of someone of the same age and sex in the recovery state, which was assumed to have no decrement. Thus, the cost for being in the RX state was 6.3% of the full productivity estimate from Grosse et al. (2019).</w:t>
      </w:r>
    </w:p>
  </w:footnote>
  <w:footnote w:id="6">
    <w:p w14:paraId="1B54025B" w14:textId="77777777" w:rsidR="00787C26" w:rsidRPr="00363E8B" w:rsidRDefault="00787C26" w:rsidP="00787C26">
      <w:pPr>
        <w:pStyle w:val="FootnoteText"/>
        <w:rPr>
          <w:rFonts w:ascii="Times New Roman" w:hAnsi="Times New Roman" w:cs="Times New Roman"/>
        </w:rPr>
      </w:pPr>
      <w:r w:rsidRPr="00363E8B">
        <w:rPr>
          <w:rStyle w:val="FootnoteReference"/>
          <w:rFonts w:ascii="Times New Roman" w:hAnsi="Times New Roman" w:cs="Times New Roman"/>
        </w:rPr>
        <w:footnoteRef/>
      </w:r>
      <w:r w:rsidRPr="00363E8B">
        <w:rPr>
          <w:rFonts w:ascii="Times New Roman" w:hAnsi="Times New Roman" w:cs="Times New Roman"/>
        </w:rPr>
        <w:t xml:space="preserve"> Utilities were derived from responses to the SF-12, see Brazier, J. E., &amp; Roberts, J. (2004). The estimation of a preference-based measure of health from the SF-12. Medical care, 42(9), 851-859.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3AE3AE2"/>
    <w:lvl w:ilvl="0">
      <w:start w:val="1"/>
      <w:numFmt w:val="decimal"/>
      <w:lvlText w:val="%1."/>
      <w:lvlJc w:val="left"/>
      <w:pPr>
        <w:tabs>
          <w:tab w:val="num" w:pos="360"/>
        </w:tabs>
        <w:ind w:left="360" w:hanging="360"/>
      </w:pPr>
    </w:lvl>
  </w:abstractNum>
  <w:abstractNum w:abstractNumId="1" w15:restartNumberingAfterBreak="0">
    <w:nsid w:val="019F69F4"/>
    <w:multiLevelType w:val="hybridMultilevel"/>
    <w:tmpl w:val="04C08E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1D14EF"/>
    <w:multiLevelType w:val="hybridMultilevel"/>
    <w:tmpl w:val="39D03520"/>
    <w:lvl w:ilvl="0" w:tplc="778825C4">
      <w:start w:val="1"/>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1648D"/>
    <w:multiLevelType w:val="hybridMultilevel"/>
    <w:tmpl w:val="A36CD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46BB2"/>
    <w:multiLevelType w:val="multilevel"/>
    <w:tmpl w:val="52A26932"/>
    <w:lvl w:ilvl="0">
      <w:start w:val="1"/>
      <w:numFmt w:val="decimal"/>
      <w:lvlText w:val="%1."/>
      <w:lvlJc w:val="left"/>
      <w:pPr>
        <w:tabs>
          <w:tab w:val="num" w:pos="720"/>
        </w:tabs>
        <w:ind w:left="720" w:hanging="360"/>
      </w:pPr>
      <w:rPr>
        <w:rFonts w:asciiTheme="minorHAnsi" w:eastAsiaTheme="minorEastAsia" w:hAnsiTheme="minorHAnsi"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6C2FD6"/>
    <w:multiLevelType w:val="hybridMultilevel"/>
    <w:tmpl w:val="9EEC527A"/>
    <w:lvl w:ilvl="0" w:tplc="F8D229B0">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E1863"/>
    <w:multiLevelType w:val="hybridMultilevel"/>
    <w:tmpl w:val="01B82F32"/>
    <w:lvl w:ilvl="0" w:tplc="60E6B0FA">
      <w:numFmt w:val="bullet"/>
      <w:lvlText w:val="-"/>
      <w:lvlJc w:val="left"/>
      <w:pPr>
        <w:ind w:left="360" w:hanging="360"/>
      </w:pPr>
      <w:rPr>
        <w:rFonts w:ascii="Aptos" w:eastAsiaTheme="minorHAnsi" w:hAnsi="Apto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1A15D5C"/>
    <w:multiLevelType w:val="hybridMultilevel"/>
    <w:tmpl w:val="AFB43D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34648F"/>
    <w:multiLevelType w:val="hybridMultilevel"/>
    <w:tmpl w:val="7EEA668A"/>
    <w:lvl w:ilvl="0" w:tplc="5614A2B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484FE0"/>
    <w:multiLevelType w:val="hybridMultilevel"/>
    <w:tmpl w:val="70BC7AE2"/>
    <w:lvl w:ilvl="0" w:tplc="9260F5AC">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5F08DB"/>
    <w:multiLevelType w:val="hybridMultilevel"/>
    <w:tmpl w:val="C672B844"/>
    <w:lvl w:ilvl="0" w:tplc="0DC6D270">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7B41B5"/>
    <w:multiLevelType w:val="hybridMultilevel"/>
    <w:tmpl w:val="DD2204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7F5F55"/>
    <w:multiLevelType w:val="hybridMultilevel"/>
    <w:tmpl w:val="E6920006"/>
    <w:lvl w:ilvl="0" w:tplc="1D2EE76E">
      <w:numFmt w:val="bullet"/>
      <w:lvlText w:val="-"/>
      <w:lvlJc w:val="left"/>
      <w:pPr>
        <w:ind w:left="1080" w:hanging="360"/>
      </w:pPr>
      <w:rPr>
        <w:rFonts w:ascii="Arial" w:eastAsia="SimSu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1DD1A02"/>
    <w:multiLevelType w:val="hybridMultilevel"/>
    <w:tmpl w:val="8FD21672"/>
    <w:lvl w:ilvl="0" w:tplc="CD0CC04A">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9E57D5"/>
    <w:multiLevelType w:val="hybridMultilevel"/>
    <w:tmpl w:val="155CCC4E"/>
    <w:lvl w:ilvl="0" w:tplc="58E820D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D240D2"/>
    <w:multiLevelType w:val="hybridMultilevel"/>
    <w:tmpl w:val="11BA71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6730B9"/>
    <w:multiLevelType w:val="multilevel"/>
    <w:tmpl w:val="4E7A299A"/>
    <w:lvl w:ilvl="0">
      <w:start w:val="1"/>
      <w:numFmt w:val="decimal"/>
      <w:suff w:val="space"/>
      <w:lvlText w:val="%1."/>
      <w:lvlJc w:val="left"/>
      <w:pPr>
        <w:ind w:left="0" w:firstLine="0"/>
      </w:pPr>
      <w:rPr>
        <w:rFonts w:ascii="Arial Bold" w:hAnsi="Arial Bold" w:hint="default"/>
        <w:b/>
        <w:i w:val="0"/>
        <w:color w:val="44546A" w:themeColor="text2"/>
        <w:sz w:val="36"/>
        <w:szCs w:val="36"/>
      </w:rPr>
    </w:lvl>
    <w:lvl w:ilvl="1">
      <w:start w:val="1"/>
      <w:numFmt w:val="lowerLetter"/>
      <w:suff w:val="space"/>
      <w:lvlText w:val="%2."/>
      <w:lvlJc w:val="left"/>
      <w:pPr>
        <w:ind w:left="0" w:firstLine="0"/>
      </w:pPr>
      <w:rPr>
        <w:rFonts w:ascii="Arial" w:hAnsi="Arial" w:cs="Arial" w:hint="default"/>
        <w:b/>
        <w:i w:val="0"/>
        <w:sz w:val="28"/>
        <w:szCs w:val="28"/>
      </w:rPr>
    </w:lvl>
    <w:lvl w:ilvl="2">
      <w:start w:val="1"/>
      <w:numFmt w:val="none"/>
      <w:lvlText w:val=""/>
      <w:lvlJc w:val="left"/>
      <w:pPr>
        <w:ind w:left="0" w:firstLine="0"/>
      </w:pPr>
      <w:rPr>
        <w:rFonts w:ascii="Arial" w:hAnsi="Arial" w:cs="Arial" w:hint="default"/>
        <w:b/>
        <w:i w:val="0"/>
        <w:iCs w:val="0"/>
        <w:color w:val="C45911" w:themeColor="accent2" w:themeShade="BF"/>
        <w:sz w:val="24"/>
        <w:szCs w:val="24"/>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720" w:hanging="360"/>
      </w:pPr>
      <w:rPr>
        <w:rFonts w:hint="default"/>
        <w:color w:val="auto"/>
      </w:rPr>
    </w:lvl>
    <w:lvl w:ilvl="7">
      <w:start w:val="1"/>
      <w:numFmt w:val="lowerLetter"/>
      <w:lvlText w:val="%8."/>
      <w:lvlJc w:val="left"/>
      <w:pPr>
        <w:ind w:left="1080" w:hanging="360"/>
      </w:pPr>
      <w:rPr>
        <w:rFonts w:hint="default"/>
        <w:color w:val="4472C4" w:themeColor="accent1"/>
      </w:rPr>
    </w:lvl>
    <w:lvl w:ilvl="8">
      <w:start w:val="1"/>
      <w:numFmt w:val="lowerRoman"/>
      <w:lvlText w:val="%9."/>
      <w:lvlJc w:val="left"/>
      <w:pPr>
        <w:ind w:left="1440" w:hanging="360"/>
      </w:pPr>
      <w:rPr>
        <w:rFonts w:hint="default"/>
        <w:color w:val="4472C4" w:themeColor="accent1"/>
      </w:rPr>
    </w:lvl>
  </w:abstractNum>
  <w:abstractNum w:abstractNumId="17" w15:restartNumberingAfterBreak="0">
    <w:nsid w:val="3B974892"/>
    <w:multiLevelType w:val="hybridMultilevel"/>
    <w:tmpl w:val="73587B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464BA5"/>
    <w:multiLevelType w:val="hybridMultilevel"/>
    <w:tmpl w:val="E7F2DD46"/>
    <w:lvl w:ilvl="0" w:tplc="9C5AAA12">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4C57E76"/>
    <w:multiLevelType w:val="hybridMultilevel"/>
    <w:tmpl w:val="32986870"/>
    <w:lvl w:ilvl="0" w:tplc="C4DE0B0C">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AC7198"/>
    <w:multiLevelType w:val="hybridMultilevel"/>
    <w:tmpl w:val="889EB466"/>
    <w:lvl w:ilvl="0" w:tplc="A15A930A">
      <w:start w:val="1"/>
      <w:numFmt w:val="decimal"/>
      <w:lvlText w:val="%1)"/>
      <w:lvlJc w:val="left"/>
      <w:pPr>
        <w:ind w:left="720" w:hanging="360"/>
      </w:pPr>
      <w:rPr>
        <w:rFonts w:eastAsiaTheme="minorEastAs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840275"/>
    <w:multiLevelType w:val="hybridMultilevel"/>
    <w:tmpl w:val="151E6B4A"/>
    <w:lvl w:ilvl="0" w:tplc="77FC9D1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FF4720"/>
    <w:multiLevelType w:val="hybridMultilevel"/>
    <w:tmpl w:val="6BF04408"/>
    <w:lvl w:ilvl="0" w:tplc="C6B6AF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72794D"/>
    <w:multiLevelType w:val="hybridMultilevel"/>
    <w:tmpl w:val="89F2B01E"/>
    <w:lvl w:ilvl="0" w:tplc="CB3AEC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7E56AF"/>
    <w:multiLevelType w:val="hybridMultilevel"/>
    <w:tmpl w:val="73D08D42"/>
    <w:lvl w:ilvl="0" w:tplc="077A3804">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1663F3"/>
    <w:multiLevelType w:val="hybridMultilevel"/>
    <w:tmpl w:val="4F9A2604"/>
    <w:lvl w:ilvl="0" w:tplc="9260F5AC">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4D3464"/>
    <w:multiLevelType w:val="hybridMultilevel"/>
    <w:tmpl w:val="F43A0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D6553F"/>
    <w:multiLevelType w:val="hybridMultilevel"/>
    <w:tmpl w:val="52FE7220"/>
    <w:lvl w:ilvl="0" w:tplc="7B5CF56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CE2DEA"/>
    <w:multiLevelType w:val="hybridMultilevel"/>
    <w:tmpl w:val="B72806B6"/>
    <w:lvl w:ilvl="0" w:tplc="7618F03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420CC7"/>
    <w:multiLevelType w:val="hybridMultilevel"/>
    <w:tmpl w:val="1A5C7B92"/>
    <w:lvl w:ilvl="0" w:tplc="A5F0585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7C2AC1"/>
    <w:multiLevelType w:val="hybridMultilevel"/>
    <w:tmpl w:val="04C08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CA2F9F"/>
    <w:multiLevelType w:val="hybridMultilevel"/>
    <w:tmpl w:val="67E670C0"/>
    <w:lvl w:ilvl="0" w:tplc="C4DE0B0C">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8413181">
    <w:abstractNumId w:val="22"/>
  </w:num>
  <w:num w:numId="2" w16cid:durableId="633369317">
    <w:abstractNumId w:val="8"/>
  </w:num>
  <w:num w:numId="3" w16cid:durableId="23603081">
    <w:abstractNumId w:val="23"/>
  </w:num>
  <w:num w:numId="4" w16cid:durableId="1701124553">
    <w:abstractNumId w:val="29"/>
  </w:num>
  <w:num w:numId="5" w16cid:durableId="1108696162">
    <w:abstractNumId w:val="28"/>
  </w:num>
  <w:num w:numId="6" w16cid:durableId="1697074473">
    <w:abstractNumId w:val="13"/>
  </w:num>
  <w:num w:numId="7" w16cid:durableId="1399789772">
    <w:abstractNumId w:val="26"/>
  </w:num>
  <w:num w:numId="8" w16cid:durableId="1115902908">
    <w:abstractNumId w:val="14"/>
  </w:num>
  <w:num w:numId="9" w16cid:durableId="798107456">
    <w:abstractNumId w:val="16"/>
  </w:num>
  <w:num w:numId="10" w16cid:durableId="18626515">
    <w:abstractNumId w:val="2"/>
  </w:num>
  <w:num w:numId="11" w16cid:durableId="976253562">
    <w:abstractNumId w:val="5"/>
  </w:num>
  <w:num w:numId="12" w16cid:durableId="1214852552">
    <w:abstractNumId w:val="15"/>
  </w:num>
  <w:num w:numId="13" w16cid:durableId="721320669">
    <w:abstractNumId w:val="12"/>
  </w:num>
  <w:num w:numId="14" w16cid:durableId="585963626">
    <w:abstractNumId w:val="9"/>
  </w:num>
  <w:num w:numId="15" w16cid:durableId="2105297626">
    <w:abstractNumId w:val="4"/>
  </w:num>
  <w:num w:numId="16" w16cid:durableId="708074103">
    <w:abstractNumId w:val="19"/>
  </w:num>
  <w:num w:numId="17" w16cid:durableId="1131170790">
    <w:abstractNumId w:val="31"/>
  </w:num>
  <w:num w:numId="18" w16cid:durableId="1280407275">
    <w:abstractNumId w:val="25"/>
  </w:num>
  <w:num w:numId="19" w16cid:durableId="829175971">
    <w:abstractNumId w:val="30"/>
  </w:num>
  <w:num w:numId="20" w16cid:durableId="2091848845">
    <w:abstractNumId w:val="1"/>
  </w:num>
  <w:num w:numId="21" w16cid:durableId="1731340340">
    <w:abstractNumId w:val="0"/>
  </w:num>
  <w:num w:numId="22" w16cid:durableId="643895304">
    <w:abstractNumId w:val="11"/>
  </w:num>
  <w:num w:numId="23" w16cid:durableId="765813246">
    <w:abstractNumId w:val="7"/>
  </w:num>
  <w:num w:numId="24" w16cid:durableId="1060328915">
    <w:abstractNumId w:val="18"/>
  </w:num>
  <w:num w:numId="25" w16cid:durableId="453983350">
    <w:abstractNumId w:val="17"/>
  </w:num>
  <w:num w:numId="26" w16cid:durableId="804542829">
    <w:abstractNumId w:val="24"/>
  </w:num>
  <w:num w:numId="27" w16cid:durableId="1582912168">
    <w:abstractNumId w:val="20"/>
  </w:num>
  <w:num w:numId="28" w16cid:durableId="341250252">
    <w:abstractNumId w:val="10"/>
  </w:num>
  <w:num w:numId="29" w16cid:durableId="1863595057">
    <w:abstractNumId w:val="3"/>
  </w:num>
  <w:num w:numId="30" w16cid:durableId="163060364">
    <w:abstractNumId w:val="6"/>
  </w:num>
  <w:num w:numId="31" w16cid:durableId="501164315">
    <w:abstractNumId w:val="21"/>
  </w:num>
  <w:num w:numId="32" w16cid:durableId="2685086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YCCxMzczMTcyNDI0MDUyUdpeDU4uLM/DyQAhODWgBC1/Q2LQAAAA=="/>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wwedrtwnpw20vervr1p9p2y9exw2awedx5t&quot;&gt;HCS_CEA&lt;record-ids&gt;&lt;item&gt;13&lt;/item&gt;&lt;item&gt;14&lt;/item&gt;&lt;item&gt;23&lt;/item&gt;&lt;item&gt;36&lt;/item&gt;&lt;item&gt;38&lt;/item&gt;&lt;item&gt;61&lt;/item&gt;&lt;/record-ids&gt;&lt;/item&gt;&lt;/Libraries&gt;"/>
  </w:docVars>
  <w:rsids>
    <w:rsidRoot w:val="001167DF"/>
    <w:rsid w:val="00000302"/>
    <w:rsid w:val="000030EE"/>
    <w:rsid w:val="0000346B"/>
    <w:rsid w:val="0000360C"/>
    <w:rsid w:val="00003AB0"/>
    <w:rsid w:val="00003B3E"/>
    <w:rsid w:val="00003C3D"/>
    <w:rsid w:val="00003E13"/>
    <w:rsid w:val="00004074"/>
    <w:rsid w:val="000040DC"/>
    <w:rsid w:val="000048FE"/>
    <w:rsid w:val="00004EF4"/>
    <w:rsid w:val="0000524F"/>
    <w:rsid w:val="00006CE0"/>
    <w:rsid w:val="00007191"/>
    <w:rsid w:val="00007B86"/>
    <w:rsid w:val="00007DE7"/>
    <w:rsid w:val="00007F6C"/>
    <w:rsid w:val="00011D9F"/>
    <w:rsid w:val="000129D7"/>
    <w:rsid w:val="00012ADF"/>
    <w:rsid w:val="00012C1F"/>
    <w:rsid w:val="00013986"/>
    <w:rsid w:val="00014C74"/>
    <w:rsid w:val="00015144"/>
    <w:rsid w:val="00015640"/>
    <w:rsid w:val="000158A7"/>
    <w:rsid w:val="000158EF"/>
    <w:rsid w:val="00016988"/>
    <w:rsid w:val="00016A49"/>
    <w:rsid w:val="00020FF0"/>
    <w:rsid w:val="000219D2"/>
    <w:rsid w:val="00021F7F"/>
    <w:rsid w:val="0002251A"/>
    <w:rsid w:val="0002268E"/>
    <w:rsid w:val="00023BCF"/>
    <w:rsid w:val="0002487E"/>
    <w:rsid w:val="0002535B"/>
    <w:rsid w:val="00025BA6"/>
    <w:rsid w:val="00026DA5"/>
    <w:rsid w:val="00026E38"/>
    <w:rsid w:val="000302B4"/>
    <w:rsid w:val="000304D0"/>
    <w:rsid w:val="000308D1"/>
    <w:rsid w:val="00030DF1"/>
    <w:rsid w:val="0003127D"/>
    <w:rsid w:val="00031A99"/>
    <w:rsid w:val="00032429"/>
    <w:rsid w:val="00032434"/>
    <w:rsid w:val="0003265C"/>
    <w:rsid w:val="000326C8"/>
    <w:rsid w:val="00033CBA"/>
    <w:rsid w:val="000343C4"/>
    <w:rsid w:val="000346A0"/>
    <w:rsid w:val="000352D2"/>
    <w:rsid w:val="0003565C"/>
    <w:rsid w:val="000356E4"/>
    <w:rsid w:val="0003661E"/>
    <w:rsid w:val="00036705"/>
    <w:rsid w:val="000368ED"/>
    <w:rsid w:val="00036BEF"/>
    <w:rsid w:val="00036F00"/>
    <w:rsid w:val="000373AE"/>
    <w:rsid w:val="00037551"/>
    <w:rsid w:val="00040EC5"/>
    <w:rsid w:val="00041263"/>
    <w:rsid w:val="000412BE"/>
    <w:rsid w:val="00043530"/>
    <w:rsid w:val="00043696"/>
    <w:rsid w:val="00044514"/>
    <w:rsid w:val="000446B0"/>
    <w:rsid w:val="00044E17"/>
    <w:rsid w:val="00045875"/>
    <w:rsid w:val="0004651E"/>
    <w:rsid w:val="000466B5"/>
    <w:rsid w:val="000466F2"/>
    <w:rsid w:val="00046765"/>
    <w:rsid w:val="00046BF8"/>
    <w:rsid w:val="00047592"/>
    <w:rsid w:val="00047F13"/>
    <w:rsid w:val="00051775"/>
    <w:rsid w:val="000519C8"/>
    <w:rsid w:val="00051A39"/>
    <w:rsid w:val="00051F3E"/>
    <w:rsid w:val="0005225B"/>
    <w:rsid w:val="00052896"/>
    <w:rsid w:val="000529A6"/>
    <w:rsid w:val="000538F4"/>
    <w:rsid w:val="00054216"/>
    <w:rsid w:val="0005451A"/>
    <w:rsid w:val="0005680B"/>
    <w:rsid w:val="000578C3"/>
    <w:rsid w:val="0005796F"/>
    <w:rsid w:val="00060B93"/>
    <w:rsid w:val="00061A36"/>
    <w:rsid w:val="00061D92"/>
    <w:rsid w:val="00063B83"/>
    <w:rsid w:val="00065D73"/>
    <w:rsid w:val="00065F66"/>
    <w:rsid w:val="000670EF"/>
    <w:rsid w:val="0006799C"/>
    <w:rsid w:val="00067AD8"/>
    <w:rsid w:val="00070DCB"/>
    <w:rsid w:val="00070F7F"/>
    <w:rsid w:val="00071249"/>
    <w:rsid w:val="000721D8"/>
    <w:rsid w:val="000724B9"/>
    <w:rsid w:val="00072623"/>
    <w:rsid w:val="0007288F"/>
    <w:rsid w:val="00072CB4"/>
    <w:rsid w:val="000730BE"/>
    <w:rsid w:val="00073F8D"/>
    <w:rsid w:val="00074180"/>
    <w:rsid w:val="00075D67"/>
    <w:rsid w:val="0007646E"/>
    <w:rsid w:val="0007691D"/>
    <w:rsid w:val="00077536"/>
    <w:rsid w:val="00081917"/>
    <w:rsid w:val="000820C3"/>
    <w:rsid w:val="000853F5"/>
    <w:rsid w:val="000863A0"/>
    <w:rsid w:val="000878DC"/>
    <w:rsid w:val="00087C96"/>
    <w:rsid w:val="00087D10"/>
    <w:rsid w:val="000904C0"/>
    <w:rsid w:val="00090C86"/>
    <w:rsid w:val="00091093"/>
    <w:rsid w:val="00091BC9"/>
    <w:rsid w:val="000923ED"/>
    <w:rsid w:val="000929A1"/>
    <w:rsid w:val="000931C5"/>
    <w:rsid w:val="00093892"/>
    <w:rsid w:val="00093C42"/>
    <w:rsid w:val="00094578"/>
    <w:rsid w:val="00094DBA"/>
    <w:rsid w:val="0009519C"/>
    <w:rsid w:val="00097321"/>
    <w:rsid w:val="00097A41"/>
    <w:rsid w:val="000A0AD0"/>
    <w:rsid w:val="000A175C"/>
    <w:rsid w:val="000A2AA2"/>
    <w:rsid w:val="000A3F43"/>
    <w:rsid w:val="000A458C"/>
    <w:rsid w:val="000B04AA"/>
    <w:rsid w:val="000B0807"/>
    <w:rsid w:val="000B2A42"/>
    <w:rsid w:val="000B3B9C"/>
    <w:rsid w:val="000B483E"/>
    <w:rsid w:val="000C1410"/>
    <w:rsid w:val="000C166C"/>
    <w:rsid w:val="000C1861"/>
    <w:rsid w:val="000C389F"/>
    <w:rsid w:val="000C3996"/>
    <w:rsid w:val="000C3CCB"/>
    <w:rsid w:val="000C41A7"/>
    <w:rsid w:val="000C44A1"/>
    <w:rsid w:val="000C517B"/>
    <w:rsid w:val="000C623E"/>
    <w:rsid w:val="000D06CB"/>
    <w:rsid w:val="000D0BAA"/>
    <w:rsid w:val="000D1356"/>
    <w:rsid w:val="000D1F0E"/>
    <w:rsid w:val="000D24D0"/>
    <w:rsid w:val="000D273C"/>
    <w:rsid w:val="000D4852"/>
    <w:rsid w:val="000D610E"/>
    <w:rsid w:val="000D62AE"/>
    <w:rsid w:val="000D67F8"/>
    <w:rsid w:val="000D6C05"/>
    <w:rsid w:val="000D7FCA"/>
    <w:rsid w:val="000E2627"/>
    <w:rsid w:val="000E295B"/>
    <w:rsid w:val="000E2C3D"/>
    <w:rsid w:val="000E2D09"/>
    <w:rsid w:val="000E3426"/>
    <w:rsid w:val="000E3739"/>
    <w:rsid w:val="000E4EB1"/>
    <w:rsid w:val="000E55B1"/>
    <w:rsid w:val="000E5DA4"/>
    <w:rsid w:val="000E6906"/>
    <w:rsid w:val="000E6C54"/>
    <w:rsid w:val="000E74C7"/>
    <w:rsid w:val="000E7B94"/>
    <w:rsid w:val="000F0173"/>
    <w:rsid w:val="000F0BF2"/>
    <w:rsid w:val="000F0DE7"/>
    <w:rsid w:val="000F1F98"/>
    <w:rsid w:val="000F2103"/>
    <w:rsid w:val="000F2454"/>
    <w:rsid w:val="000F2E6F"/>
    <w:rsid w:val="000F2EA6"/>
    <w:rsid w:val="000F311B"/>
    <w:rsid w:val="000F3960"/>
    <w:rsid w:val="000F4472"/>
    <w:rsid w:val="000F5440"/>
    <w:rsid w:val="000F5A35"/>
    <w:rsid w:val="000F5F34"/>
    <w:rsid w:val="000F6207"/>
    <w:rsid w:val="000F76C7"/>
    <w:rsid w:val="000F793F"/>
    <w:rsid w:val="000F7FBE"/>
    <w:rsid w:val="0010150F"/>
    <w:rsid w:val="00102879"/>
    <w:rsid w:val="00102F96"/>
    <w:rsid w:val="00103516"/>
    <w:rsid w:val="00103DC7"/>
    <w:rsid w:val="0010469B"/>
    <w:rsid w:val="00105477"/>
    <w:rsid w:val="00105EAF"/>
    <w:rsid w:val="00106BF4"/>
    <w:rsid w:val="00107172"/>
    <w:rsid w:val="00107D34"/>
    <w:rsid w:val="00110FE4"/>
    <w:rsid w:val="00111ED7"/>
    <w:rsid w:val="0011229A"/>
    <w:rsid w:val="00112806"/>
    <w:rsid w:val="001148C7"/>
    <w:rsid w:val="001159B8"/>
    <w:rsid w:val="001161D1"/>
    <w:rsid w:val="00116448"/>
    <w:rsid w:val="001167DF"/>
    <w:rsid w:val="00116917"/>
    <w:rsid w:val="00116930"/>
    <w:rsid w:val="001171A8"/>
    <w:rsid w:val="001174DF"/>
    <w:rsid w:val="00117719"/>
    <w:rsid w:val="00120F54"/>
    <w:rsid w:val="0012187D"/>
    <w:rsid w:val="00121D3F"/>
    <w:rsid w:val="00122115"/>
    <w:rsid w:val="0012296A"/>
    <w:rsid w:val="001234FA"/>
    <w:rsid w:val="00124575"/>
    <w:rsid w:val="00125508"/>
    <w:rsid w:val="00125BDA"/>
    <w:rsid w:val="00125D7A"/>
    <w:rsid w:val="00126567"/>
    <w:rsid w:val="001265DA"/>
    <w:rsid w:val="001271E6"/>
    <w:rsid w:val="00131217"/>
    <w:rsid w:val="00132027"/>
    <w:rsid w:val="00133698"/>
    <w:rsid w:val="00133BD2"/>
    <w:rsid w:val="00135E7C"/>
    <w:rsid w:val="00136557"/>
    <w:rsid w:val="00136D30"/>
    <w:rsid w:val="00137527"/>
    <w:rsid w:val="00137FF5"/>
    <w:rsid w:val="0014028E"/>
    <w:rsid w:val="00140B2C"/>
    <w:rsid w:val="00141C6A"/>
    <w:rsid w:val="001434DF"/>
    <w:rsid w:val="00143B54"/>
    <w:rsid w:val="00146317"/>
    <w:rsid w:val="00147283"/>
    <w:rsid w:val="00147696"/>
    <w:rsid w:val="00147747"/>
    <w:rsid w:val="00147A76"/>
    <w:rsid w:val="00147B11"/>
    <w:rsid w:val="001525F4"/>
    <w:rsid w:val="001528ED"/>
    <w:rsid w:val="00154468"/>
    <w:rsid w:val="00154DCB"/>
    <w:rsid w:val="001553C7"/>
    <w:rsid w:val="001567FB"/>
    <w:rsid w:val="001568CA"/>
    <w:rsid w:val="00157067"/>
    <w:rsid w:val="00157211"/>
    <w:rsid w:val="00160F1F"/>
    <w:rsid w:val="00161C17"/>
    <w:rsid w:val="00162670"/>
    <w:rsid w:val="0016395C"/>
    <w:rsid w:val="00163EA7"/>
    <w:rsid w:val="001665C8"/>
    <w:rsid w:val="001667C4"/>
    <w:rsid w:val="00166A52"/>
    <w:rsid w:val="0017141F"/>
    <w:rsid w:val="00171899"/>
    <w:rsid w:val="00173BDA"/>
    <w:rsid w:val="0017455D"/>
    <w:rsid w:val="00174977"/>
    <w:rsid w:val="00175039"/>
    <w:rsid w:val="001758EB"/>
    <w:rsid w:val="00175AD4"/>
    <w:rsid w:val="00176527"/>
    <w:rsid w:val="00176A79"/>
    <w:rsid w:val="0018041D"/>
    <w:rsid w:val="00181890"/>
    <w:rsid w:val="001826D7"/>
    <w:rsid w:val="00182C4E"/>
    <w:rsid w:val="001838AC"/>
    <w:rsid w:val="00183C42"/>
    <w:rsid w:val="00183DE6"/>
    <w:rsid w:val="00184A76"/>
    <w:rsid w:val="00184DDD"/>
    <w:rsid w:val="0018521E"/>
    <w:rsid w:val="00186BAD"/>
    <w:rsid w:val="00187195"/>
    <w:rsid w:val="00190493"/>
    <w:rsid w:val="00191287"/>
    <w:rsid w:val="00191726"/>
    <w:rsid w:val="00192381"/>
    <w:rsid w:val="00193155"/>
    <w:rsid w:val="001933D1"/>
    <w:rsid w:val="00195276"/>
    <w:rsid w:val="00196B75"/>
    <w:rsid w:val="00196DB0"/>
    <w:rsid w:val="001976B6"/>
    <w:rsid w:val="00197AB7"/>
    <w:rsid w:val="001A0ABA"/>
    <w:rsid w:val="001A149D"/>
    <w:rsid w:val="001A1BD6"/>
    <w:rsid w:val="001A201E"/>
    <w:rsid w:val="001A275A"/>
    <w:rsid w:val="001A3656"/>
    <w:rsid w:val="001A3F27"/>
    <w:rsid w:val="001A4A0A"/>
    <w:rsid w:val="001A4AB1"/>
    <w:rsid w:val="001A4F6E"/>
    <w:rsid w:val="001A5297"/>
    <w:rsid w:val="001A5BEA"/>
    <w:rsid w:val="001A67EF"/>
    <w:rsid w:val="001A6A62"/>
    <w:rsid w:val="001A7349"/>
    <w:rsid w:val="001A7DDA"/>
    <w:rsid w:val="001B1823"/>
    <w:rsid w:val="001B2006"/>
    <w:rsid w:val="001B234B"/>
    <w:rsid w:val="001B2F20"/>
    <w:rsid w:val="001B32BD"/>
    <w:rsid w:val="001B35DB"/>
    <w:rsid w:val="001B39F9"/>
    <w:rsid w:val="001B5451"/>
    <w:rsid w:val="001B5BB3"/>
    <w:rsid w:val="001B6B8B"/>
    <w:rsid w:val="001B7D4E"/>
    <w:rsid w:val="001B7EF0"/>
    <w:rsid w:val="001C1D13"/>
    <w:rsid w:val="001C2103"/>
    <w:rsid w:val="001C2798"/>
    <w:rsid w:val="001C2B95"/>
    <w:rsid w:val="001C2FBB"/>
    <w:rsid w:val="001C3682"/>
    <w:rsid w:val="001C4810"/>
    <w:rsid w:val="001C4AE7"/>
    <w:rsid w:val="001C56B8"/>
    <w:rsid w:val="001C5DDD"/>
    <w:rsid w:val="001C762F"/>
    <w:rsid w:val="001C7E89"/>
    <w:rsid w:val="001C7ECD"/>
    <w:rsid w:val="001D1470"/>
    <w:rsid w:val="001D1583"/>
    <w:rsid w:val="001D1635"/>
    <w:rsid w:val="001D2C49"/>
    <w:rsid w:val="001D418E"/>
    <w:rsid w:val="001D57A3"/>
    <w:rsid w:val="001D5D8C"/>
    <w:rsid w:val="001D7F80"/>
    <w:rsid w:val="001E0C03"/>
    <w:rsid w:val="001E102E"/>
    <w:rsid w:val="001E16E0"/>
    <w:rsid w:val="001E2923"/>
    <w:rsid w:val="001E3796"/>
    <w:rsid w:val="001E3A99"/>
    <w:rsid w:val="001E56C2"/>
    <w:rsid w:val="001E595A"/>
    <w:rsid w:val="001E6198"/>
    <w:rsid w:val="001E6755"/>
    <w:rsid w:val="001E6A6F"/>
    <w:rsid w:val="001E6B85"/>
    <w:rsid w:val="001E7853"/>
    <w:rsid w:val="001E7B65"/>
    <w:rsid w:val="001F3A03"/>
    <w:rsid w:val="001F40D9"/>
    <w:rsid w:val="001F5C97"/>
    <w:rsid w:val="001F60AE"/>
    <w:rsid w:val="001F6375"/>
    <w:rsid w:val="001F6539"/>
    <w:rsid w:val="001F7300"/>
    <w:rsid w:val="00200014"/>
    <w:rsid w:val="002007F6"/>
    <w:rsid w:val="00201460"/>
    <w:rsid w:val="002015C5"/>
    <w:rsid w:val="00201872"/>
    <w:rsid w:val="0020226C"/>
    <w:rsid w:val="00203D9B"/>
    <w:rsid w:val="00204B73"/>
    <w:rsid w:val="00205B74"/>
    <w:rsid w:val="00206137"/>
    <w:rsid w:val="00207248"/>
    <w:rsid w:val="00207C5A"/>
    <w:rsid w:val="00207D31"/>
    <w:rsid w:val="00210520"/>
    <w:rsid w:val="00210661"/>
    <w:rsid w:val="00211A12"/>
    <w:rsid w:val="00212280"/>
    <w:rsid w:val="002126DE"/>
    <w:rsid w:val="00212C68"/>
    <w:rsid w:val="00213C2D"/>
    <w:rsid w:val="00213DDD"/>
    <w:rsid w:val="002144D9"/>
    <w:rsid w:val="00214A51"/>
    <w:rsid w:val="00214D33"/>
    <w:rsid w:val="00214E60"/>
    <w:rsid w:val="002150D2"/>
    <w:rsid w:val="00215487"/>
    <w:rsid w:val="002155B5"/>
    <w:rsid w:val="0021577F"/>
    <w:rsid w:val="002158B4"/>
    <w:rsid w:val="002172D7"/>
    <w:rsid w:val="002176AC"/>
    <w:rsid w:val="00217962"/>
    <w:rsid w:val="00217F2C"/>
    <w:rsid w:val="00220134"/>
    <w:rsid w:val="00222A32"/>
    <w:rsid w:val="00222B0E"/>
    <w:rsid w:val="00222FCC"/>
    <w:rsid w:val="00224A79"/>
    <w:rsid w:val="00224AC9"/>
    <w:rsid w:val="002250C3"/>
    <w:rsid w:val="0022513F"/>
    <w:rsid w:val="002263CC"/>
    <w:rsid w:val="00226E39"/>
    <w:rsid w:val="00226FF2"/>
    <w:rsid w:val="00227FFE"/>
    <w:rsid w:val="00231557"/>
    <w:rsid w:val="00231C9C"/>
    <w:rsid w:val="002326D1"/>
    <w:rsid w:val="002329D3"/>
    <w:rsid w:val="00232AB0"/>
    <w:rsid w:val="00232C4C"/>
    <w:rsid w:val="00233BE5"/>
    <w:rsid w:val="00234630"/>
    <w:rsid w:val="00234EC5"/>
    <w:rsid w:val="002353A2"/>
    <w:rsid w:val="00236274"/>
    <w:rsid w:val="002374DE"/>
    <w:rsid w:val="00237E56"/>
    <w:rsid w:val="0024078E"/>
    <w:rsid w:val="00240A5E"/>
    <w:rsid w:val="002421EF"/>
    <w:rsid w:val="002431D1"/>
    <w:rsid w:val="00244B7E"/>
    <w:rsid w:val="00244D5B"/>
    <w:rsid w:val="00245068"/>
    <w:rsid w:val="0024553D"/>
    <w:rsid w:val="0024617A"/>
    <w:rsid w:val="0025110D"/>
    <w:rsid w:val="00251B69"/>
    <w:rsid w:val="00252B0B"/>
    <w:rsid w:val="00253974"/>
    <w:rsid w:val="00253C4A"/>
    <w:rsid w:val="00253D6C"/>
    <w:rsid w:val="0025460D"/>
    <w:rsid w:val="0025477C"/>
    <w:rsid w:val="00254A71"/>
    <w:rsid w:val="00254C32"/>
    <w:rsid w:val="00256F25"/>
    <w:rsid w:val="00257B18"/>
    <w:rsid w:val="00261666"/>
    <w:rsid w:val="00262C78"/>
    <w:rsid w:val="00262CBB"/>
    <w:rsid w:val="002644FD"/>
    <w:rsid w:val="00264F9C"/>
    <w:rsid w:val="0026576A"/>
    <w:rsid w:val="00266367"/>
    <w:rsid w:val="0026705C"/>
    <w:rsid w:val="00267851"/>
    <w:rsid w:val="00267A63"/>
    <w:rsid w:val="00270334"/>
    <w:rsid w:val="002724E1"/>
    <w:rsid w:val="00272ED0"/>
    <w:rsid w:val="002749E3"/>
    <w:rsid w:val="00275282"/>
    <w:rsid w:val="00275EA8"/>
    <w:rsid w:val="00276612"/>
    <w:rsid w:val="0027662D"/>
    <w:rsid w:val="00276D04"/>
    <w:rsid w:val="00277E20"/>
    <w:rsid w:val="00280473"/>
    <w:rsid w:val="00282C01"/>
    <w:rsid w:val="002836FA"/>
    <w:rsid w:val="00283E06"/>
    <w:rsid w:val="0028417B"/>
    <w:rsid w:val="00284A77"/>
    <w:rsid w:val="00284CB2"/>
    <w:rsid w:val="00284F0C"/>
    <w:rsid w:val="00285B76"/>
    <w:rsid w:val="00286489"/>
    <w:rsid w:val="0028696A"/>
    <w:rsid w:val="002906F1"/>
    <w:rsid w:val="002909D7"/>
    <w:rsid w:val="00291564"/>
    <w:rsid w:val="00291748"/>
    <w:rsid w:val="002948A5"/>
    <w:rsid w:val="0029565F"/>
    <w:rsid w:val="00295B4B"/>
    <w:rsid w:val="002967CC"/>
    <w:rsid w:val="002968EE"/>
    <w:rsid w:val="00296EA3"/>
    <w:rsid w:val="00296ED3"/>
    <w:rsid w:val="0029742F"/>
    <w:rsid w:val="002976F8"/>
    <w:rsid w:val="002A008A"/>
    <w:rsid w:val="002A10AD"/>
    <w:rsid w:val="002A1531"/>
    <w:rsid w:val="002A2591"/>
    <w:rsid w:val="002A28D6"/>
    <w:rsid w:val="002A3204"/>
    <w:rsid w:val="002A3508"/>
    <w:rsid w:val="002A4D6D"/>
    <w:rsid w:val="002A71DC"/>
    <w:rsid w:val="002B11CB"/>
    <w:rsid w:val="002B2832"/>
    <w:rsid w:val="002B2878"/>
    <w:rsid w:val="002B32E4"/>
    <w:rsid w:val="002B3FB6"/>
    <w:rsid w:val="002B4199"/>
    <w:rsid w:val="002B489E"/>
    <w:rsid w:val="002B6E56"/>
    <w:rsid w:val="002C0246"/>
    <w:rsid w:val="002C0898"/>
    <w:rsid w:val="002C13F0"/>
    <w:rsid w:val="002C28F1"/>
    <w:rsid w:val="002C2CA6"/>
    <w:rsid w:val="002C34EB"/>
    <w:rsid w:val="002C5DCD"/>
    <w:rsid w:val="002C6935"/>
    <w:rsid w:val="002C6AD0"/>
    <w:rsid w:val="002C7766"/>
    <w:rsid w:val="002D059F"/>
    <w:rsid w:val="002D1072"/>
    <w:rsid w:val="002D1E76"/>
    <w:rsid w:val="002D1E8E"/>
    <w:rsid w:val="002D3AEF"/>
    <w:rsid w:val="002D4725"/>
    <w:rsid w:val="002D5943"/>
    <w:rsid w:val="002D7D9F"/>
    <w:rsid w:val="002E184F"/>
    <w:rsid w:val="002E1D4E"/>
    <w:rsid w:val="002E2310"/>
    <w:rsid w:val="002E244E"/>
    <w:rsid w:val="002E2D74"/>
    <w:rsid w:val="002E2ED9"/>
    <w:rsid w:val="002E34BC"/>
    <w:rsid w:val="002E3919"/>
    <w:rsid w:val="002E39C2"/>
    <w:rsid w:val="002E42C8"/>
    <w:rsid w:val="002E4DBA"/>
    <w:rsid w:val="002E76B5"/>
    <w:rsid w:val="002E7E1A"/>
    <w:rsid w:val="002F018A"/>
    <w:rsid w:val="002F05BC"/>
    <w:rsid w:val="002F1547"/>
    <w:rsid w:val="002F22B5"/>
    <w:rsid w:val="002F29A4"/>
    <w:rsid w:val="002F33BA"/>
    <w:rsid w:val="002F3B86"/>
    <w:rsid w:val="002F3FA0"/>
    <w:rsid w:val="002F43CB"/>
    <w:rsid w:val="002F53C3"/>
    <w:rsid w:val="002F54CA"/>
    <w:rsid w:val="002F6725"/>
    <w:rsid w:val="002F698B"/>
    <w:rsid w:val="002F6D85"/>
    <w:rsid w:val="002F7FE7"/>
    <w:rsid w:val="00301A4F"/>
    <w:rsid w:val="00302405"/>
    <w:rsid w:val="0030306C"/>
    <w:rsid w:val="003046BA"/>
    <w:rsid w:val="0030596C"/>
    <w:rsid w:val="00306F6F"/>
    <w:rsid w:val="00306FAE"/>
    <w:rsid w:val="003100C9"/>
    <w:rsid w:val="00310246"/>
    <w:rsid w:val="003113D6"/>
    <w:rsid w:val="003117C4"/>
    <w:rsid w:val="00312418"/>
    <w:rsid w:val="003124C2"/>
    <w:rsid w:val="00312A84"/>
    <w:rsid w:val="0031316B"/>
    <w:rsid w:val="00314772"/>
    <w:rsid w:val="00314C82"/>
    <w:rsid w:val="00314C85"/>
    <w:rsid w:val="00315D08"/>
    <w:rsid w:val="00316E65"/>
    <w:rsid w:val="003170CC"/>
    <w:rsid w:val="003171F2"/>
    <w:rsid w:val="00320F04"/>
    <w:rsid w:val="0032131C"/>
    <w:rsid w:val="0032182F"/>
    <w:rsid w:val="00322756"/>
    <w:rsid w:val="0032275B"/>
    <w:rsid w:val="00323728"/>
    <w:rsid w:val="00323E65"/>
    <w:rsid w:val="00324CE2"/>
    <w:rsid w:val="00325A26"/>
    <w:rsid w:val="003269BC"/>
    <w:rsid w:val="00326BEB"/>
    <w:rsid w:val="00327390"/>
    <w:rsid w:val="00327675"/>
    <w:rsid w:val="0033078E"/>
    <w:rsid w:val="00330F38"/>
    <w:rsid w:val="00331BD7"/>
    <w:rsid w:val="003321F3"/>
    <w:rsid w:val="00332B2F"/>
    <w:rsid w:val="00334F59"/>
    <w:rsid w:val="003356F6"/>
    <w:rsid w:val="00335CE7"/>
    <w:rsid w:val="0033625B"/>
    <w:rsid w:val="003362A5"/>
    <w:rsid w:val="0033683A"/>
    <w:rsid w:val="00336BC5"/>
    <w:rsid w:val="003376FD"/>
    <w:rsid w:val="00337B71"/>
    <w:rsid w:val="00340240"/>
    <w:rsid w:val="00340750"/>
    <w:rsid w:val="003409F2"/>
    <w:rsid w:val="003413B0"/>
    <w:rsid w:val="003415D9"/>
    <w:rsid w:val="00342646"/>
    <w:rsid w:val="003467F4"/>
    <w:rsid w:val="00347248"/>
    <w:rsid w:val="003504D2"/>
    <w:rsid w:val="00350DD6"/>
    <w:rsid w:val="00351EB3"/>
    <w:rsid w:val="00351F24"/>
    <w:rsid w:val="00352DAF"/>
    <w:rsid w:val="003533CF"/>
    <w:rsid w:val="00353B42"/>
    <w:rsid w:val="00354D57"/>
    <w:rsid w:val="00354E74"/>
    <w:rsid w:val="00354EC4"/>
    <w:rsid w:val="00355B74"/>
    <w:rsid w:val="003567EB"/>
    <w:rsid w:val="00360AC1"/>
    <w:rsid w:val="00361819"/>
    <w:rsid w:val="00362EAF"/>
    <w:rsid w:val="00363CA6"/>
    <w:rsid w:val="00363E8B"/>
    <w:rsid w:val="00363F00"/>
    <w:rsid w:val="00364926"/>
    <w:rsid w:val="00365A6F"/>
    <w:rsid w:val="00366123"/>
    <w:rsid w:val="003662AE"/>
    <w:rsid w:val="003670FC"/>
    <w:rsid w:val="0036710E"/>
    <w:rsid w:val="0037012F"/>
    <w:rsid w:val="00370DA1"/>
    <w:rsid w:val="003710F5"/>
    <w:rsid w:val="0037119A"/>
    <w:rsid w:val="0037266D"/>
    <w:rsid w:val="00374604"/>
    <w:rsid w:val="00374979"/>
    <w:rsid w:val="0037587D"/>
    <w:rsid w:val="00375CE0"/>
    <w:rsid w:val="00375F56"/>
    <w:rsid w:val="00382D7A"/>
    <w:rsid w:val="00383CAA"/>
    <w:rsid w:val="00384028"/>
    <w:rsid w:val="0038469E"/>
    <w:rsid w:val="00385103"/>
    <w:rsid w:val="0038522F"/>
    <w:rsid w:val="003853C7"/>
    <w:rsid w:val="00385872"/>
    <w:rsid w:val="00386C94"/>
    <w:rsid w:val="00391860"/>
    <w:rsid w:val="00391915"/>
    <w:rsid w:val="003920C9"/>
    <w:rsid w:val="00394128"/>
    <w:rsid w:val="00394D38"/>
    <w:rsid w:val="00395E28"/>
    <w:rsid w:val="003A042F"/>
    <w:rsid w:val="003A04B3"/>
    <w:rsid w:val="003A057C"/>
    <w:rsid w:val="003A06E2"/>
    <w:rsid w:val="003A0FFD"/>
    <w:rsid w:val="003A1769"/>
    <w:rsid w:val="003A2711"/>
    <w:rsid w:val="003A3154"/>
    <w:rsid w:val="003A52AC"/>
    <w:rsid w:val="003A555E"/>
    <w:rsid w:val="003A6583"/>
    <w:rsid w:val="003A7A25"/>
    <w:rsid w:val="003A7A98"/>
    <w:rsid w:val="003B17AE"/>
    <w:rsid w:val="003B1BF1"/>
    <w:rsid w:val="003B1D9A"/>
    <w:rsid w:val="003B266D"/>
    <w:rsid w:val="003B342C"/>
    <w:rsid w:val="003B46DD"/>
    <w:rsid w:val="003B4A64"/>
    <w:rsid w:val="003B5E15"/>
    <w:rsid w:val="003B63DD"/>
    <w:rsid w:val="003B6427"/>
    <w:rsid w:val="003B7611"/>
    <w:rsid w:val="003B790B"/>
    <w:rsid w:val="003C0010"/>
    <w:rsid w:val="003C0277"/>
    <w:rsid w:val="003C0772"/>
    <w:rsid w:val="003C0D96"/>
    <w:rsid w:val="003C1A6F"/>
    <w:rsid w:val="003C3B99"/>
    <w:rsid w:val="003C3C52"/>
    <w:rsid w:val="003C513C"/>
    <w:rsid w:val="003D0061"/>
    <w:rsid w:val="003D09A2"/>
    <w:rsid w:val="003D1727"/>
    <w:rsid w:val="003D1EE3"/>
    <w:rsid w:val="003D1EFF"/>
    <w:rsid w:val="003D2C17"/>
    <w:rsid w:val="003D2CD5"/>
    <w:rsid w:val="003D3BB1"/>
    <w:rsid w:val="003D3FEA"/>
    <w:rsid w:val="003D4104"/>
    <w:rsid w:val="003D4931"/>
    <w:rsid w:val="003D5FD8"/>
    <w:rsid w:val="003D60EB"/>
    <w:rsid w:val="003D62C3"/>
    <w:rsid w:val="003D6565"/>
    <w:rsid w:val="003D7150"/>
    <w:rsid w:val="003D7388"/>
    <w:rsid w:val="003D7717"/>
    <w:rsid w:val="003D7ED8"/>
    <w:rsid w:val="003E0E9A"/>
    <w:rsid w:val="003E1127"/>
    <w:rsid w:val="003E1CAF"/>
    <w:rsid w:val="003E398D"/>
    <w:rsid w:val="003E43F9"/>
    <w:rsid w:val="003E7768"/>
    <w:rsid w:val="003E7BA3"/>
    <w:rsid w:val="003F05F0"/>
    <w:rsid w:val="003F0A14"/>
    <w:rsid w:val="003F0CFC"/>
    <w:rsid w:val="003F11BA"/>
    <w:rsid w:val="003F18F2"/>
    <w:rsid w:val="003F1BBD"/>
    <w:rsid w:val="003F1D9C"/>
    <w:rsid w:val="003F2CBA"/>
    <w:rsid w:val="003F3943"/>
    <w:rsid w:val="003F539A"/>
    <w:rsid w:val="003F54CF"/>
    <w:rsid w:val="003F6929"/>
    <w:rsid w:val="003F7179"/>
    <w:rsid w:val="003F746D"/>
    <w:rsid w:val="004023AA"/>
    <w:rsid w:val="00402519"/>
    <w:rsid w:val="00404F39"/>
    <w:rsid w:val="004052F9"/>
    <w:rsid w:val="0040725E"/>
    <w:rsid w:val="00410B6C"/>
    <w:rsid w:val="00412F6B"/>
    <w:rsid w:val="00414854"/>
    <w:rsid w:val="00414D11"/>
    <w:rsid w:val="00415A13"/>
    <w:rsid w:val="004164F8"/>
    <w:rsid w:val="00416E96"/>
    <w:rsid w:val="004172B8"/>
    <w:rsid w:val="00417DEF"/>
    <w:rsid w:val="00417F2C"/>
    <w:rsid w:val="00420653"/>
    <w:rsid w:val="004213D6"/>
    <w:rsid w:val="00421FD4"/>
    <w:rsid w:val="00422776"/>
    <w:rsid w:val="004234C9"/>
    <w:rsid w:val="00423E0B"/>
    <w:rsid w:val="004245A9"/>
    <w:rsid w:val="0042483A"/>
    <w:rsid w:val="0042484E"/>
    <w:rsid w:val="00425002"/>
    <w:rsid w:val="00426688"/>
    <w:rsid w:val="00426EF9"/>
    <w:rsid w:val="0042759C"/>
    <w:rsid w:val="004319A7"/>
    <w:rsid w:val="00431B76"/>
    <w:rsid w:val="004321FF"/>
    <w:rsid w:val="00432278"/>
    <w:rsid w:val="004339C4"/>
    <w:rsid w:val="00435936"/>
    <w:rsid w:val="00435F21"/>
    <w:rsid w:val="00437348"/>
    <w:rsid w:val="0043756E"/>
    <w:rsid w:val="00437843"/>
    <w:rsid w:val="00440D21"/>
    <w:rsid w:val="004410DD"/>
    <w:rsid w:val="00441719"/>
    <w:rsid w:val="004417C2"/>
    <w:rsid w:val="00441D21"/>
    <w:rsid w:val="0044207E"/>
    <w:rsid w:val="0044224E"/>
    <w:rsid w:val="00442941"/>
    <w:rsid w:val="00443D4C"/>
    <w:rsid w:val="00446224"/>
    <w:rsid w:val="0044684D"/>
    <w:rsid w:val="004476D0"/>
    <w:rsid w:val="00447B01"/>
    <w:rsid w:val="00450492"/>
    <w:rsid w:val="00451AD3"/>
    <w:rsid w:val="00451D46"/>
    <w:rsid w:val="00452841"/>
    <w:rsid w:val="00454FF1"/>
    <w:rsid w:val="00456277"/>
    <w:rsid w:val="00457056"/>
    <w:rsid w:val="00457274"/>
    <w:rsid w:val="0045792B"/>
    <w:rsid w:val="00460496"/>
    <w:rsid w:val="00460E9C"/>
    <w:rsid w:val="00461362"/>
    <w:rsid w:val="00461B32"/>
    <w:rsid w:val="00462234"/>
    <w:rsid w:val="00463D59"/>
    <w:rsid w:val="0046461F"/>
    <w:rsid w:val="00464E34"/>
    <w:rsid w:val="0046608A"/>
    <w:rsid w:val="00466A46"/>
    <w:rsid w:val="00467ADE"/>
    <w:rsid w:val="00467E95"/>
    <w:rsid w:val="00471C36"/>
    <w:rsid w:val="00473611"/>
    <w:rsid w:val="00473716"/>
    <w:rsid w:val="004746AE"/>
    <w:rsid w:val="00474734"/>
    <w:rsid w:val="00474B03"/>
    <w:rsid w:val="00475F28"/>
    <w:rsid w:val="00477560"/>
    <w:rsid w:val="004777AA"/>
    <w:rsid w:val="00477E57"/>
    <w:rsid w:val="0048009B"/>
    <w:rsid w:val="004808E1"/>
    <w:rsid w:val="004815F4"/>
    <w:rsid w:val="004818DC"/>
    <w:rsid w:val="004826D5"/>
    <w:rsid w:val="00482CFD"/>
    <w:rsid w:val="004836DD"/>
    <w:rsid w:val="00484127"/>
    <w:rsid w:val="00484C8B"/>
    <w:rsid w:val="00487A12"/>
    <w:rsid w:val="00487C40"/>
    <w:rsid w:val="00490227"/>
    <w:rsid w:val="00490A3E"/>
    <w:rsid w:val="004914D4"/>
    <w:rsid w:val="004933B9"/>
    <w:rsid w:val="004934F0"/>
    <w:rsid w:val="0049427A"/>
    <w:rsid w:val="004942A1"/>
    <w:rsid w:val="004947C0"/>
    <w:rsid w:val="004949EF"/>
    <w:rsid w:val="00495F55"/>
    <w:rsid w:val="0049635C"/>
    <w:rsid w:val="00496BD6"/>
    <w:rsid w:val="0049740A"/>
    <w:rsid w:val="004A05BF"/>
    <w:rsid w:val="004A22D6"/>
    <w:rsid w:val="004A2BD3"/>
    <w:rsid w:val="004A33DC"/>
    <w:rsid w:val="004A3813"/>
    <w:rsid w:val="004A3953"/>
    <w:rsid w:val="004A3F5A"/>
    <w:rsid w:val="004A4ECF"/>
    <w:rsid w:val="004A5039"/>
    <w:rsid w:val="004A54EE"/>
    <w:rsid w:val="004A64C7"/>
    <w:rsid w:val="004A6808"/>
    <w:rsid w:val="004A764E"/>
    <w:rsid w:val="004B0B8B"/>
    <w:rsid w:val="004B1065"/>
    <w:rsid w:val="004B1913"/>
    <w:rsid w:val="004B1B1E"/>
    <w:rsid w:val="004B49B5"/>
    <w:rsid w:val="004B4DD8"/>
    <w:rsid w:val="004B5344"/>
    <w:rsid w:val="004B6040"/>
    <w:rsid w:val="004C23A0"/>
    <w:rsid w:val="004C44CC"/>
    <w:rsid w:val="004C4D9A"/>
    <w:rsid w:val="004C59BB"/>
    <w:rsid w:val="004C7733"/>
    <w:rsid w:val="004C7F28"/>
    <w:rsid w:val="004D0215"/>
    <w:rsid w:val="004D029F"/>
    <w:rsid w:val="004D0874"/>
    <w:rsid w:val="004D08FB"/>
    <w:rsid w:val="004D0E3D"/>
    <w:rsid w:val="004D1EAB"/>
    <w:rsid w:val="004D24B9"/>
    <w:rsid w:val="004D2970"/>
    <w:rsid w:val="004D2FA7"/>
    <w:rsid w:val="004D390E"/>
    <w:rsid w:val="004D4598"/>
    <w:rsid w:val="004D45A1"/>
    <w:rsid w:val="004D494D"/>
    <w:rsid w:val="004D4C03"/>
    <w:rsid w:val="004D734F"/>
    <w:rsid w:val="004D7555"/>
    <w:rsid w:val="004E0DAD"/>
    <w:rsid w:val="004E1A8C"/>
    <w:rsid w:val="004E2289"/>
    <w:rsid w:val="004E29AC"/>
    <w:rsid w:val="004E4A6F"/>
    <w:rsid w:val="004E4FD5"/>
    <w:rsid w:val="004E52EF"/>
    <w:rsid w:val="004E5628"/>
    <w:rsid w:val="004E57EB"/>
    <w:rsid w:val="004E5DD0"/>
    <w:rsid w:val="004E651A"/>
    <w:rsid w:val="004E6584"/>
    <w:rsid w:val="004E7BB5"/>
    <w:rsid w:val="004E7F8F"/>
    <w:rsid w:val="004F0DEF"/>
    <w:rsid w:val="004F1E24"/>
    <w:rsid w:val="004F2BDF"/>
    <w:rsid w:val="004F3987"/>
    <w:rsid w:val="004F3B30"/>
    <w:rsid w:val="004F5055"/>
    <w:rsid w:val="004F59D0"/>
    <w:rsid w:val="004F6D78"/>
    <w:rsid w:val="004F736D"/>
    <w:rsid w:val="0050045F"/>
    <w:rsid w:val="005018FF"/>
    <w:rsid w:val="00504C9A"/>
    <w:rsid w:val="00504E03"/>
    <w:rsid w:val="005051F8"/>
    <w:rsid w:val="005052B8"/>
    <w:rsid w:val="00505F66"/>
    <w:rsid w:val="005067BD"/>
    <w:rsid w:val="0050721F"/>
    <w:rsid w:val="00507AC7"/>
    <w:rsid w:val="005101E1"/>
    <w:rsid w:val="005103F1"/>
    <w:rsid w:val="00510CE6"/>
    <w:rsid w:val="00510F7A"/>
    <w:rsid w:val="0051119E"/>
    <w:rsid w:val="005115F6"/>
    <w:rsid w:val="005121D8"/>
    <w:rsid w:val="00512A4F"/>
    <w:rsid w:val="005135AC"/>
    <w:rsid w:val="00513608"/>
    <w:rsid w:val="00513C99"/>
    <w:rsid w:val="005158F4"/>
    <w:rsid w:val="00515E5F"/>
    <w:rsid w:val="005164F5"/>
    <w:rsid w:val="005169B7"/>
    <w:rsid w:val="005179C3"/>
    <w:rsid w:val="00517C8E"/>
    <w:rsid w:val="0052044F"/>
    <w:rsid w:val="00520FE6"/>
    <w:rsid w:val="00524168"/>
    <w:rsid w:val="0052452E"/>
    <w:rsid w:val="005254E7"/>
    <w:rsid w:val="005256CF"/>
    <w:rsid w:val="005267E5"/>
    <w:rsid w:val="00526C48"/>
    <w:rsid w:val="00527052"/>
    <w:rsid w:val="005276AF"/>
    <w:rsid w:val="00530003"/>
    <w:rsid w:val="00530763"/>
    <w:rsid w:val="00531FB5"/>
    <w:rsid w:val="005324CF"/>
    <w:rsid w:val="00532EAF"/>
    <w:rsid w:val="0053335F"/>
    <w:rsid w:val="00533AE6"/>
    <w:rsid w:val="0053409C"/>
    <w:rsid w:val="0053443E"/>
    <w:rsid w:val="00535A72"/>
    <w:rsid w:val="005363DF"/>
    <w:rsid w:val="00536A64"/>
    <w:rsid w:val="00537EA5"/>
    <w:rsid w:val="00540611"/>
    <w:rsid w:val="0054198E"/>
    <w:rsid w:val="00542554"/>
    <w:rsid w:val="00542574"/>
    <w:rsid w:val="00542CF2"/>
    <w:rsid w:val="0054403E"/>
    <w:rsid w:val="00544489"/>
    <w:rsid w:val="00544C7E"/>
    <w:rsid w:val="005452DA"/>
    <w:rsid w:val="0054791A"/>
    <w:rsid w:val="005508D5"/>
    <w:rsid w:val="00550C8A"/>
    <w:rsid w:val="00551062"/>
    <w:rsid w:val="005529E8"/>
    <w:rsid w:val="005544F2"/>
    <w:rsid w:val="005546A6"/>
    <w:rsid w:val="00554B6B"/>
    <w:rsid w:val="005552E4"/>
    <w:rsid w:val="00556201"/>
    <w:rsid w:val="0055695E"/>
    <w:rsid w:val="005607C5"/>
    <w:rsid w:val="00561530"/>
    <w:rsid w:val="005618A8"/>
    <w:rsid w:val="00563C62"/>
    <w:rsid w:val="00564CB8"/>
    <w:rsid w:val="00565052"/>
    <w:rsid w:val="00565A9E"/>
    <w:rsid w:val="005660E4"/>
    <w:rsid w:val="005662E8"/>
    <w:rsid w:val="00567BCE"/>
    <w:rsid w:val="00570406"/>
    <w:rsid w:val="00570486"/>
    <w:rsid w:val="00571CD8"/>
    <w:rsid w:val="00573428"/>
    <w:rsid w:val="0057366D"/>
    <w:rsid w:val="00573DDB"/>
    <w:rsid w:val="00574BFB"/>
    <w:rsid w:val="00575DCE"/>
    <w:rsid w:val="00575F97"/>
    <w:rsid w:val="00577BE8"/>
    <w:rsid w:val="00580D00"/>
    <w:rsid w:val="00580D80"/>
    <w:rsid w:val="0058100D"/>
    <w:rsid w:val="00581230"/>
    <w:rsid w:val="005821D7"/>
    <w:rsid w:val="005827FB"/>
    <w:rsid w:val="005848A1"/>
    <w:rsid w:val="00584F4E"/>
    <w:rsid w:val="00585CF9"/>
    <w:rsid w:val="005870D6"/>
    <w:rsid w:val="005877A1"/>
    <w:rsid w:val="00590D40"/>
    <w:rsid w:val="00590F4B"/>
    <w:rsid w:val="0059260D"/>
    <w:rsid w:val="0059276B"/>
    <w:rsid w:val="00592E32"/>
    <w:rsid w:val="00594AB6"/>
    <w:rsid w:val="00594E88"/>
    <w:rsid w:val="0059545F"/>
    <w:rsid w:val="00596E58"/>
    <w:rsid w:val="00597524"/>
    <w:rsid w:val="005A03C4"/>
    <w:rsid w:val="005A0B2F"/>
    <w:rsid w:val="005A2DF3"/>
    <w:rsid w:val="005A34D2"/>
    <w:rsid w:val="005A5EB7"/>
    <w:rsid w:val="005A7981"/>
    <w:rsid w:val="005B00F0"/>
    <w:rsid w:val="005B07CB"/>
    <w:rsid w:val="005B0992"/>
    <w:rsid w:val="005B0FE0"/>
    <w:rsid w:val="005B169E"/>
    <w:rsid w:val="005B1FE0"/>
    <w:rsid w:val="005B2A04"/>
    <w:rsid w:val="005B3D53"/>
    <w:rsid w:val="005B3E9E"/>
    <w:rsid w:val="005B74E4"/>
    <w:rsid w:val="005C03B5"/>
    <w:rsid w:val="005C0F6F"/>
    <w:rsid w:val="005C0F98"/>
    <w:rsid w:val="005C0FB8"/>
    <w:rsid w:val="005C1214"/>
    <w:rsid w:val="005C1C28"/>
    <w:rsid w:val="005C20BC"/>
    <w:rsid w:val="005C2365"/>
    <w:rsid w:val="005C520A"/>
    <w:rsid w:val="005C6787"/>
    <w:rsid w:val="005D2297"/>
    <w:rsid w:val="005D2AC0"/>
    <w:rsid w:val="005D2D9C"/>
    <w:rsid w:val="005D58E3"/>
    <w:rsid w:val="005D7267"/>
    <w:rsid w:val="005D777E"/>
    <w:rsid w:val="005E11B1"/>
    <w:rsid w:val="005E260A"/>
    <w:rsid w:val="005E2F35"/>
    <w:rsid w:val="005E4052"/>
    <w:rsid w:val="005E6BF3"/>
    <w:rsid w:val="005E6E03"/>
    <w:rsid w:val="005F0EE4"/>
    <w:rsid w:val="005F1685"/>
    <w:rsid w:val="005F2BAA"/>
    <w:rsid w:val="005F384A"/>
    <w:rsid w:val="005F39F9"/>
    <w:rsid w:val="005F41EF"/>
    <w:rsid w:val="005F4F25"/>
    <w:rsid w:val="005F56CF"/>
    <w:rsid w:val="005F6C88"/>
    <w:rsid w:val="005F725E"/>
    <w:rsid w:val="005F7493"/>
    <w:rsid w:val="005F7807"/>
    <w:rsid w:val="0060165B"/>
    <w:rsid w:val="00601F32"/>
    <w:rsid w:val="0060269D"/>
    <w:rsid w:val="00602824"/>
    <w:rsid w:val="00603686"/>
    <w:rsid w:val="0060475C"/>
    <w:rsid w:val="00604B93"/>
    <w:rsid w:val="00605FB6"/>
    <w:rsid w:val="006071EF"/>
    <w:rsid w:val="00607967"/>
    <w:rsid w:val="0061077C"/>
    <w:rsid w:val="006108D1"/>
    <w:rsid w:val="0061217F"/>
    <w:rsid w:val="00612E92"/>
    <w:rsid w:val="0061325A"/>
    <w:rsid w:val="006136EE"/>
    <w:rsid w:val="006138C1"/>
    <w:rsid w:val="00613DA0"/>
    <w:rsid w:val="0061429F"/>
    <w:rsid w:val="0061480D"/>
    <w:rsid w:val="00614F83"/>
    <w:rsid w:val="006153A2"/>
    <w:rsid w:val="0061634B"/>
    <w:rsid w:val="00616725"/>
    <w:rsid w:val="00617316"/>
    <w:rsid w:val="0061770F"/>
    <w:rsid w:val="0062007E"/>
    <w:rsid w:val="006203EA"/>
    <w:rsid w:val="00620D57"/>
    <w:rsid w:val="006211FB"/>
    <w:rsid w:val="006212E8"/>
    <w:rsid w:val="006229AA"/>
    <w:rsid w:val="006230A5"/>
    <w:rsid w:val="00623BA8"/>
    <w:rsid w:val="00624952"/>
    <w:rsid w:val="00626C29"/>
    <w:rsid w:val="00627044"/>
    <w:rsid w:val="00627333"/>
    <w:rsid w:val="00630FCC"/>
    <w:rsid w:val="006318B0"/>
    <w:rsid w:val="0063367B"/>
    <w:rsid w:val="00633DD9"/>
    <w:rsid w:val="006341FB"/>
    <w:rsid w:val="0063463B"/>
    <w:rsid w:val="00637D03"/>
    <w:rsid w:val="00637F04"/>
    <w:rsid w:val="00640159"/>
    <w:rsid w:val="006406AA"/>
    <w:rsid w:val="00640D7F"/>
    <w:rsid w:val="00640EDE"/>
    <w:rsid w:val="00641F39"/>
    <w:rsid w:val="006425F8"/>
    <w:rsid w:val="00642D6A"/>
    <w:rsid w:val="006431D7"/>
    <w:rsid w:val="006432D6"/>
    <w:rsid w:val="00643822"/>
    <w:rsid w:val="00643ADA"/>
    <w:rsid w:val="006443D1"/>
    <w:rsid w:val="00644DDE"/>
    <w:rsid w:val="00644EB2"/>
    <w:rsid w:val="006455E7"/>
    <w:rsid w:val="00645A9F"/>
    <w:rsid w:val="00646222"/>
    <w:rsid w:val="006467EE"/>
    <w:rsid w:val="00647841"/>
    <w:rsid w:val="00647B11"/>
    <w:rsid w:val="006501B5"/>
    <w:rsid w:val="006501E9"/>
    <w:rsid w:val="006503EB"/>
    <w:rsid w:val="006507A3"/>
    <w:rsid w:val="00650E44"/>
    <w:rsid w:val="00651A0B"/>
    <w:rsid w:val="00651E9E"/>
    <w:rsid w:val="00652661"/>
    <w:rsid w:val="00653B44"/>
    <w:rsid w:val="0065563E"/>
    <w:rsid w:val="00655711"/>
    <w:rsid w:val="00655BEA"/>
    <w:rsid w:val="00655CB2"/>
    <w:rsid w:val="00657562"/>
    <w:rsid w:val="00657A03"/>
    <w:rsid w:val="00660CDC"/>
    <w:rsid w:val="006617A8"/>
    <w:rsid w:val="00661D37"/>
    <w:rsid w:val="0066206A"/>
    <w:rsid w:val="006622EC"/>
    <w:rsid w:val="00662F86"/>
    <w:rsid w:val="006633C8"/>
    <w:rsid w:val="00663ECE"/>
    <w:rsid w:val="006647A8"/>
    <w:rsid w:val="00664812"/>
    <w:rsid w:val="00664B1A"/>
    <w:rsid w:val="00665FF2"/>
    <w:rsid w:val="006660FC"/>
    <w:rsid w:val="00667131"/>
    <w:rsid w:val="00667305"/>
    <w:rsid w:val="0066788E"/>
    <w:rsid w:val="00670F0D"/>
    <w:rsid w:val="006710D7"/>
    <w:rsid w:val="00671E68"/>
    <w:rsid w:val="006721D6"/>
    <w:rsid w:val="00672770"/>
    <w:rsid w:val="00672877"/>
    <w:rsid w:val="00672A08"/>
    <w:rsid w:val="00672A1F"/>
    <w:rsid w:val="006735C2"/>
    <w:rsid w:val="00673CCA"/>
    <w:rsid w:val="006757A9"/>
    <w:rsid w:val="00675816"/>
    <w:rsid w:val="00675820"/>
    <w:rsid w:val="0067725B"/>
    <w:rsid w:val="006772E6"/>
    <w:rsid w:val="0067741E"/>
    <w:rsid w:val="00677DB5"/>
    <w:rsid w:val="00680009"/>
    <w:rsid w:val="00680359"/>
    <w:rsid w:val="006803D9"/>
    <w:rsid w:val="0068169B"/>
    <w:rsid w:val="0068196B"/>
    <w:rsid w:val="00682051"/>
    <w:rsid w:val="00686573"/>
    <w:rsid w:val="00686D18"/>
    <w:rsid w:val="00687150"/>
    <w:rsid w:val="006879B6"/>
    <w:rsid w:val="006901F5"/>
    <w:rsid w:val="00691379"/>
    <w:rsid w:val="00691BDC"/>
    <w:rsid w:val="00693B0B"/>
    <w:rsid w:val="006941CD"/>
    <w:rsid w:val="006941D6"/>
    <w:rsid w:val="00695275"/>
    <w:rsid w:val="00695E21"/>
    <w:rsid w:val="00696227"/>
    <w:rsid w:val="00696334"/>
    <w:rsid w:val="00696A93"/>
    <w:rsid w:val="00696A9D"/>
    <w:rsid w:val="00696C18"/>
    <w:rsid w:val="0069774F"/>
    <w:rsid w:val="00697CA1"/>
    <w:rsid w:val="006A0506"/>
    <w:rsid w:val="006A1116"/>
    <w:rsid w:val="006A2A1D"/>
    <w:rsid w:val="006A2AEA"/>
    <w:rsid w:val="006A2B82"/>
    <w:rsid w:val="006A4039"/>
    <w:rsid w:val="006A44C2"/>
    <w:rsid w:val="006A52FD"/>
    <w:rsid w:val="006B0DFB"/>
    <w:rsid w:val="006B1091"/>
    <w:rsid w:val="006B1255"/>
    <w:rsid w:val="006B1382"/>
    <w:rsid w:val="006B2F5A"/>
    <w:rsid w:val="006B305E"/>
    <w:rsid w:val="006B32CB"/>
    <w:rsid w:val="006B3F46"/>
    <w:rsid w:val="006B4204"/>
    <w:rsid w:val="006B4824"/>
    <w:rsid w:val="006B4A8D"/>
    <w:rsid w:val="006B4DC6"/>
    <w:rsid w:val="006B4F67"/>
    <w:rsid w:val="006B5C89"/>
    <w:rsid w:val="006B5FFD"/>
    <w:rsid w:val="006B5FFE"/>
    <w:rsid w:val="006B6AC3"/>
    <w:rsid w:val="006B6C56"/>
    <w:rsid w:val="006B78ED"/>
    <w:rsid w:val="006C07CF"/>
    <w:rsid w:val="006C112D"/>
    <w:rsid w:val="006C1254"/>
    <w:rsid w:val="006C1E34"/>
    <w:rsid w:val="006C3995"/>
    <w:rsid w:val="006C3C9A"/>
    <w:rsid w:val="006C4BFA"/>
    <w:rsid w:val="006C59D4"/>
    <w:rsid w:val="006C5B14"/>
    <w:rsid w:val="006C71A2"/>
    <w:rsid w:val="006C7368"/>
    <w:rsid w:val="006C7B24"/>
    <w:rsid w:val="006D0756"/>
    <w:rsid w:val="006D08C9"/>
    <w:rsid w:val="006D0C9C"/>
    <w:rsid w:val="006D1CD7"/>
    <w:rsid w:val="006D2F8B"/>
    <w:rsid w:val="006D3480"/>
    <w:rsid w:val="006D3932"/>
    <w:rsid w:val="006D40D4"/>
    <w:rsid w:val="006D45F6"/>
    <w:rsid w:val="006D60A4"/>
    <w:rsid w:val="006D6486"/>
    <w:rsid w:val="006D7C79"/>
    <w:rsid w:val="006D7DBF"/>
    <w:rsid w:val="006E0154"/>
    <w:rsid w:val="006E09BF"/>
    <w:rsid w:val="006E15AF"/>
    <w:rsid w:val="006E2BAF"/>
    <w:rsid w:val="006E385A"/>
    <w:rsid w:val="006E3B8B"/>
    <w:rsid w:val="006E4C2A"/>
    <w:rsid w:val="006E6C22"/>
    <w:rsid w:val="006E6E78"/>
    <w:rsid w:val="006E7412"/>
    <w:rsid w:val="006E764B"/>
    <w:rsid w:val="006F0690"/>
    <w:rsid w:val="006F0FC6"/>
    <w:rsid w:val="006F1190"/>
    <w:rsid w:val="006F1E5D"/>
    <w:rsid w:val="006F2101"/>
    <w:rsid w:val="006F2511"/>
    <w:rsid w:val="006F3385"/>
    <w:rsid w:val="006F3577"/>
    <w:rsid w:val="006F51A2"/>
    <w:rsid w:val="006F558D"/>
    <w:rsid w:val="006F5C1D"/>
    <w:rsid w:val="006F601E"/>
    <w:rsid w:val="006F71D8"/>
    <w:rsid w:val="006F74B6"/>
    <w:rsid w:val="006F7B84"/>
    <w:rsid w:val="007007D8"/>
    <w:rsid w:val="00701221"/>
    <w:rsid w:val="007020FD"/>
    <w:rsid w:val="0070305D"/>
    <w:rsid w:val="00703257"/>
    <w:rsid w:val="007050ED"/>
    <w:rsid w:val="00706991"/>
    <w:rsid w:val="00707DFC"/>
    <w:rsid w:val="007104D9"/>
    <w:rsid w:val="007115DC"/>
    <w:rsid w:val="007122B9"/>
    <w:rsid w:val="007125A3"/>
    <w:rsid w:val="00712B0A"/>
    <w:rsid w:val="00712B9C"/>
    <w:rsid w:val="00713A94"/>
    <w:rsid w:val="00714D4D"/>
    <w:rsid w:val="00714FB6"/>
    <w:rsid w:val="0071568F"/>
    <w:rsid w:val="0071576C"/>
    <w:rsid w:val="007163E8"/>
    <w:rsid w:val="00716570"/>
    <w:rsid w:val="00717CA7"/>
    <w:rsid w:val="0072059C"/>
    <w:rsid w:val="007205E3"/>
    <w:rsid w:val="00721706"/>
    <w:rsid w:val="00721A2E"/>
    <w:rsid w:val="00721DAA"/>
    <w:rsid w:val="00721F00"/>
    <w:rsid w:val="00722B71"/>
    <w:rsid w:val="00723970"/>
    <w:rsid w:val="00723CD1"/>
    <w:rsid w:val="00723E68"/>
    <w:rsid w:val="00724928"/>
    <w:rsid w:val="007254EF"/>
    <w:rsid w:val="00725BDF"/>
    <w:rsid w:val="00725F81"/>
    <w:rsid w:val="0072602E"/>
    <w:rsid w:val="007268C1"/>
    <w:rsid w:val="00726CD4"/>
    <w:rsid w:val="00726F41"/>
    <w:rsid w:val="0072727C"/>
    <w:rsid w:val="0072753A"/>
    <w:rsid w:val="00727989"/>
    <w:rsid w:val="00730B4B"/>
    <w:rsid w:val="0073122A"/>
    <w:rsid w:val="007313A8"/>
    <w:rsid w:val="00731EC3"/>
    <w:rsid w:val="00732AF9"/>
    <w:rsid w:val="00732C5D"/>
    <w:rsid w:val="007337C5"/>
    <w:rsid w:val="0073450C"/>
    <w:rsid w:val="00735075"/>
    <w:rsid w:val="00735433"/>
    <w:rsid w:val="007358A0"/>
    <w:rsid w:val="00735A42"/>
    <w:rsid w:val="0073741A"/>
    <w:rsid w:val="00737A37"/>
    <w:rsid w:val="00737CED"/>
    <w:rsid w:val="0074120C"/>
    <w:rsid w:val="00742532"/>
    <w:rsid w:val="00744661"/>
    <w:rsid w:val="0074542E"/>
    <w:rsid w:val="00747215"/>
    <w:rsid w:val="0074776C"/>
    <w:rsid w:val="00747E37"/>
    <w:rsid w:val="007512FB"/>
    <w:rsid w:val="00752172"/>
    <w:rsid w:val="00752A47"/>
    <w:rsid w:val="007532D0"/>
    <w:rsid w:val="00753BB6"/>
    <w:rsid w:val="00753CEB"/>
    <w:rsid w:val="00754108"/>
    <w:rsid w:val="0075484D"/>
    <w:rsid w:val="00754B99"/>
    <w:rsid w:val="00756A51"/>
    <w:rsid w:val="00757EE6"/>
    <w:rsid w:val="00760891"/>
    <w:rsid w:val="00761FA3"/>
    <w:rsid w:val="00762A04"/>
    <w:rsid w:val="00763438"/>
    <w:rsid w:val="00763CDC"/>
    <w:rsid w:val="00763ECB"/>
    <w:rsid w:val="0076615E"/>
    <w:rsid w:val="00766E7C"/>
    <w:rsid w:val="00770727"/>
    <w:rsid w:val="007709EA"/>
    <w:rsid w:val="00770A5F"/>
    <w:rsid w:val="007715A1"/>
    <w:rsid w:val="0077197D"/>
    <w:rsid w:val="007725DF"/>
    <w:rsid w:val="00772DFD"/>
    <w:rsid w:val="00773124"/>
    <w:rsid w:val="00773730"/>
    <w:rsid w:val="00773792"/>
    <w:rsid w:val="007738B9"/>
    <w:rsid w:val="007747D8"/>
    <w:rsid w:val="007747DB"/>
    <w:rsid w:val="00774ED6"/>
    <w:rsid w:val="00775D67"/>
    <w:rsid w:val="00776DF9"/>
    <w:rsid w:val="0077788B"/>
    <w:rsid w:val="0078008B"/>
    <w:rsid w:val="00780891"/>
    <w:rsid w:val="0078230E"/>
    <w:rsid w:val="007826D5"/>
    <w:rsid w:val="00783058"/>
    <w:rsid w:val="007831C2"/>
    <w:rsid w:val="007831C6"/>
    <w:rsid w:val="00783B41"/>
    <w:rsid w:val="00783DB4"/>
    <w:rsid w:val="00784E04"/>
    <w:rsid w:val="0078573F"/>
    <w:rsid w:val="007858C2"/>
    <w:rsid w:val="00786D40"/>
    <w:rsid w:val="007879EE"/>
    <w:rsid w:val="00787C26"/>
    <w:rsid w:val="00787F46"/>
    <w:rsid w:val="007904BA"/>
    <w:rsid w:val="007905E6"/>
    <w:rsid w:val="007911E0"/>
    <w:rsid w:val="0079174F"/>
    <w:rsid w:val="00791F0E"/>
    <w:rsid w:val="007924E9"/>
    <w:rsid w:val="00792A01"/>
    <w:rsid w:val="007935EB"/>
    <w:rsid w:val="007940D5"/>
    <w:rsid w:val="00794963"/>
    <w:rsid w:val="0079499B"/>
    <w:rsid w:val="00794B40"/>
    <w:rsid w:val="00795969"/>
    <w:rsid w:val="00795BFE"/>
    <w:rsid w:val="00796267"/>
    <w:rsid w:val="007967AC"/>
    <w:rsid w:val="00796E29"/>
    <w:rsid w:val="00797305"/>
    <w:rsid w:val="007A02C9"/>
    <w:rsid w:val="007A04E9"/>
    <w:rsid w:val="007A0F3C"/>
    <w:rsid w:val="007A2D54"/>
    <w:rsid w:val="007A3537"/>
    <w:rsid w:val="007A400A"/>
    <w:rsid w:val="007A47BE"/>
    <w:rsid w:val="007A4D28"/>
    <w:rsid w:val="007A5B88"/>
    <w:rsid w:val="007B1AD0"/>
    <w:rsid w:val="007B207D"/>
    <w:rsid w:val="007B458F"/>
    <w:rsid w:val="007B5C76"/>
    <w:rsid w:val="007B7138"/>
    <w:rsid w:val="007B7DA5"/>
    <w:rsid w:val="007C0667"/>
    <w:rsid w:val="007C1766"/>
    <w:rsid w:val="007C1767"/>
    <w:rsid w:val="007C190F"/>
    <w:rsid w:val="007C1B1E"/>
    <w:rsid w:val="007C1C74"/>
    <w:rsid w:val="007C2245"/>
    <w:rsid w:val="007C2B96"/>
    <w:rsid w:val="007C2CF0"/>
    <w:rsid w:val="007C3758"/>
    <w:rsid w:val="007C3D4E"/>
    <w:rsid w:val="007C4249"/>
    <w:rsid w:val="007C55C6"/>
    <w:rsid w:val="007C7066"/>
    <w:rsid w:val="007D0006"/>
    <w:rsid w:val="007D08A1"/>
    <w:rsid w:val="007D0AB6"/>
    <w:rsid w:val="007D3BF1"/>
    <w:rsid w:val="007D57BD"/>
    <w:rsid w:val="007D5824"/>
    <w:rsid w:val="007D5FEE"/>
    <w:rsid w:val="007D67E4"/>
    <w:rsid w:val="007D7786"/>
    <w:rsid w:val="007D7884"/>
    <w:rsid w:val="007E067D"/>
    <w:rsid w:val="007E1A8C"/>
    <w:rsid w:val="007E2272"/>
    <w:rsid w:val="007E3E4A"/>
    <w:rsid w:val="007E463A"/>
    <w:rsid w:val="007E4FBE"/>
    <w:rsid w:val="007E50CE"/>
    <w:rsid w:val="007E5183"/>
    <w:rsid w:val="007E55D8"/>
    <w:rsid w:val="007E5FAC"/>
    <w:rsid w:val="007E6D0B"/>
    <w:rsid w:val="007E7052"/>
    <w:rsid w:val="007E72E0"/>
    <w:rsid w:val="007E7481"/>
    <w:rsid w:val="007E76BC"/>
    <w:rsid w:val="007F01A3"/>
    <w:rsid w:val="007F04C6"/>
    <w:rsid w:val="007F4438"/>
    <w:rsid w:val="007F456C"/>
    <w:rsid w:val="007F6FE8"/>
    <w:rsid w:val="007F7781"/>
    <w:rsid w:val="00800020"/>
    <w:rsid w:val="0080135B"/>
    <w:rsid w:val="00801901"/>
    <w:rsid w:val="00801AB2"/>
    <w:rsid w:val="00801B14"/>
    <w:rsid w:val="00802672"/>
    <w:rsid w:val="0080290D"/>
    <w:rsid w:val="00802E1F"/>
    <w:rsid w:val="00803CAB"/>
    <w:rsid w:val="00803CE8"/>
    <w:rsid w:val="0080488C"/>
    <w:rsid w:val="00805389"/>
    <w:rsid w:val="008055FC"/>
    <w:rsid w:val="00806310"/>
    <w:rsid w:val="00806430"/>
    <w:rsid w:val="0080735C"/>
    <w:rsid w:val="00807D80"/>
    <w:rsid w:val="00810B4E"/>
    <w:rsid w:val="00810E32"/>
    <w:rsid w:val="008146E8"/>
    <w:rsid w:val="00814F89"/>
    <w:rsid w:val="0081621C"/>
    <w:rsid w:val="00816778"/>
    <w:rsid w:val="008173F9"/>
    <w:rsid w:val="008203E0"/>
    <w:rsid w:val="00821343"/>
    <w:rsid w:val="0082241D"/>
    <w:rsid w:val="00823D10"/>
    <w:rsid w:val="00824E00"/>
    <w:rsid w:val="0083049B"/>
    <w:rsid w:val="00830FAD"/>
    <w:rsid w:val="0083232F"/>
    <w:rsid w:val="008325BE"/>
    <w:rsid w:val="00833FA5"/>
    <w:rsid w:val="008346B5"/>
    <w:rsid w:val="00834D45"/>
    <w:rsid w:val="00835609"/>
    <w:rsid w:val="008358B7"/>
    <w:rsid w:val="00836E03"/>
    <w:rsid w:val="00837497"/>
    <w:rsid w:val="0083782C"/>
    <w:rsid w:val="0084110E"/>
    <w:rsid w:val="008414D2"/>
    <w:rsid w:val="008438B4"/>
    <w:rsid w:val="00845223"/>
    <w:rsid w:val="00845BEF"/>
    <w:rsid w:val="00845E93"/>
    <w:rsid w:val="00846CC4"/>
    <w:rsid w:val="008479E8"/>
    <w:rsid w:val="00850F06"/>
    <w:rsid w:val="0085117C"/>
    <w:rsid w:val="00851E0A"/>
    <w:rsid w:val="00852336"/>
    <w:rsid w:val="00852ADC"/>
    <w:rsid w:val="0085390C"/>
    <w:rsid w:val="008541A7"/>
    <w:rsid w:val="00854D1A"/>
    <w:rsid w:val="00855992"/>
    <w:rsid w:val="00855B01"/>
    <w:rsid w:val="008573FB"/>
    <w:rsid w:val="00860063"/>
    <w:rsid w:val="008608B1"/>
    <w:rsid w:val="0086108B"/>
    <w:rsid w:val="0086131C"/>
    <w:rsid w:val="00862839"/>
    <w:rsid w:val="00862A1D"/>
    <w:rsid w:val="00862EA4"/>
    <w:rsid w:val="00862F42"/>
    <w:rsid w:val="00863205"/>
    <w:rsid w:val="00863784"/>
    <w:rsid w:val="00864019"/>
    <w:rsid w:val="00864E5B"/>
    <w:rsid w:val="00865EA3"/>
    <w:rsid w:val="00866144"/>
    <w:rsid w:val="00866641"/>
    <w:rsid w:val="00866C59"/>
    <w:rsid w:val="00866E06"/>
    <w:rsid w:val="00867346"/>
    <w:rsid w:val="00867939"/>
    <w:rsid w:val="00870288"/>
    <w:rsid w:val="00870567"/>
    <w:rsid w:val="008705DD"/>
    <w:rsid w:val="00870643"/>
    <w:rsid w:val="00871716"/>
    <w:rsid w:val="0087182D"/>
    <w:rsid w:val="008723F7"/>
    <w:rsid w:val="00872613"/>
    <w:rsid w:val="0087379F"/>
    <w:rsid w:val="008741D0"/>
    <w:rsid w:val="0087457B"/>
    <w:rsid w:val="0087480B"/>
    <w:rsid w:val="00875269"/>
    <w:rsid w:val="0087555C"/>
    <w:rsid w:val="00875A2F"/>
    <w:rsid w:val="008772FB"/>
    <w:rsid w:val="00877CCF"/>
    <w:rsid w:val="008821BF"/>
    <w:rsid w:val="0088256A"/>
    <w:rsid w:val="0088383B"/>
    <w:rsid w:val="008838B4"/>
    <w:rsid w:val="00884EDD"/>
    <w:rsid w:val="00884F70"/>
    <w:rsid w:val="00885448"/>
    <w:rsid w:val="00885494"/>
    <w:rsid w:val="00885EFD"/>
    <w:rsid w:val="00886621"/>
    <w:rsid w:val="00886743"/>
    <w:rsid w:val="00886CEF"/>
    <w:rsid w:val="00887BD3"/>
    <w:rsid w:val="00891579"/>
    <w:rsid w:val="00892AAB"/>
    <w:rsid w:val="00892F3F"/>
    <w:rsid w:val="008935C0"/>
    <w:rsid w:val="008943AD"/>
    <w:rsid w:val="00894482"/>
    <w:rsid w:val="00894CD2"/>
    <w:rsid w:val="008952EA"/>
    <w:rsid w:val="00896185"/>
    <w:rsid w:val="0089677A"/>
    <w:rsid w:val="00897517"/>
    <w:rsid w:val="0089760B"/>
    <w:rsid w:val="008978C9"/>
    <w:rsid w:val="00897B21"/>
    <w:rsid w:val="00897E2A"/>
    <w:rsid w:val="008A0022"/>
    <w:rsid w:val="008A0B6C"/>
    <w:rsid w:val="008A1310"/>
    <w:rsid w:val="008A1789"/>
    <w:rsid w:val="008A1FB7"/>
    <w:rsid w:val="008A321C"/>
    <w:rsid w:val="008A353D"/>
    <w:rsid w:val="008A388C"/>
    <w:rsid w:val="008A4BDD"/>
    <w:rsid w:val="008A5577"/>
    <w:rsid w:val="008A5853"/>
    <w:rsid w:val="008A5F07"/>
    <w:rsid w:val="008A68DF"/>
    <w:rsid w:val="008A6E57"/>
    <w:rsid w:val="008A7368"/>
    <w:rsid w:val="008A7C18"/>
    <w:rsid w:val="008A7CA7"/>
    <w:rsid w:val="008B3B3E"/>
    <w:rsid w:val="008B3EFE"/>
    <w:rsid w:val="008B4361"/>
    <w:rsid w:val="008B47CF"/>
    <w:rsid w:val="008B5B04"/>
    <w:rsid w:val="008B5B6D"/>
    <w:rsid w:val="008B60C2"/>
    <w:rsid w:val="008B66BF"/>
    <w:rsid w:val="008B6FB5"/>
    <w:rsid w:val="008B718B"/>
    <w:rsid w:val="008B7279"/>
    <w:rsid w:val="008B791A"/>
    <w:rsid w:val="008B7E40"/>
    <w:rsid w:val="008C0299"/>
    <w:rsid w:val="008C0390"/>
    <w:rsid w:val="008C091A"/>
    <w:rsid w:val="008C0FC3"/>
    <w:rsid w:val="008C3CDD"/>
    <w:rsid w:val="008C5ABC"/>
    <w:rsid w:val="008C7042"/>
    <w:rsid w:val="008C7621"/>
    <w:rsid w:val="008D02B8"/>
    <w:rsid w:val="008D1938"/>
    <w:rsid w:val="008D1E44"/>
    <w:rsid w:val="008D213C"/>
    <w:rsid w:val="008D2CEC"/>
    <w:rsid w:val="008D31CE"/>
    <w:rsid w:val="008D31E8"/>
    <w:rsid w:val="008D4249"/>
    <w:rsid w:val="008D4F22"/>
    <w:rsid w:val="008D5395"/>
    <w:rsid w:val="008D614F"/>
    <w:rsid w:val="008D6516"/>
    <w:rsid w:val="008D67BC"/>
    <w:rsid w:val="008D6890"/>
    <w:rsid w:val="008D6D27"/>
    <w:rsid w:val="008D7047"/>
    <w:rsid w:val="008D7E58"/>
    <w:rsid w:val="008E0585"/>
    <w:rsid w:val="008E0E0E"/>
    <w:rsid w:val="008E11EA"/>
    <w:rsid w:val="008E2107"/>
    <w:rsid w:val="008E2A78"/>
    <w:rsid w:val="008E5083"/>
    <w:rsid w:val="008E555A"/>
    <w:rsid w:val="008E5D9F"/>
    <w:rsid w:val="008E664F"/>
    <w:rsid w:val="008F0362"/>
    <w:rsid w:val="008F11D7"/>
    <w:rsid w:val="008F2188"/>
    <w:rsid w:val="008F2D53"/>
    <w:rsid w:val="008F3361"/>
    <w:rsid w:val="008F48A7"/>
    <w:rsid w:val="008F4BC7"/>
    <w:rsid w:val="008F5428"/>
    <w:rsid w:val="008F590E"/>
    <w:rsid w:val="008F59BF"/>
    <w:rsid w:val="008F6927"/>
    <w:rsid w:val="008F6BD9"/>
    <w:rsid w:val="008F77CD"/>
    <w:rsid w:val="008F78E2"/>
    <w:rsid w:val="008F7C95"/>
    <w:rsid w:val="008F7D31"/>
    <w:rsid w:val="00900B3D"/>
    <w:rsid w:val="00902BA0"/>
    <w:rsid w:val="00902E4E"/>
    <w:rsid w:val="00903312"/>
    <w:rsid w:val="00903B4E"/>
    <w:rsid w:val="009041EB"/>
    <w:rsid w:val="009048FD"/>
    <w:rsid w:val="00907908"/>
    <w:rsid w:val="009117CC"/>
    <w:rsid w:val="00912B42"/>
    <w:rsid w:val="0091538B"/>
    <w:rsid w:val="0091548C"/>
    <w:rsid w:val="00916932"/>
    <w:rsid w:val="00916CAE"/>
    <w:rsid w:val="00917251"/>
    <w:rsid w:val="00920252"/>
    <w:rsid w:val="00921612"/>
    <w:rsid w:val="00921B62"/>
    <w:rsid w:val="0092269C"/>
    <w:rsid w:val="00922939"/>
    <w:rsid w:val="00922999"/>
    <w:rsid w:val="00922A64"/>
    <w:rsid w:val="00922F14"/>
    <w:rsid w:val="00923C04"/>
    <w:rsid w:val="00923E79"/>
    <w:rsid w:val="00923EEC"/>
    <w:rsid w:val="00924C5C"/>
    <w:rsid w:val="00925E67"/>
    <w:rsid w:val="00926B4F"/>
    <w:rsid w:val="00930949"/>
    <w:rsid w:val="009310D6"/>
    <w:rsid w:val="00931601"/>
    <w:rsid w:val="00931915"/>
    <w:rsid w:val="00931AAA"/>
    <w:rsid w:val="00932A1D"/>
    <w:rsid w:val="009339E7"/>
    <w:rsid w:val="00933CDD"/>
    <w:rsid w:val="00934BB1"/>
    <w:rsid w:val="009352A9"/>
    <w:rsid w:val="0093588B"/>
    <w:rsid w:val="00936094"/>
    <w:rsid w:val="009364DC"/>
    <w:rsid w:val="0093684C"/>
    <w:rsid w:val="00936A72"/>
    <w:rsid w:val="00937714"/>
    <w:rsid w:val="0094062D"/>
    <w:rsid w:val="00940EC0"/>
    <w:rsid w:val="0094246A"/>
    <w:rsid w:val="00943883"/>
    <w:rsid w:val="00943EE6"/>
    <w:rsid w:val="00944937"/>
    <w:rsid w:val="00944E82"/>
    <w:rsid w:val="00945550"/>
    <w:rsid w:val="00945C9C"/>
    <w:rsid w:val="0094659C"/>
    <w:rsid w:val="00946A18"/>
    <w:rsid w:val="00953DF8"/>
    <w:rsid w:val="009557EF"/>
    <w:rsid w:val="00955B9F"/>
    <w:rsid w:val="00955DE6"/>
    <w:rsid w:val="009571A5"/>
    <w:rsid w:val="009578F3"/>
    <w:rsid w:val="00960535"/>
    <w:rsid w:val="00960675"/>
    <w:rsid w:val="0096082E"/>
    <w:rsid w:val="00961841"/>
    <w:rsid w:val="009622F9"/>
    <w:rsid w:val="00962420"/>
    <w:rsid w:val="0096257C"/>
    <w:rsid w:val="00963944"/>
    <w:rsid w:val="00963F0D"/>
    <w:rsid w:val="009648E6"/>
    <w:rsid w:val="00964A3A"/>
    <w:rsid w:val="00964BBC"/>
    <w:rsid w:val="00966C01"/>
    <w:rsid w:val="009674C7"/>
    <w:rsid w:val="009677BB"/>
    <w:rsid w:val="00967EA0"/>
    <w:rsid w:val="00970237"/>
    <w:rsid w:val="00970FF6"/>
    <w:rsid w:val="0097133C"/>
    <w:rsid w:val="00972405"/>
    <w:rsid w:val="00972C94"/>
    <w:rsid w:val="0097325B"/>
    <w:rsid w:val="00974F5E"/>
    <w:rsid w:val="00975327"/>
    <w:rsid w:val="0097537C"/>
    <w:rsid w:val="00983B5C"/>
    <w:rsid w:val="0098422B"/>
    <w:rsid w:val="00984721"/>
    <w:rsid w:val="009849A6"/>
    <w:rsid w:val="009871C9"/>
    <w:rsid w:val="0098737C"/>
    <w:rsid w:val="00987FD4"/>
    <w:rsid w:val="00990E17"/>
    <w:rsid w:val="00991511"/>
    <w:rsid w:val="00991559"/>
    <w:rsid w:val="0099173F"/>
    <w:rsid w:val="00991C6D"/>
    <w:rsid w:val="00991E14"/>
    <w:rsid w:val="00994A5D"/>
    <w:rsid w:val="0099549C"/>
    <w:rsid w:val="009959E5"/>
    <w:rsid w:val="009961FB"/>
    <w:rsid w:val="00997CEA"/>
    <w:rsid w:val="00997E26"/>
    <w:rsid w:val="009A08CF"/>
    <w:rsid w:val="009A0FD7"/>
    <w:rsid w:val="009A1C88"/>
    <w:rsid w:val="009A1E10"/>
    <w:rsid w:val="009A26E7"/>
    <w:rsid w:val="009A2FD8"/>
    <w:rsid w:val="009A4953"/>
    <w:rsid w:val="009A4E14"/>
    <w:rsid w:val="009A6307"/>
    <w:rsid w:val="009A79CB"/>
    <w:rsid w:val="009B00C0"/>
    <w:rsid w:val="009B2194"/>
    <w:rsid w:val="009B2815"/>
    <w:rsid w:val="009B330A"/>
    <w:rsid w:val="009B3F68"/>
    <w:rsid w:val="009B4980"/>
    <w:rsid w:val="009B5208"/>
    <w:rsid w:val="009B52A8"/>
    <w:rsid w:val="009B63EA"/>
    <w:rsid w:val="009B746B"/>
    <w:rsid w:val="009B7897"/>
    <w:rsid w:val="009C04E8"/>
    <w:rsid w:val="009C1F0A"/>
    <w:rsid w:val="009C3348"/>
    <w:rsid w:val="009C460F"/>
    <w:rsid w:val="009C4A54"/>
    <w:rsid w:val="009C50A8"/>
    <w:rsid w:val="009C5A74"/>
    <w:rsid w:val="009C5ECB"/>
    <w:rsid w:val="009C69A5"/>
    <w:rsid w:val="009C72FE"/>
    <w:rsid w:val="009D0079"/>
    <w:rsid w:val="009D23FC"/>
    <w:rsid w:val="009D37E6"/>
    <w:rsid w:val="009D44B0"/>
    <w:rsid w:val="009D5805"/>
    <w:rsid w:val="009D59A0"/>
    <w:rsid w:val="009D5CFD"/>
    <w:rsid w:val="009D6DCA"/>
    <w:rsid w:val="009D70A0"/>
    <w:rsid w:val="009D7969"/>
    <w:rsid w:val="009E07DD"/>
    <w:rsid w:val="009E09A6"/>
    <w:rsid w:val="009E174E"/>
    <w:rsid w:val="009E28CE"/>
    <w:rsid w:val="009E29E3"/>
    <w:rsid w:val="009E31C9"/>
    <w:rsid w:val="009E3482"/>
    <w:rsid w:val="009E4617"/>
    <w:rsid w:val="009E483D"/>
    <w:rsid w:val="009E593F"/>
    <w:rsid w:val="009E5A9E"/>
    <w:rsid w:val="009E6073"/>
    <w:rsid w:val="009E608B"/>
    <w:rsid w:val="009E6BEE"/>
    <w:rsid w:val="009E74F1"/>
    <w:rsid w:val="009F099A"/>
    <w:rsid w:val="009F130C"/>
    <w:rsid w:val="009F1A42"/>
    <w:rsid w:val="009F31AE"/>
    <w:rsid w:val="009F38CF"/>
    <w:rsid w:val="009F4E26"/>
    <w:rsid w:val="009F5298"/>
    <w:rsid w:val="009F566E"/>
    <w:rsid w:val="009F6647"/>
    <w:rsid w:val="00A00006"/>
    <w:rsid w:val="00A000CB"/>
    <w:rsid w:val="00A01294"/>
    <w:rsid w:val="00A02775"/>
    <w:rsid w:val="00A03435"/>
    <w:rsid w:val="00A0416B"/>
    <w:rsid w:val="00A04524"/>
    <w:rsid w:val="00A04C5F"/>
    <w:rsid w:val="00A05150"/>
    <w:rsid w:val="00A05194"/>
    <w:rsid w:val="00A06958"/>
    <w:rsid w:val="00A06E77"/>
    <w:rsid w:val="00A10C65"/>
    <w:rsid w:val="00A113DD"/>
    <w:rsid w:val="00A1458C"/>
    <w:rsid w:val="00A145D7"/>
    <w:rsid w:val="00A15630"/>
    <w:rsid w:val="00A160FD"/>
    <w:rsid w:val="00A163C6"/>
    <w:rsid w:val="00A1748C"/>
    <w:rsid w:val="00A204E0"/>
    <w:rsid w:val="00A21033"/>
    <w:rsid w:val="00A213B8"/>
    <w:rsid w:val="00A253AA"/>
    <w:rsid w:val="00A25510"/>
    <w:rsid w:val="00A2607E"/>
    <w:rsid w:val="00A264D8"/>
    <w:rsid w:val="00A265B9"/>
    <w:rsid w:val="00A266C4"/>
    <w:rsid w:val="00A27742"/>
    <w:rsid w:val="00A27BF7"/>
    <w:rsid w:val="00A30026"/>
    <w:rsid w:val="00A300C8"/>
    <w:rsid w:val="00A30C73"/>
    <w:rsid w:val="00A30E52"/>
    <w:rsid w:val="00A3108F"/>
    <w:rsid w:val="00A31AF5"/>
    <w:rsid w:val="00A3243B"/>
    <w:rsid w:val="00A32830"/>
    <w:rsid w:val="00A3296C"/>
    <w:rsid w:val="00A32BA7"/>
    <w:rsid w:val="00A3320B"/>
    <w:rsid w:val="00A332C9"/>
    <w:rsid w:val="00A34D8A"/>
    <w:rsid w:val="00A34F0A"/>
    <w:rsid w:val="00A40732"/>
    <w:rsid w:val="00A4113F"/>
    <w:rsid w:val="00A41BC1"/>
    <w:rsid w:val="00A42B68"/>
    <w:rsid w:val="00A43C9F"/>
    <w:rsid w:val="00A43F62"/>
    <w:rsid w:val="00A442A1"/>
    <w:rsid w:val="00A442C6"/>
    <w:rsid w:val="00A44C58"/>
    <w:rsid w:val="00A450FE"/>
    <w:rsid w:val="00A47703"/>
    <w:rsid w:val="00A5043F"/>
    <w:rsid w:val="00A52A73"/>
    <w:rsid w:val="00A53370"/>
    <w:rsid w:val="00A5393D"/>
    <w:rsid w:val="00A54A9C"/>
    <w:rsid w:val="00A57C12"/>
    <w:rsid w:val="00A604CE"/>
    <w:rsid w:val="00A60F5A"/>
    <w:rsid w:val="00A61A61"/>
    <w:rsid w:val="00A62EB3"/>
    <w:rsid w:val="00A633BE"/>
    <w:rsid w:val="00A66835"/>
    <w:rsid w:val="00A668AF"/>
    <w:rsid w:val="00A67761"/>
    <w:rsid w:val="00A67E1A"/>
    <w:rsid w:val="00A70119"/>
    <w:rsid w:val="00A70525"/>
    <w:rsid w:val="00A70885"/>
    <w:rsid w:val="00A72960"/>
    <w:rsid w:val="00A72B8A"/>
    <w:rsid w:val="00A72EFD"/>
    <w:rsid w:val="00A7439F"/>
    <w:rsid w:val="00A756B2"/>
    <w:rsid w:val="00A76083"/>
    <w:rsid w:val="00A766DD"/>
    <w:rsid w:val="00A77FCB"/>
    <w:rsid w:val="00A82D44"/>
    <w:rsid w:val="00A84B82"/>
    <w:rsid w:val="00A84E01"/>
    <w:rsid w:val="00A8583B"/>
    <w:rsid w:val="00A858D8"/>
    <w:rsid w:val="00A85D65"/>
    <w:rsid w:val="00A86042"/>
    <w:rsid w:val="00A86F4F"/>
    <w:rsid w:val="00A87EE6"/>
    <w:rsid w:val="00A87FBF"/>
    <w:rsid w:val="00A90BC3"/>
    <w:rsid w:val="00A90C01"/>
    <w:rsid w:val="00A925D8"/>
    <w:rsid w:val="00A9341E"/>
    <w:rsid w:val="00A937D8"/>
    <w:rsid w:val="00A94285"/>
    <w:rsid w:val="00A963AA"/>
    <w:rsid w:val="00A9649C"/>
    <w:rsid w:val="00A9687A"/>
    <w:rsid w:val="00A978C0"/>
    <w:rsid w:val="00AA1836"/>
    <w:rsid w:val="00AA1897"/>
    <w:rsid w:val="00AA19E3"/>
    <w:rsid w:val="00AA1B60"/>
    <w:rsid w:val="00AA2527"/>
    <w:rsid w:val="00AA381D"/>
    <w:rsid w:val="00AA395B"/>
    <w:rsid w:val="00AA490B"/>
    <w:rsid w:val="00AA4C2A"/>
    <w:rsid w:val="00AA5119"/>
    <w:rsid w:val="00AA6E95"/>
    <w:rsid w:val="00AA7714"/>
    <w:rsid w:val="00AA7C6E"/>
    <w:rsid w:val="00AB0DCE"/>
    <w:rsid w:val="00AB18CA"/>
    <w:rsid w:val="00AB1CB0"/>
    <w:rsid w:val="00AB240E"/>
    <w:rsid w:val="00AB5810"/>
    <w:rsid w:val="00AB5A0C"/>
    <w:rsid w:val="00AB7E27"/>
    <w:rsid w:val="00AC008E"/>
    <w:rsid w:val="00AC23E6"/>
    <w:rsid w:val="00AC29C8"/>
    <w:rsid w:val="00AC3F3D"/>
    <w:rsid w:val="00AC483A"/>
    <w:rsid w:val="00AC505E"/>
    <w:rsid w:val="00AC531B"/>
    <w:rsid w:val="00AC5CFD"/>
    <w:rsid w:val="00AC647B"/>
    <w:rsid w:val="00AC6906"/>
    <w:rsid w:val="00AD022A"/>
    <w:rsid w:val="00AD03B9"/>
    <w:rsid w:val="00AD10AE"/>
    <w:rsid w:val="00AD17F4"/>
    <w:rsid w:val="00AD20AF"/>
    <w:rsid w:val="00AD2A75"/>
    <w:rsid w:val="00AD2D4C"/>
    <w:rsid w:val="00AD2FAB"/>
    <w:rsid w:val="00AD3CB2"/>
    <w:rsid w:val="00AD491C"/>
    <w:rsid w:val="00AD5D3B"/>
    <w:rsid w:val="00AD5E50"/>
    <w:rsid w:val="00AD63A9"/>
    <w:rsid w:val="00AD6976"/>
    <w:rsid w:val="00AD6E69"/>
    <w:rsid w:val="00AD7F33"/>
    <w:rsid w:val="00AE06E1"/>
    <w:rsid w:val="00AE0C6B"/>
    <w:rsid w:val="00AE2A3D"/>
    <w:rsid w:val="00AE301B"/>
    <w:rsid w:val="00AE4924"/>
    <w:rsid w:val="00AE4FBF"/>
    <w:rsid w:val="00AE5C1F"/>
    <w:rsid w:val="00AE6193"/>
    <w:rsid w:val="00AE64C2"/>
    <w:rsid w:val="00AF20D6"/>
    <w:rsid w:val="00AF2549"/>
    <w:rsid w:val="00AF289E"/>
    <w:rsid w:val="00AF3F87"/>
    <w:rsid w:val="00AF57FE"/>
    <w:rsid w:val="00AF5D02"/>
    <w:rsid w:val="00AF76A6"/>
    <w:rsid w:val="00AF7FFD"/>
    <w:rsid w:val="00B00C94"/>
    <w:rsid w:val="00B00E30"/>
    <w:rsid w:val="00B01364"/>
    <w:rsid w:val="00B01635"/>
    <w:rsid w:val="00B031CC"/>
    <w:rsid w:val="00B035DF"/>
    <w:rsid w:val="00B03C41"/>
    <w:rsid w:val="00B03D73"/>
    <w:rsid w:val="00B0428A"/>
    <w:rsid w:val="00B045A3"/>
    <w:rsid w:val="00B06457"/>
    <w:rsid w:val="00B105BC"/>
    <w:rsid w:val="00B10A9D"/>
    <w:rsid w:val="00B13665"/>
    <w:rsid w:val="00B13CC0"/>
    <w:rsid w:val="00B14CD8"/>
    <w:rsid w:val="00B15723"/>
    <w:rsid w:val="00B16332"/>
    <w:rsid w:val="00B16575"/>
    <w:rsid w:val="00B200E2"/>
    <w:rsid w:val="00B20610"/>
    <w:rsid w:val="00B20752"/>
    <w:rsid w:val="00B21261"/>
    <w:rsid w:val="00B21DEB"/>
    <w:rsid w:val="00B22713"/>
    <w:rsid w:val="00B24603"/>
    <w:rsid w:val="00B254A0"/>
    <w:rsid w:val="00B2674A"/>
    <w:rsid w:val="00B303B3"/>
    <w:rsid w:val="00B32857"/>
    <w:rsid w:val="00B34552"/>
    <w:rsid w:val="00B3580C"/>
    <w:rsid w:val="00B358A9"/>
    <w:rsid w:val="00B35A5D"/>
    <w:rsid w:val="00B36996"/>
    <w:rsid w:val="00B372D3"/>
    <w:rsid w:val="00B374F4"/>
    <w:rsid w:val="00B378D2"/>
    <w:rsid w:val="00B4005E"/>
    <w:rsid w:val="00B40248"/>
    <w:rsid w:val="00B40394"/>
    <w:rsid w:val="00B419A7"/>
    <w:rsid w:val="00B41F5E"/>
    <w:rsid w:val="00B42CCD"/>
    <w:rsid w:val="00B43719"/>
    <w:rsid w:val="00B438B1"/>
    <w:rsid w:val="00B43B3B"/>
    <w:rsid w:val="00B4457C"/>
    <w:rsid w:val="00B46749"/>
    <w:rsid w:val="00B468A6"/>
    <w:rsid w:val="00B4796A"/>
    <w:rsid w:val="00B50E26"/>
    <w:rsid w:val="00B51DD3"/>
    <w:rsid w:val="00B53E20"/>
    <w:rsid w:val="00B55146"/>
    <w:rsid w:val="00B55217"/>
    <w:rsid w:val="00B554E3"/>
    <w:rsid w:val="00B56475"/>
    <w:rsid w:val="00B56D4C"/>
    <w:rsid w:val="00B576F4"/>
    <w:rsid w:val="00B604FB"/>
    <w:rsid w:val="00B616BF"/>
    <w:rsid w:val="00B624AF"/>
    <w:rsid w:val="00B63401"/>
    <w:rsid w:val="00B64014"/>
    <w:rsid w:val="00B64686"/>
    <w:rsid w:val="00B64F4B"/>
    <w:rsid w:val="00B66649"/>
    <w:rsid w:val="00B66CD4"/>
    <w:rsid w:val="00B66F8B"/>
    <w:rsid w:val="00B707EE"/>
    <w:rsid w:val="00B70CFA"/>
    <w:rsid w:val="00B70F7E"/>
    <w:rsid w:val="00B71B46"/>
    <w:rsid w:val="00B71B86"/>
    <w:rsid w:val="00B729CD"/>
    <w:rsid w:val="00B72F52"/>
    <w:rsid w:val="00B7300F"/>
    <w:rsid w:val="00B73C87"/>
    <w:rsid w:val="00B75069"/>
    <w:rsid w:val="00B76487"/>
    <w:rsid w:val="00B76AB2"/>
    <w:rsid w:val="00B810C8"/>
    <w:rsid w:val="00B811C8"/>
    <w:rsid w:val="00B811D1"/>
    <w:rsid w:val="00B8159A"/>
    <w:rsid w:val="00B81F12"/>
    <w:rsid w:val="00B8389F"/>
    <w:rsid w:val="00B83F36"/>
    <w:rsid w:val="00B83F72"/>
    <w:rsid w:val="00B84A75"/>
    <w:rsid w:val="00B84ED2"/>
    <w:rsid w:val="00B84EE1"/>
    <w:rsid w:val="00B85F41"/>
    <w:rsid w:val="00B85FDC"/>
    <w:rsid w:val="00B866B2"/>
    <w:rsid w:val="00B874E7"/>
    <w:rsid w:val="00B9113A"/>
    <w:rsid w:val="00B91C13"/>
    <w:rsid w:val="00B920A2"/>
    <w:rsid w:val="00B92373"/>
    <w:rsid w:val="00B92714"/>
    <w:rsid w:val="00B932FF"/>
    <w:rsid w:val="00B94B34"/>
    <w:rsid w:val="00B94EE1"/>
    <w:rsid w:val="00B94F9F"/>
    <w:rsid w:val="00B9611C"/>
    <w:rsid w:val="00B96D6B"/>
    <w:rsid w:val="00B97174"/>
    <w:rsid w:val="00B977AD"/>
    <w:rsid w:val="00BA0D29"/>
    <w:rsid w:val="00BA162C"/>
    <w:rsid w:val="00BA25FE"/>
    <w:rsid w:val="00BA26FA"/>
    <w:rsid w:val="00BA4401"/>
    <w:rsid w:val="00BA459C"/>
    <w:rsid w:val="00BA5237"/>
    <w:rsid w:val="00BA5DDE"/>
    <w:rsid w:val="00BA6A6F"/>
    <w:rsid w:val="00BA6E5C"/>
    <w:rsid w:val="00BA75A7"/>
    <w:rsid w:val="00BA7C73"/>
    <w:rsid w:val="00BB004C"/>
    <w:rsid w:val="00BB00E0"/>
    <w:rsid w:val="00BB0887"/>
    <w:rsid w:val="00BB0F17"/>
    <w:rsid w:val="00BB16D6"/>
    <w:rsid w:val="00BB1712"/>
    <w:rsid w:val="00BB1DB6"/>
    <w:rsid w:val="00BB2391"/>
    <w:rsid w:val="00BB2987"/>
    <w:rsid w:val="00BB2A53"/>
    <w:rsid w:val="00BB50F0"/>
    <w:rsid w:val="00BB595E"/>
    <w:rsid w:val="00BB5A81"/>
    <w:rsid w:val="00BB7341"/>
    <w:rsid w:val="00BB764B"/>
    <w:rsid w:val="00BB7AB2"/>
    <w:rsid w:val="00BC1C3C"/>
    <w:rsid w:val="00BC36B2"/>
    <w:rsid w:val="00BC3F4B"/>
    <w:rsid w:val="00BC4D13"/>
    <w:rsid w:val="00BC533B"/>
    <w:rsid w:val="00BC5E33"/>
    <w:rsid w:val="00BC63FD"/>
    <w:rsid w:val="00BC66E9"/>
    <w:rsid w:val="00BC6E35"/>
    <w:rsid w:val="00BC7633"/>
    <w:rsid w:val="00BC7BC2"/>
    <w:rsid w:val="00BD03E5"/>
    <w:rsid w:val="00BD1E6E"/>
    <w:rsid w:val="00BD2047"/>
    <w:rsid w:val="00BD37CA"/>
    <w:rsid w:val="00BD48E2"/>
    <w:rsid w:val="00BD4F88"/>
    <w:rsid w:val="00BD4FFF"/>
    <w:rsid w:val="00BD674E"/>
    <w:rsid w:val="00BD78CE"/>
    <w:rsid w:val="00BD7D71"/>
    <w:rsid w:val="00BE0087"/>
    <w:rsid w:val="00BE2A87"/>
    <w:rsid w:val="00BE2C6C"/>
    <w:rsid w:val="00BE321E"/>
    <w:rsid w:val="00BE39CF"/>
    <w:rsid w:val="00BE3A8E"/>
    <w:rsid w:val="00BE43BE"/>
    <w:rsid w:val="00BE572B"/>
    <w:rsid w:val="00BE5E08"/>
    <w:rsid w:val="00BF06C3"/>
    <w:rsid w:val="00BF0D52"/>
    <w:rsid w:val="00BF157B"/>
    <w:rsid w:val="00BF17AA"/>
    <w:rsid w:val="00BF2301"/>
    <w:rsid w:val="00BF340A"/>
    <w:rsid w:val="00BF4CB5"/>
    <w:rsid w:val="00BF553E"/>
    <w:rsid w:val="00BF5F64"/>
    <w:rsid w:val="00BF6DCA"/>
    <w:rsid w:val="00C002C6"/>
    <w:rsid w:val="00C0072D"/>
    <w:rsid w:val="00C01459"/>
    <w:rsid w:val="00C02F58"/>
    <w:rsid w:val="00C04AC3"/>
    <w:rsid w:val="00C05F19"/>
    <w:rsid w:val="00C060A5"/>
    <w:rsid w:val="00C07627"/>
    <w:rsid w:val="00C0798F"/>
    <w:rsid w:val="00C07DA2"/>
    <w:rsid w:val="00C10EF8"/>
    <w:rsid w:val="00C10F10"/>
    <w:rsid w:val="00C11A80"/>
    <w:rsid w:val="00C121EF"/>
    <w:rsid w:val="00C12546"/>
    <w:rsid w:val="00C12BA5"/>
    <w:rsid w:val="00C1348E"/>
    <w:rsid w:val="00C13D2F"/>
    <w:rsid w:val="00C14373"/>
    <w:rsid w:val="00C14A68"/>
    <w:rsid w:val="00C14E7D"/>
    <w:rsid w:val="00C1529E"/>
    <w:rsid w:val="00C15742"/>
    <w:rsid w:val="00C1603D"/>
    <w:rsid w:val="00C16A48"/>
    <w:rsid w:val="00C17DD8"/>
    <w:rsid w:val="00C17FD3"/>
    <w:rsid w:val="00C20B23"/>
    <w:rsid w:val="00C21147"/>
    <w:rsid w:val="00C22B3A"/>
    <w:rsid w:val="00C22BE3"/>
    <w:rsid w:val="00C23059"/>
    <w:rsid w:val="00C230BE"/>
    <w:rsid w:val="00C266AF"/>
    <w:rsid w:val="00C26EE8"/>
    <w:rsid w:val="00C26F43"/>
    <w:rsid w:val="00C2708B"/>
    <w:rsid w:val="00C27102"/>
    <w:rsid w:val="00C27203"/>
    <w:rsid w:val="00C321E9"/>
    <w:rsid w:val="00C32460"/>
    <w:rsid w:val="00C33E86"/>
    <w:rsid w:val="00C355EE"/>
    <w:rsid w:val="00C35C40"/>
    <w:rsid w:val="00C36089"/>
    <w:rsid w:val="00C364F3"/>
    <w:rsid w:val="00C3667F"/>
    <w:rsid w:val="00C36D44"/>
    <w:rsid w:val="00C37D6D"/>
    <w:rsid w:val="00C40F84"/>
    <w:rsid w:val="00C423AC"/>
    <w:rsid w:val="00C442D9"/>
    <w:rsid w:val="00C46355"/>
    <w:rsid w:val="00C46D27"/>
    <w:rsid w:val="00C46D97"/>
    <w:rsid w:val="00C50992"/>
    <w:rsid w:val="00C50C8A"/>
    <w:rsid w:val="00C51E47"/>
    <w:rsid w:val="00C51F1C"/>
    <w:rsid w:val="00C525E1"/>
    <w:rsid w:val="00C52F55"/>
    <w:rsid w:val="00C53D98"/>
    <w:rsid w:val="00C54EFD"/>
    <w:rsid w:val="00C555B4"/>
    <w:rsid w:val="00C5586F"/>
    <w:rsid w:val="00C56EC6"/>
    <w:rsid w:val="00C5785A"/>
    <w:rsid w:val="00C57C8B"/>
    <w:rsid w:val="00C6149A"/>
    <w:rsid w:val="00C6171D"/>
    <w:rsid w:val="00C61A37"/>
    <w:rsid w:val="00C62524"/>
    <w:rsid w:val="00C62EFA"/>
    <w:rsid w:val="00C636C3"/>
    <w:rsid w:val="00C6387A"/>
    <w:rsid w:val="00C63E97"/>
    <w:rsid w:val="00C641DD"/>
    <w:rsid w:val="00C668DD"/>
    <w:rsid w:val="00C7138B"/>
    <w:rsid w:val="00C7138D"/>
    <w:rsid w:val="00C71635"/>
    <w:rsid w:val="00C7699D"/>
    <w:rsid w:val="00C80728"/>
    <w:rsid w:val="00C80ACA"/>
    <w:rsid w:val="00C82417"/>
    <w:rsid w:val="00C826A8"/>
    <w:rsid w:val="00C83B16"/>
    <w:rsid w:val="00C85176"/>
    <w:rsid w:val="00C85671"/>
    <w:rsid w:val="00C87884"/>
    <w:rsid w:val="00C87E42"/>
    <w:rsid w:val="00C91A0F"/>
    <w:rsid w:val="00C92164"/>
    <w:rsid w:val="00C927C7"/>
    <w:rsid w:val="00C92879"/>
    <w:rsid w:val="00C930BA"/>
    <w:rsid w:val="00C93D20"/>
    <w:rsid w:val="00C941ED"/>
    <w:rsid w:val="00C954A3"/>
    <w:rsid w:val="00C9649A"/>
    <w:rsid w:val="00C96E52"/>
    <w:rsid w:val="00CA1275"/>
    <w:rsid w:val="00CA15BD"/>
    <w:rsid w:val="00CA15EE"/>
    <w:rsid w:val="00CA1952"/>
    <w:rsid w:val="00CA19CC"/>
    <w:rsid w:val="00CA3B75"/>
    <w:rsid w:val="00CA3DD8"/>
    <w:rsid w:val="00CA420F"/>
    <w:rsid w:val="00CA5E0D"/>
    <w:rsid w:val="00CA6616"/>
    <w:rsid w:val="00CA6962"/>
    <w:rsid w:val="00CA7869"/>
    <w:rsid w:val="00CB02AB"/>
    <w:rsid w:val="00CB0E0C"/>
    <w:rsid w:val="00CB1218"/>
    <w:rsid w:val="00CB14B5"/>
    <w:rsid w:val="00CB1AC5"/>
    <w:rsid w:val="00CB2EED"/>
    <w:rsid w:val="00CB3D40"/>
    <w:rsid w:val="00CB514B"/>
    <w:rsid w:val="00CB5D92"/>
    <w:rsid w:val="00CB61D1"/>
    <w:rsid w:val="00CB6C17"/>
    <w:rsid w:val="00CB6EEE"/>
    <w:rsid w:val="00CC070B"/>
    <w:rsid w:val="00CC0BE6"/>
    <w:rsid w:val="00CC1914"/>
    <w:rsid w:val="00CC22F5"/>
    <w:rsid w:val="00CC2D82"/>
    <w:rsid w:val="00CC3746"/>
    <w:rsid w:val="00CC43AF"/>
    <w:rsid w:val="00CC4829"/>
    <w:rsid w:val="00CC765A"/>
    <w:rsid w:val="00CD05CA"/>
    <w:rsid w:val="00CD1FDC"/>
    <w:rsid w:val="00CD20A7"/>
    <w:rsid w:val="00CD2B65"/>
    <w:rsid w:val="00CD2C74"/>
    <w:rsid w:val="00CD30A5"/>
    <w:rsid w:val="00CD349F"/>
    <w:rsid w:val="00CD4013"/>
    <w:rsid w:val="00CD4460"/>
    <w:rsid w:val="00CD5A40"/>
    <w:rsid w:val="00CD5CE7"/>
    <w:rsid w:val="00CD7527"/>
    <w:rsid w:val="00CD7815"/>
    <w:rsid w:val="00CD7BAF"/>
    <w:rsid w:val="00CE09EB"/>
    <w:rsid w:val="00CE0BC1"/>
    <w:rsid w:val="00CE2DA9"/>
    <w:rsid w:val="00CE3072"/>
    <w:rsid w:val="00CE3D62"/>
    <w:rsid w:val="00CE4F75"/>
    <w:rsid w:val="00CE5450"/>
    <w:rsid w:val="00CE5529"/>
    <w:rsid w:val="00CE5C9B"/>
    <w:rsid w:val="00CE68E6"/>
    <w:rsid w:val="00CE712F"/>
    <w:rsid w:val="00CF1D4A"/>
    <w:rsid w:val="00CF2C35"/>
    <w:rsid w:val="00CF31D3"/>
    <w:rsid w:val="00CF3C54"/>
    <w:rsid w:val="00CF3EA6"/>
    <w:rsid w:val="00CF504C"/>
    <w:rsid w:val="00CF5E5F"/>
    <w:rsid w:val="00CF6131"/>
    <w:rsid w:val="00CF7173"/>
    <w:rsid w:val="00CF7991"/>
    <w:rsid w:val="00CF7A69"/>
    <w:rsid w:val="00CF7F0C"/>
    <w:rsid w:val="00D00FEE"/>
    <w:rsid w:val="00D02411"/>
    <w:rsid w:val="00D039AC"/>
    <w:rsid w:val="00D03A37"/>
    <w:rsid w:val="00D03F0D"/>
    <w:rsid w:val="00D0786B"/>
    <w:rsid w:val="00D07876"/>
    <w:rsid w:val="00D07EED"/>
    <w:rsid w:val="00D105DE"/>
    <w:rsid w:val="00D11BE9"/>
    <w:rsid w:val="00D120AE"/>
    <w:rsid w:val="00D12864"/>
    <w:rsid w:val="00D13908"/>
    <w:rsid w:val="00D13D23"/>
    <w:rsid w:val="00D162FB"/>
    <w:rsid w:val="00D16F1F"/>
    <w:rsid w:val="00D20203"/>
    <w:rsid w:val="00D20B5C"/>
    <w:rsid w:val="00D21216"/>
    <w:rsid w:val="00D21706"/>
    <w:rsid w:val="00D21FE2"/>
    <w:rsid w:val="00D2239A"/>
    <w:rsid w:val="00D22842"/>
    <w:rsid w:val="00D2313B"/>
    <w:rsid w:val="00D24603"/>
    <w:rsid w:val="00D24E6B"/>
    <w:rsid w:val="00D25119"/>
    <w:rsid w:val="00D25668"/>
    <w:rsid w:val="00D25F44"/>
    <w:rsid w:val="00D26704"/>
    <w:rsid w:val="00D272C4"/>
    <w:rsid w:val="00D276DF"/>
    <w:rsid w:val="00D27A95"/>
    <w:rsid w:val="00D30407"/>
    <w:rsid w:val="00D3097E"/>
    <w:rsid w:val="00D30CD1"/>
    <w:rsid w:val="00D31587"/>
    <w:rsid w:val="00D31BBE"/>
    <w:rsid w:val="00D32478"/>
    <w:rsid w:val="00D3354F"/>
    <w:rsid w:val="00D345C8"/>
    <w:rsid w:val="00D34942"/>
    <w:rsid w:val="00D357DD"/>
    <w:rsid w:val="00D37213"/>
    <w:rsid w:val="00D3739F"/>
    <w:rsid w:val="00D379C8"/>
    <w:rsid w:val="00D404AF"/>
    <w:rsid w:val="00D40731"/>
    <w:rsid w:val="00D41350"/>
    <w:rsid w:val="00D41A91"/>
    <w:rsid w:val="00D42F07"/>
    <w:rsid w:val="00D42FF9"/>
    <w:rsid w:val="00D4319A"/>
    <w:rsid w:val="00D43205"/>
    <w:rsid w:val="00D43F1D"/>
    <w:rsid w:val="00D442E0"/>
    <w:rsid w:val="00D4595A"/>
    <w:rsid w:val="00D45E81"/>
    <w:rsid w:val="00D47D74"/>
    <w:rsid w:val="00D50772"/>
    <w:rsid w:val="00D50C7F"/>
    <w:rsid w:val="00D50F58"/>
    <w:rsid w:val="00D521AF"/>
    <w:rsid w:val="00D531F9"/>
    <w:rsid w:val="00D549FA"/>
    <w:rsid w:val="00D54AD9"/>
    <w:rsid w:val="00D5617D"/>
    <w:rsid w:val="00D56E0B"/>
    <w:rsid w:val="00D57B65"/>
    <w:rsid w:val="00D57C9A"/>
    <w:rsid w:val="00D60841"/>
    <w:rsid w:val="00D612D6"/>
    <w:rsid w:val="00D61C1F"/>
    <w:rsid w:val="00D61D60"/>
    <w:rsid w:val="00D627C6"/>
    <w:rsid w:val="00D64474"/>
    <w:rsid w:val="00D64997"/>
    <w:rsid w:val="00D64B00"/>
    <w:rsid w:val="00D64FA1"/>
    <w:rsid w:val="00D65424"/>
    <w:rsid w:val="00D65791"/>
    <w:rsid w:val="00D65C9C"/>
    <w:rsid w:val="00D66268"/>
    <w:rsid w:val="00D67CA5"/>
    <w:rsid w:val="00D7002D"/>
    <w:rsid w:val="00D705BA"/>
    <w:rsid w:val="00D709C9"/>
    <w:rsid w:val="00D716EA"/>
    <w:rsid w:val="00D71C1B"/>
    <w:rsid w:val="00D72276"/>
    <w:rsid w:val="00D72A97"/>
    <w:rsid w:val="00D72BD1"/>
    <w:rsid w:val="00D730DD"/>
    <w:rsid w:val="00D738FA"/>
    <w:rsid w:val="00D74B5B"/>
    <w:rsid w:val="00D75148"/>
    <w:rsid w:val="00D754A4"/>
    <w:rsid w:val="00D76353"/>
    <w:rsid w:val="00D7678C"/>
    <w:rsid w:val="00D76B6A"/>
    <w:rsid w:val="00D7721C"/>
    <w:rsid w:val="00D800A0"/>
    <w:rsid w:val="00D812C8"/>
    <w:rsid w:val="00D8137B"/>
    <w:rsid w:val="00D8180B"/>
    <w:rsid w:val="00D821E2"/>
    <w:rsid w:val="00D82775"/>
    <w:rsid w:val="00D85EC7"/>
    <w:rsid w:val="00D863CC"/>
    <w:rsid w:val="00D868BB"/>
    <w:rsid w:val="00D87B2F"/>
    <w:rsid w:val="00D912D9"/>
    <w:rsid w:val="00D92390"/>
    <w:rsid w:val="00D93B84"/>
    <w:rsid w:val="00D94086"/>
    <w:rsid w:val="00D94A59"/>
    <w:rsid w:val="00D94C5E"/>
    <w:rsid w:val="00D94DBC"/>
    <w:rsid w:val="00D9570A"/>
    <w:rsid w:val="00D9708F"/>
    <w:rsid w:val="00DA0275"/>
    <w:rsid w:val="00DA02C2"/>
    <w:rsid w:val="00DA1046"/>
    <w:rsid w:val="00DA120D"/>
    <w:rsid w:val="00DA189E"/>
    <w:rsid w:val="00DA1A58"/>
    <w:rsid w:val="00DA289C"/>
    <w:rsid w:val="00DA346D"/>
    <w:rsid w:val="00DA3EE0"/>
    <w:rsid w:val="00DA4BE6"/>
    <w:rsid w:val="00DA602B"/>
    <w:rsid w:val="00DA6A13"/>
    <w:rsid w:val="00DA71CC"/>
    <w:rsid w:val="00DB0ADB"/>
    <w:rsid w:val="00DB12D2"/>
    <w:rsid w:val="00DB15D1"/>
    <w:rsid w:val="00DB1F76"/>
    <w:rsid w:val="00DB23E0"/>
    <w:rsid w:val="00DB4BAA"/>
    <w:rsid w:val="00DB66DF"/>
    <w:rsid w:val="00DB6858"/>
    <w:rsid w:val="00DC09F8"/>
    <w:rsid w:val="00DC0F85"/>
    <w:rsid w:val="00DC388D"/>
    <w:rsid w:val="00DC4151"/>
    <w:rsid w:val="00DC4799"/>
    <w:rsid w:val="00DC4D63"/>
    <w:rsid w:val="00DC4DEF"/>
    <w:rsid w:val="00DC5756"/>
    <w:rsid w:val="00DC5B18"/>
    <w:rsid w:val="00DC660E"/>
    <w:rsid w:val="00DC72D8"/>
    <w:rsid w:val="00DD091B"/>
    <w:rsid w:val="00DD1B08"/>
    <w:rsid w:val="00DD1D48"/>
    <w:rsid w:val="00DD26A1"/>
    <w:rsid w:val="00DD3B7E"/>
    <w:rsid w:val="00DD421D"/>
    <w:rsid w:val="00DD536D"/>
    <w:rsid w:val="00DD7180"/>
    <w:rsid w:val="00DE0383"/>
    <w:rsid w:val="00DE15B1"/>
    <w:rsid w:val="00DE1BC8"/>
    <w:rsid w:val="00DE2FD9"/>
    <w:rsid w:val="00DE3079"/>
    <w:rsid w:val="00DE3EFD"/>
    <w:rsid w:val="00DE473B"/>
    <w:rsid w:val="00DE49DD"/>
    <w:rsid w:val="00DE513D"/>
    <w:rsid w:val="00DE5D62"/>
    <w:rsid w:val="00DE610D"/>
    <w:rsid w:val="00DE723A"/>
    <w:rsid w:val="00DE794B"/>
    <w:rsid w:val="00DF05DB"/>
    <w:rsid w:val="00DF079A"/>
    <w:rsid w:val="00DF0B6F"/>
    <w:rsid w:val="00DF1BBB"/>
    <w:rsid w:val="00DF1D58"/>
    <w:rsid w:val="00DF2E46"/>
    <w:rsid w:val="00DF2FC8"/>
    <w:rsid w:val="00DF318E"/>
    <w:rsid w:val="00DF3723"/>
    <w:rsid w:val="00DF3E3F"/>
    <w:rsid w:val="00DF4D39"/>
    <w:rsid w:val="00DF50DE"/>
    <w:rsid w:val="00DF5FC0"/>
    <w:rsid w:val="00DF5FCE"/>
    <w:rsid w:val="00DF651A"/>
    <w:rsid w:val="00DF6B72"/>
    <w:rsid w:val="00E00255"/>
    <w:rsid w:val="00E00590"/>
    <w:rsid w:val="00E00B6A"/>
    <w:rsid w:val="00E00BBD"/>
    <w:rsid w:val="00E017B8"/>
    <w:rsid w:val="00E01DF2"/>
    <w:rsid w:val="00E01E59"/>
    <w:rsid w:val="00E01FF6"/>
    <w:rsid w:val="00E052D7"/>
    <w:rsid w:val="00E06BC3"/>
    <w:rsid w:val="00E072EB"/>
    <w:rsid w:val="00E10296"/>
    <w:rsid w:val="00E10726"/>
    <w:rsid w:val="00E127C6"/>
    <w:rsid w:val="00E13A44"/>
    <w:rsid w:val="00E13A4C"/>
    <w:rsid w:val="00E1505D"/>
    <w:rsid w:val="00E16C45"/>
    <w:rsid w:val="00E16E2C"/>
    <w:rsid w:val="00E1782C"/>
    <w:rsid w:val="00E201A7"/>
    <w:rsid w:val="00E20863"/>
    <w:rsid w:val="00E20F42"/>
    <w:rsid w:val="00E213F1"/>
    <w:rsid w:val="00E23998"/>
    <w:rsid w:val="00E24FD3"/>
    <w:rsid w:val="00E27CC9"/>
    <w:rsid w:val="00E27DAC"/>
    <w:rsid w:val="00E30DD3"/>
    <w:rsid w:val="00E31231"/>
    <w:rsid w:val="00E3162D"/>
    <w:rsid w:val="00E31DAE"/>
    <w:rsid w:val="00E31E10"/>
    <w:rsid w:val="00E35846"/>
    <w:rsid w:val="00E35D64"/>
    <w:rsid w:val="00E3652B"/>
    <w:rsid w:val="00E37809"/>
    <w:rsid w:val="00E40089"/>
    <w:rsid w:val="00E4069C"/>
    <w:rsid w:val="00E40ABA"/>
    <w:rsid w:val="00E41B6A"/>
    <w:rsid w:val="00E42260"/>
    <w:rsid w:val="00E42C6C"/>
    <w:rsid w:val="00E42DCB"/>
    <w:rsid w:val="00E445BF"/>
    <w:rsid w:val="00E44691"/>
    <w:rsid w:val="00E447D5"/>
    <w:rsid w:val="00E45A23"/>
    <w:rsid w:val="00E45B2F"/>
    <w:rsid w:val="00E45C64"/>
    <w:rsid w:val="00E45F8E"/>
    <w:rsid w:val="00E465FB"/>
    <w:rsid w:val="00E4677F"/>
    <w:rsid w:val="00E46F0A"/>
    <w:rsid w:val="00E4705D"/>
    <w:rsid w:val="00E47EB0"/>
    <w:rsid w:val="00E508A5"/>
    <w:rsid w:val="00E519F1"/>
    <w:rsid w:val="00E51E5B"/>
    <w:rsid w:val="00E520B1"/>
    <w:rsid w:val="00E53769"/>
    <w:rsid w:val="00E54D3A"/>
    <w:rsid w:val="00E56A0C"/>
    <w:rsid w:val="00E60887"/>
    <w:rsid w:val="00E62013"/>
    <w:rsid w:val="00E62CF9"/>
    <w:rsid w:val="00E64319"/>
    <w:rsid w:val="00E646E0"/>
    <w:rsid w:val="00E65405"/>
    <w:rsid w:val="00E66F93"/>
    <w:rsid w:val="00E6770A"/>
    <w:rsid w:val="00E7190F"/>
    <w:rsid w:val="00E7214C"/>
    <w:rsid w:val="00E7266F"/>
    <w:rsid w:val="00E72C71"/>
    <w:rsid w:val="00E7395E"/>
    <w:rsid w:val="00E73AD7"/>
    <w:rsid w:val="00E73ADF"/>
    <w:rsid w:val="00E7427D"/>
    <w:rsid w:val="00E74ACE"/>
    <w:rsid w:val="00E74AD7"/>
    <w:rsid w:val="00E74AF5"/>
    <w:rsid w:val="00E75984"/>
    <w:rsid w:val="00E75D3C"/>
    <w:rsid w:val="00E76CCC"/>
    <w:rsid w:val="00E804A1"/>
    <w:rsid w:val="00E80C21"/>
    <w:rsid w:val="00E80C48"/>
    <w:rsid w:val="00E810CB"/>
    <w:rsid w:val="00E816F7"/>
    <w:rsid w:val="00E81791"/>
    <w:rsid w:val="00E817D4"/>
    <w:rsid w:val="00E82A53"/>
    <w:rsid w:val="00E84AA9"/>
    <w:rsid w:val="00E84B61"/>
    <w:rsid w:val="00E84E02"/>
    <w:rsid w:val="00E84EF8"/>
    <w:rsid w:val="00E861A1"/>
    <w:rsid w:val="00E86634"/>
    <w:rsid w:val="00E869B7"/>
    <w:rsid w:val="00E86A56"/>
    <w:rsid w:val="00E87059"/>
    <w:rsid w:val="00E902EB"/>
    <w:rsid w:val="00E908CE"/>
    <w:rsid w:val="00E90B49"/>
    <w:rsid w:val="00E90C9D"/>
    <w:rsid w:val="00E91F71"/>
    <w:rsid w:val="00E921DD"/>
    <w:rsid w:val="00E921E8"/>
    <w:rsid w:val="00E927EE"/>
    <w:rsid w:val="00E92E8B"/>
    <w:rsid w:val="00E93688"/>
    <w:rsid w:val="00E9374B"/>
    <w:rsid w:val="00E947FC"/>
    <w:rsid w:val="00E948BB"/>
    <w:rsid w:val="00E94DF2"/>
    <w:rsid w:val="00E950E9"/>
    <w:rsid w:val="00E955B3"/>
    <w:rsid w:val="00E95996"/>
    <w:rsid w:val="00E9640D"/>
    <w:rsid w:val="00EA0642"/>
    <w:rsid w:val="00EA0DE8"/>
    <w:rsid w:val="00EA103C"/>
    <w:rsid w:val="00EA13E4"/>
    <w:rsid w:val="00EA2278"/>
    <w:rsid w:val="00EA2E59"/>
    <w:rsid w:val="00EA3FB0"/>
    <w:rsid w:val="00EA482E"/>
    <w:rsid w:val="00EA4B64"/>
    <w:rsid w:val="00EA5366"/>
    <w:rsid w:val="00EA54A7"/>
    <w:rsid w:val="00EA55FF"/>
    <w:rsid w:val="00EA68D9"/>
    <w:rsid w:val="00EA6E81"/>
    <w:rsid w:val="00EA78DC"/>
    <w:rsid w:val="00EA7D9E"/>
    <w:rsid w:val="00EA7DCD"/>
    <w:rsid w:val="00EB1439"/>
    <w:rsid w:val="00EB1B1F"/>
    <w:rsid w:val="00EB22E0"/>
    <w:rsid w:val="00EB2A13"/>
    <w:rsid w:val="00EB44D5"/>
    <w:rsid w:val="00EB4DD4"/>
    <w:rsid w:val="00EB4F4B"/>
    <w:rsid w:val="00EB61BF"/>
    <w:rsid w:val="00EB676A"/>
    <w:rsid w:val="00EB6DD9"/>
    <w:rsid w:val="00EB6E1F"/>
    <w:rsid w:val="00EB74FF"/>
    <w:rsid w:val="00EB7F81"/>
    <w:rsid w:val="00EC03F9"/>
    <w:rsid w:val="00EC0741"/>
    <w:rsid w:val="00EC0D37"/>
    <w:rsid w:val="00EC156C"/>
    <w:rsid w:val="00EC3123"/>
    <w:rsid w:val="00EC35FE"/>
    <w:rsid w:val="00EC3631"/>
    <w:rsid w:val="00EC4980"/>
    <w:rsid w:val="00EC4CB1"/>
    <w:rsid w:val="00EC5A10"/>
    <w:rsid w:val="00EC5FA2"/>
    <w:rsid w:val="00EC6F43"/>
    <w:rsid w:val="00EC7215"/>
    <w:rsid w:val="00EC7289"/>
    <w:rsid w:val="00ED0C5B"/>
    <w:rsid w:val="00ED0ECF"/>
    <w:rsid w:val="00ED2822"/>
    <w:rsid w:val="00ED3778"/>
    <w:rsid w:val="00ED391B"/>
    <w:rsid w:val="00ED41D6"/>
    <w:rsid w:val="00ED46D5"/>
    <w:rsid w:val="00ED689F"/>
    <w:rsid w:val="00ED6C1D"/>
    <w:rsid w:val="00ED79E7"/>
    <w:rsid w:val="00EE07DC"/>
    <w:rsid w:val="00EE106E"/>
    <w:rsid w:val="00EE17E9"/>
    <w:rsid w:val="00EE1C0A"/>
    <w:rsid w:val="00EE210E"/>
    <w:rsid w:val="00EE26DB"/>
    <w:rsid w:val="00EE2EFB"/>
    <w:rsid w:val="00EE3BC7"/>
    <w:rsid w:val="00EE401C"/>
    <w:rsid w:val="00EE40A3"/>
    <w:rsid w:val="00EE5EBC"/>
    <w:rsid w:val="00EE6012"/>
    <w:rsid w:val="00EE6129"/>
    <w:rsid w:val="00EE6927"/>
    <w:rsid w:val="00EE6C94"/>
    <w:rsid w:val="00EF06C7"/>
    <w:rsid w:val="00EF1F03"/>
    <w:rsid w:val="00EF23BC"/>
    <w:rsid w:val="00EF3B6D"/>
    <w:rsid w:val="00EF4250"/>
    <w:rsid w:val="00EF454A"/>
    <w:rsid w:val="00EF4C63"/>
    <w:rsid w:val="00EF4FB4"/>
    <w:rsid w:val="00EF5CC2"/>
    <w:rsid w:val="00EF61B0"/>
    <w:rsid w:val="00EF659C"/>
    <w:rsid w:val="00EF6E61"/>
    <w:rsid w:val="00EF7001"/>
    <w:rsid w:val="00EF743A"/>
    <w:rsid w:val="00F012AA"/>
    <w:rsid w:val="00F015F1"/>
    <w:rsid w:val="00F01B51"/>
    <w:rsid w:val="00F02886"/>
    <w:rsid w:val="00F02B69"/>
    <w:rsid w:val="00F02C28"/>
    <w:rsid w:val="00F02FAF"/>
    <w:rsid w:val="00F03981"/>
    <w:rsid w:val="00F03ACE"/>
    <w:rsid w:val="00F040EC"/>
    <w:rsid w:val="00F04769"/>
    <w:rsid w:val="00F054D5"/>
    <w:rsid w:val="00F06385"/>
    <w:rsid w:val="00F074BB"/>
    <w:rsid w:val="00F07CB1"/>
    <w:rsid w:val="00F10B70"/>
    <w:rsid w:val="00F11485"/>
    <w:rsid w:val="00F11AF6"/>
    <w:rsid w:val="00F1243F"/>
    <w:rsid w:val="00F13866"/>
    <w:rsid w:val="00F14592"/>
    <w:rsid w:val="00F14946"/>
    <w:rsid w:val="00F150C6"/>
    <w:rsid w:val="00F1562C"/>
    <w:rsid w:val="00F1580F"/>
    <w:rsid w:val="00F15BBA"/>
    <w:rsid w:val="00F17C97"/>
    <w:rsid w:val="00F20880"/>
    <w:rsid w:val="00F20F47"/>
    <w:rsid w:val="00F224FC"/>
    <w:rsid w:val="00F230D7"/>
    <w:rsid w:val="00F23C95"/>
    <w:rsid w:val="00F243D6"/>
    <w:rsid w:val="00F24E2C"/>
    <w:rsid w:val="00F25B4E"/>
    <w:rsid w:val="00F26B75"/>
    <w:rsid w:val="00F272AB"/>
    <w:rsid w:val="00F273C9"/>
    <w:rsid w:val="00F2747A"/>
    <w:rsid w:val="00F3051A"/>
    <w:rsid w:val="00F307A9"/>
    <w:rsid w:val="00F31567"/>
    <w:rsid w:val="00F315D1"/>
    <w:rsid w:val="00F3177C"/>
    <w:rsid w:val="00F31D63"/>
    <w:rsid w:val="00F323AE"/>
    <w:rsid w:val="00F330FD"/>
    <w:rsid w:val="00F33537"/>
    <w:rsid w:val="00F33591"/>
    <w:rsid w:val="00F3730E"/>
    <w:rsid w:val="00F4010E"/>
    <w:rsid w:val="00F40E95"/>
    <w:rsid w:val="00F40F03"/>
    <w:rsid w:val="00F40F5E"/>
    <w:rsid w:val="00F43BB3"/>
    <w:rsid w:val="00F4485B"/>
    <w:rsid w:val="00F453CC"/>
    <w:rsid w:val="00F45483"/>
    <w:rsid w:val="00F45F91"/>
    <w:rsid w:val="00F46400"/>
    <w:rsid w:val="00F47683"/>
    <w:rsid w:val="00F477CD"/>
    <w:rsid w:val="00F47FE3"/>
    <w:rsid w:val="00F502CD"/>
    <w:rsid w:val="00F5095D"/>
    <w:rsid w:val="00F510E1"/>
    <w:rsid w:val="00F52A73"/>
    <w:rsid w:val="00F53EFD"/>
    <w:rsid w:val="00F545E8"/>
    <w:rsid w:val="00F54D5F"/>
    <w:rsid w:val="00F552D1"/>
    <w:rsid w:val="00F55997"/>
    <w:rsid w:val="00F55B0B"/>
    <w:rsid w:val="00F56503"/>
    <w:rsid w:val="00F56F9B"/>
    <w:rsid w:val="00F61349"/>
    <w:rsid w:val="00F61CA9"/>
    <w:rsid w:val="00F61D17"/>
    <w:rsid w:val="00F627EA"/>
    <w:rsid w:val="00F632B5"/>
    <w:rsid w:val="00F6350C"/>
    <w:rsid w:val="00F648DA"/>
    <w:rsid w:val="00F64962"/>
    <w:rsid w:val="00F64A4C"/>
    <w:rsid w:val="00F6502E"/>
    <w:rsid w:val="00F652DA"/>
    <w:rsid w:val="00F65C3D"/>
    <w:rsid w:val="00F7005F"/>
    <w:rsid w:val="00F7077F"/>
    <w:rsid w:val="00F711B1"/>
    <w:rsid w:val="00F716AD"/>
    <w:rsid w:val="00F71DC6"/>
    <w:rsid w:val="00F736D6"/>
    <w:rsid w:val="00F736FD"/>
    <w:rsid w:val="00F73B05"/>
    <w:rsid w:val="00F740D4"/>
    <w:rsid w:val="00F74459"/>
    <w:rsid w:val="00F75504"/>
    <w:rsid w:val="00F759BD"/>
    <w:rsid w:val="00F7612E"/>
    <w:rsid w:val="00F77E0F"/>
    <w:rsid w:val="00F838D4"/>
    <w:rsid w:val="00F85241"/>
    <w:rsid w:val="00F85495"/>
    <w:rsid w:val="00F85F2A"/>
    <w:rsid w:val="00F8627F"/>
    <w:rsid w:val="00F867FF"/>
    <w:rsid w:val="00F86D98"/>
    <w:rsid w:val="00F86DE6"/>
    <w:rsid w:val="00F86F7D"/>
    <w:rsid w:val="00F87200"/>
    <w:rsid w:val="00F9140C"/>
    <w:rsid w:val="00F92079"/>
    <w:rsid w:val="00F92708"/>
    <w:rsid w:val="00F92FB6"/>
    <w:rsid w:val="00F93E44"/>
    <w:rsid w:val="00F945DC"/>
    <w:rsid w:val="00F94600"/>
    <w:rsid w:val="00F948C5"/>
    <w:rsid w:val="00F96D4D"/>
    <w:rsid w:val="00F96EB2"/>
    <w:rsid w:val="00FA02E4"/>
    <w:rsid w:val="00FA297E"/>
    <w:rsid w:val="00FA3F9C"/>
    <w:rsid w:val="00FA54E7"/>
    <w:rsid w:val="00FA5F8F"/>
    <w:rsid w:val="00FA6BC6"/>
    <w:rsid w:val="00FA7829"/>
    <w:rsid w:val="00FA7EAD"/>
    <w:rsid w:val="00FB0A18"/>
    <w:rsid w:val="00FB0A6E"/>
    <w:rsid w:val="00FB19EC"/>
    <w:rsid w:val="00FB1A17"/>
    <w:rsid w:val="00FB27B3"/>
    <w:rsid w:val="00FB3714"/>
    <w:rsid w:val="00FB3D97"/>
    <w:rsid w:val="00FB42F9"/>
    <w:rsid w:val="00FB4BB9"/>
    <w:rsid w:val="00FB5427"/>
    <w:rsid w:val="00FB56B1"/>
    <w:rsid w:val="00FB5C7A"/>
    <w:rsid w:val="00FB65B0"/>
    <w:rsid w:val="00FB676A"/>
    <w:rsid w:val="00FC04A9"/>
    <w:rsid w:val="00FC06EB"/>
    <w:rsid w:val="00FC08DD"/>
    <w:rsid w:val="00FC091F"/>
    <w:rsid w:val="00FC1419"/>
    <w:rsid w:val="00FC23C3"/>
    <w:rsid w:val="00FC2A3B"/>
    <w:rsid w:val="00FC2C8F"/>
    <w:rsid w:val="00FC2FDC"/>
    <w:rsid w:val="00FC3171"/>
    <w:rsid w:val="00FC345D"/>
    <w:rsid w:val="00FC360A"/>
    <w:rsid w:val="00FC467D"/>
    <w:rsid w:val="00FC5884"/>
    <w:rsid w:val="00FC5AB6"/>
    <w:rsid w:val="00FC65A0"/>
    <w:rsid w:val="00FD01BB"/>
    <w:rsid w:val="00FD0259"/>
    <w:rsid w:val="00FD0721"/>
    <w:rsid w:val="00FD1B26"/>
    <w:rsid w:val="00FD1DED"/>
    <w:rsid w:val="00FD25D2"/>
    <w:rsid w:val="00FD3910"/>
    <w:rsid w:val="00FD4659"/>
    <w:rsid w:val="00FD4A3D"/>
    <w:rsid w:val="00FD4C69"/>
    <w:rsid w:val="00FD4F84"/>
    <w:rsid w:val="00FD5B46"/>
    <w:rsid w:val="00FD73A3"/>
    <w:rsid w:val="00FD7DB4"/>
    <w:rsid w:val="00FE08AB"/>
    <w:rsid w:val="00FE1A94"/>
    <w:rsid w:val="00FE1E29"/>
    <w:rsid w:val="00FE1EB7"/>
    <w:rsid w:val="00FE20DF"/>
    <w:rsid w:val="00FE38D6"/>
    <w:rsid w:val="00FE3994"/>
    <w:rsid w:val="00FE3A4C"/>
    <w:rsid w:val="00FE3B91"/>
    <w:rsid w:val="00FE3F6F"/>
    <w:rsid w:val="00FE4105"/>
    <w:rsid w:val="00FE488A"/>
    <w:rsid w:val="00FE5539"/>
    <w:rsid w:val="00FE6390"/>
    <w:rsid w:val="00FE69D2"/>
    <w:rsid w:val="00FE702D"/>
    <w:rsid w:val="00FE73FE"/>
    <w:rsid w:val="00FE7D32"/>
    <w:rsid w:val="00FF0544"/>
    <w:rsid w:val="00FF0C0D"/>
    <w:rsid w:val="00FF165A"/>
    <w:rsid w:val="00FF1F0C"/>
    <w:rsid w:val="00FF2D54"/>
    <w:rsid w:val="00FF411A"/>
    <w:rsid w:val="00FF4441"/>
    <w:rsid w:val="00FF471C"/>
    <w:rsid w:val="00FF5DA1"/>
    <w:rsid w:val="00FF68E7"/>
    <w:rsid w:val="00FF6EC6"/>
    <w:rsid w:val="00FF7315"/>
    <w:rsid w:val="26DC3149"/>
    <w:rsid w:val="445657CC"/>
  </w:rsids>
  <m:mathPr>
    <m:mathFont m:val="Cambria Math"/>
    <m:brkBin m:val="before"/>
    <m:brkBinSub m:val="--"/>
    <m:smallFrac m:val="0"/>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2C3516"/>
  <w15:chartTrackingRefBased/>
  <w15:docId w15:val="{F99B3867-EB21-4277-9D42-F1D70D9B2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250"/>
    <w:rPr>
      <w:rFonts w:ascii="Times New Roman" w:hAnsi="Times New Roman"/>
      <w:sz w:val="20"/>
    </w:rPr>
  </w:style>
  <w:style w:type="paragraph" w:styleId="Heading1">
    <w:name w:val="heading 1"/>
    <w:basedOn w:val="Normal"/>
    <w:next w:val="Normal"/>
    <w:link w:val="Heading1Char"/>
    <w:autoRedefine/>
    <w:uiPriority w:val="9"/>
    <w:qFormat/>
    <w:rsid w:val="00363E8B"/>
    <w:pPr>
      <w:keepNext/>
      <w:keepLines/>
      <w:spacing w:before="240" w:after="240" w:line="240" w:lineRule="auto"/>
      <w:outlineLvl w:val="0"/>
    </w:pPr>
    <w:rPr>
      <w:rFonts w:eastAsiaTheme="majorEastAsia" w:cs="Times New Roman"/>
      <w:b/>
      <w:sz w:val="22"/>
      <w:szCs w:val="44"/>
    </w:rPr>
  </w:style>
  <w:style w:type="paragraph" w:styleId="Heading2">
    <w:name w:val="heading 2"/>
    <w:basedOn w:val="Normal"/>
    <w:next w:val="Normal"/>
    <w:link w:val="Heading2Char"/>
    <w:uiPriority w:val="9"/>
    <w:unhideWhenUsed/>
    <w:qFormat/>
    <w:rsid w:val="00FC06EB"/>
    <w:pPr>
      <w:keepNext/>
      <w:keepLines/>
      <w:spacing w:before="160" w:after="80"/>
      <w:outlineLvl w:val="1"/>
    </w:pPr>
    <w:rPr>
      <w:rFonts w:eastAsiaTheme="majorEastAsia" w:cstheme="majorBidi"/>
      <w:b/>
      <w:szCs w:val="32"/>
    </w:rPr>
  </w:style>
  <w:style w:type="paragraph" w:styleId="Heading3">
    <w:name w:val="heading 3"/>
    <w:basedOn w:val="Normal"/>
    <w:next w:val="Normal"/>
    <w:link w:val="Heading3Char"/>
    <w:uiPriority w:val="9"/>
    <w:semiHidden/>
    <w:unhideWhenUsed/>
    <w:qFormat/>
    <w:rsid w:val="00794B4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BodyText"/>
    <w:link w:val="Heading4Char"/>
    <w:uiPriority w:val="9"/>
    <w:semiHidden/>
    <w:unhideWhenUsed/>
    <w:qFormat/>
    <w:rsid w:val="005169B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BodyText"/>
    <w:link w:val="Heading5Char"/>
    <w:uiPriority w:val="9"/>
    <w:semiHidden/>
    <w:unhideWhenUsed/>
    <w:qFormat/>
    <w:rsid w:val="005169B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BodyText"/>
    <w:link w:val="Heading6Char"/>
    <w:uiPriority w:val="9"/>
    <w:semiHidden/>
    <w:unhideWhenUsed/>
    <w:qFormat/>
    <w:rsid w:val="005169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24B9"/>
    <w:pPr>
      <w:keepNext/>
      <w:keepLines/>
      <w:spacing w:before="40" w:after="0" w:line="259" w:lineRule="auto"/>
      <w:outlineLvl w:val="6"/>
    </w:pPr>
    <w:rPr>
      <w:rFonts w:eastAsiaTheme="majorEastAsia"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0724B9"/>
    <w:pPr>
      <w:keepNext/>
      <w:keepLines/>
      <w:spacing w:after="0" w:line="259" w:lineRule="auto"/>
      <w:outlineLvl w:val="7"/>
    </w:pPr>
    <w:rPr>
      <w:rFonts w:eastAsiaTheme="majorEastAsia"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0724B9"/>
    <w:pPr>
      <w:keepNext/>
      <w:keepLines/>
      <w:spacing w:after="0" w:line="259" w:lineRule="auto"/>
      <w:outlineLvl w:val="8"/>
    </w:pPr>
    <w:rPr>
      <w:rFonts w:eastAsiaTheme="majorEastAsia"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7E0F"/>
    <w:pPr>
      <w:ind w:left="720"/>
      <w:contextualSpacing/>
    </w:pPr>
  </w:style>
  <w:style w:type="character" w:styleId="CommentReference">
    <w:name w:val="annotation reference"/>
    <w:basedOn w:val="DefaultParagraphFont"/>
    <w:uiPriority w:val="99"/>
    <w:unhideWhenUsed/>
    <w:rsid w:val="00D43F1D"/>
    <w:rPr>
      <w:sz w:val="16"/>
      <w:szCs w:val="16"/>
    </w:rPr>
  </w:style>
  <w:style w:type="paragraph" w:styleId="CommentText">
    <w:name w:val="annotation text"/>
    <w:basedOn w:val="Normal"/>
    <w:link w:val="CommentTextChar"/>
    <w:uiPriority w:val="99"/>
    <w:unhideWhenUsed/>
    <w:rsid w:val="00D43F1D"/>
    <w:pPr>
      <w:spacing w:line="240" w:lineRule="auto"/>
    </w:pPr>
    <w:rPr>
      <w:szCs w:val="20"/>
    </w:rPr>
  </w:style>
  <w:style w:type="character" w:customStyle="1" w:styleId="CommentTextChar">
    <w:name w:val="Comment Text Char"/>
    <w:basedOn w:val="DefaultParagraphFont"/>
    <w:link w:val="CommentText"/>
    <w:uiPriority w:val="99"/>
    <w:rsid w:val="00D43F1D"/>
    <w:rPr>
      <w:sz w:val="20"/>
      <w:szCs w:val="20"/>
    </w:rPr>
  </w:style>
  <w:style w:type="paragraph" w:styleId="CommentSubject">
    <w:name w:val="annotation subject"/>
    <w:basedOn w:val="CommentText"/>
    <w:next w:val="CommentText"/>
    <w:link w:val="CommentSubjectChar"/>
    <w:uiPriority w:val="99"/>
    <w:semiHidden/>
    <w:unhideWhenUsed/>
    <w:rsid w:val="00D43F1D"/>
    <w:rPr>
      <w:b/>
      <w:bCs/>
    </w:rPr>
  </w:style>
  <w:style w:type="character" w:customStyle="1" w:styleId="CommentSubjectChar">
    <w:name w:val="Comment Subject Char"/>
    <w:basedOn w:val="CommentTextChar"/>
    <w:link w:val="CommentSubject"/>
    <w:uiPriority w:val="99"/>
    <w:semiHidden/>
    <w:rsid w:val="00D43F1D"/>
    <w:rPr>
      <w:b/>
      <w:bCs/>
      <w:sz w:val="20"/>
      <w:szCs w:val="20"/>
    </w:rPr>
  </w:style>
  <w:style w:type="paragraph" w:customStyle="1" w:styleId="EndNoteBibliographyTitle">
    <w:name w:val="EndNote Bibliography Title"/>
    <w:basedOn w:val="Normal"/>
    <w:link w:val="EndNoteBibliographyTitleChar"/>
    <w:rsid w:val="00763438"/>
    <w:pPr>
      <w:spacing w:after="0"/>
      <w:jc w:val="center"/>
    </w:pPr>
    <w:rPr>
      <w:rFonts w:ascii="Calibri" w:hAnsi="Calibri" w:cs="Calibri"/>
      <w:sz w:val="22"/>
    </w:rPr>
  </w:style>
  <w:style w:type="character" w:customStyle="1" w:styleId="EndNoteBibliographyTitleChar">
    <w:name w:val="EndNote Bibliography Title Char"/>
    <w:basedOn w:val="DefaultParagraphFont"/>
    <w:link w:val="EndNoteBibliographyTitle"/>
    <w:rsid w:val="00763438"/>
    <w:rPr>
      <w:rFonts w:ascii="Calibri" w:hAnsi="Calibri" w:cs="Calibri"/>
      <w:sz w:val="22"/>
    </w:rPr>
  </w:style>
  <w:style w:type="paragraph" w:customStyle="1" w:styleId="EndNoteBibliography">
    <w:name w:val="EndNote Bibliography"/>
    <w:basedOn w:val="Normal"/>
    <w:link w:val="EndNoteBibliographyChar"/>
    <w:rsid w:val="00763438"/>
    <w:pPr>
      <w:spacing w:line="240" w:lineRule="auto"/>
    </w:pPr>
    <w:rPr>
      <w:rFonts w:ascii="Calibri" w:hAnsi="Calibri" w:cs="Calibri"/>
      <w:sz w:val="22"/>
    </w:rPr>
  </w:style>
  <w:style w:type="character" w:customStyle="1" w:styleId="EndNoteBibliographyChar">
    <w:name w:val="EndNote Bibliography Char"/>
    <w:basedOn w:val="DefaultParagraphFont"/>
    <w:link w:val="EndNoteBibliography"/>
    <w:rsid w:val="00763438"/>
    <w:rPr>
      <w:rFonts w:ascii="Calibri" w:hAnsi="Calibri" w:cs="Calibri"/>
      <w:sz w:val="22"/>
    </w:rPr>
  </w:style>
  <w:style w:type="character" w:styleId="Hyperlink">
    <w:name w:val="Hyperlink"/>
    <w:basedOn w:val="DefaultParagraphFont"/>
    <w:uiPriority w:val="99"/>
    <w:unhideWhenUsed/>
    <w:rsid w:val="00763438"/>
    <w:rPr>
      <w:color w:val="0563C1" w:themeColor="hyperlink"/>
      <w:u w:val="single"/>
    </w:rPr>
  </w:style>
  <w:style w:type="character" w:styleId="UnresolvedMention">
    <w:name w:val="Unresolved Mention"/>
    <w:basedOn w:val="DefaultParagraphFont"/>
    <w:uiPriority w:val="99"/>
    <w:semiHidden/>
    <w:unhideWhenUsed/>
    <w:rsid w:val="00763438"/>
    <w:rPr>
      <w:color w:val="605E5C"/>
      <w:shd w:val="clear" w:color="auto" w:fill="E1DFDD"/>
    </w:rPr>
  </w:style>
  <w:style w:type="character" w:styleId="FollowedHyperlink">
    <w:name w:val="FollowedHyperlink"/>
    <w:basedOn w:val="DefaultParagraphFont"/>
    <w:uiPriority w:val="99"/>
    <w:semiHidden/>
    <w:unhideWhenUsed/>
    <w:rsid w:val="00763438"/>
    <w:rPr>
      <w:color w:val="954F72" w:themeColor="followedHyperlink"/>
      <w:u w:val="single"/>
    </w:rPr>
  </w:style>
  <w:style w:type="character" w:styleId="PlaceholderText">
    <w:name w:val="Placeholder Text"/>
    <w:basedOn w:val="DefaultParagraphFont"/>
    <w:uiPriority w:val="99"/>
    <w:semiHidden/>
    <w:rsid w:val="00EB1B1F"/>
    <w:rPr>
      <w:color w:val="808080"/>
    </w:rPr>
  </w:style>
  <w:style w:type="table" w:styleId="TableGrid">
    <w:name w:val="Table Grid"/>
    <w:basedOn w:val="TableNormal"/>
    <w:uiPriority w:val="39"/>
    <w:rsid w:val="002B4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574BF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627044"/>
    <w:pPr>
      <w:spacing w:after="0" w:line="240" w:lineRule="auto"/>
    </w:pPr>
  </w:style>
  <w:style w:type="paragraph" w:styleId="Footer">
    <w:name w:val="footer"/>
    <w:basedOn w:val="Normal"/>
    <w:link w:val="FooterChar"/>
    <w:uiPriority w:val="99"/>
    <w:unhideWhenUsed/>
    <w:rsid w:val="00B206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610"/>
  </w:style>
  <w:style w:type="character" w:styleId="PageNumber">
    <w:name w:val="page number"/>
    <w:basedOn w:val="DefaultParagraphFont"/>
    <w:uiPriority w:val="99"/>
    <w:semiHidden/>
    <w:unhideWhenUsed/>
    <w:rsid w:val="00B20610"/>
  </w:style>
  <w:style w:type="character" w:customStyle="1" w:styleId="Heading1Char">
    <w:name w:val="Heading 1 Char"/>
    <w:basedOn w:val="DefaultParagraphFont"/>
    <w:link w:val="Heading1"/>
    <w:uiPriority w:val="9"/>
    <w:rsid w:val="00363E8B"/>
    <w:rPr>
      <w:rFonts w:ascii="Times New Roman" w:eastAsiaTheme="majorEastAsia" w:hAnsi="Times New Roman" w:cs="Times New Roman"/>
      <w:b/>
      <w:sz w:val="22"/>
      <w:szCs w:val="44"/>
    </w:rPr>
  </w:style>
  <w:style w:type="character" w:customStyle="1" w:styleId="Heading2Char">
    <w:name w:val="Heading 2 Char"/>
    <w:basedOn w:val="DefaultParagraphFont"/>
    <w:link w:val="Heading2"/>
    <w:uiPriority w:val="9"/>
    <w:rsid w:val="00FC06EB"/>
    <w:rPr>
      <w:rFonts w:ascii="Times New Roman" w:eastAsiaTheme="majorEastAsia" w:hAnsi="Times New Roman" w:cstheme="majorBidi"/>
      <w:b/>
      <w:sz w:val="20"/>
      <w:szCs w:val="32"/>
    </w:rPr>
  </w:style>
  <w:style w:type="character" w:customStyle="1" w:styleId="Heading3Char">
    <w:name w:val="Heading 3 Char"/>
    <w:basedOn w:val="DefaultParagraphFont"/>
    <w:link w:val="Heading3"/>
    <w:uiPriority w:val="9"/>
    <w:semiHidden/>
    <w:rsid w:val="00794B4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169B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169B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169B7"/>
    <w:rPr>
      <w:rFonts w:eastAsiaTheme="majorEastAsia" w:cstheme="majorBidi"/>
      <w:i/>
      <w:iCs/>
      <w:color w:val="595959" w:themeColor="text1" w:themeTint="A6"/>
    </w:rPr>
  </w:style>
  <w:style w:type="paragraph" w:styleId="BodyText">
    <w:name w:val="Body Text"/>
    <w:basedOn w:val="Normal"/>
    <w:link w:val="BodyTextChar"/>
    <w:uiPriority w:val="1"/>
    <w:rsid w:val="00FC06EB"/>
    <w:pPr>
      <w:spacing w:after="120" w:line="288" w:lineRule="auto"/>
    </w:pPr>
    <w:rPr>
      <w:rFonts w:cs="Times New Roman"/>
      <w:lang w:eastAsia="zh-CN"/>
    </w:rPr>
  </w:style>
  <w:style w:type="character" w:customStyle="1" w:styleId="BodyTextChar">
    <w:name w:val="Body Text Char"/>
    <w:basedOn w:val="DefaultParagraphFont"/>
    <w:link w:val="BodyText"/>
    <w:uiPriority w:val="1"/>
    <w:rsid w:val="00FC06EB"/>
    <w:rPr>
      <w:rFonts w:ascii="Times New Roman" w:hAnsi="Times New Roman" w:cs="Times New Roman"/>
      <w:sz w:val="20"/>
      <w:lang w:eastAsia="zh-CN"/>
    </w:rPr>
  </w:style>
  <w:style w:type="paragraph" w:customStyle="1" w:styleId="figure-inline">
    <w:name w:val="figure-inline"/>
    <w:basedOn w:val="Normal"/>
    <w:rsid w:val="005169B7"/>
    <w:pPr>
      <w:spacing w:before="20" w:after="20" w:line="240" w:lineRule="auto"/>
      <w:jc w:val="center"/>
    </w:pPr>
    <w:rPr>
      <w:rFonts w:ascii="Arial" w:hAnsi="Arial" w:cs="Times New Roman"/>
      <w:noProof/>
      <w:lang w:val="fr-FR" w:eastAsia="zh-CN"/>
    </w:rPr>
  </w:style>
  <w:style w:type="paragraph" w:customStyle="1" w:styleId="figure-title">
    <w:name w:val="figure-title"/>
    <w:basedOn w:val="Normal"/>
    <w:next w:val="figure-inline"/>
    <w:rsid w:val="008608B1"/>
    <w:pPr>
      <w:keepNext/>
      <w:keepLines/>
      <w:spacing w:before="320" w:after="120" w:line="240" w:lineRule="auto"/>
      <w:ind w:left="1440" w:hanging="1440"/>
    </w:pPr>
    <w:rPr>
      <w:rFonts w:cs="Times New Roman"/>
      <w:bCs/>
      <w:lang w:eastAsia="zh-CN"/>
    </w:rPr>
  </w:style>
  <w:style w:type="paragraph" w:customStyle="1" w:styleId="figure-source-note">
    <w:name w:val="figure-source-note"/>
    <w:basedOn w:val="Normal"/>
    <w:rsid w:val="005169B7"/>
    <w:pPr>
      <w:keepLines/>
      <w:spacing w:before="60" w:after="360" w:line="240" w:lineRule="auto"/>
      <w:ind w:left="187" w:hanging="187"/>
      <w:contextualSpacing/>
    </w:pPr>
    <w:rPr>
      <w:rFonts w:ascii="Arial" w:hAnsi="Arial" w:cs="Times New Roman"/>
      <w:sz w:val="18"/>
      <w:lang w:eastAsia="zh-CN"/>
    </w:rPr>
  </w:style>
  <w:style w:type="paragraph" w:styleId="ListNumber">
    <w:name w:val="List Number"/>
    <w:basedOn w:val="Normal"/>
    <w:uiPriority w:val="99"/>
    <w:unhideWhenUsed/>
    <w:rsid w:val="005169B7"/>
    <w:pPr>
      <w:spacing w:after="120" w:line="288" w:lineRule="auto"/>
      <w:ind w:left="720" w:hanging="360"/>
    </w:pPr>
    <w:rPr>
      <w:rFonts w:ascii="Arial" w:hAnsi="Arial" w:cs="Times New Roman"/>
      <w:lang w:eastAsia="zh-CN"/>
    </w:rPr>
  </w:style>
  <w:style w:type="paragraph" w:styleId="ListNumber2">
    <w:name w:val="List Number 2"/>
    <w:basedOn w:val="ListNumber"/>
    <w:uiPriority w:val="99"/>
    <w:unhideWhenUsed/>
    <w:rsid w:val="005169B7"/>
    <w:pPr>
      <w:ind w:left="1080"/>
    </w:pPr>
  </w:style>
  <w:style w:type="paragraph" w:styleId="ListNumber3">
    <w:name w:val="List Number 3"/>
    <w:basedOn w:val="Normal"/>
    <w:uiPriority w:val="99"/>
    <w:unhideWhenUsed/>
    <w:rsid w:val="005169B7"/>
    <w:pPr>
      <w:spacing w:after="120" w:line="240" w:lineRule="auto"/>
      <w:ind w:left="1440" w:hanging="360"/>
      <w:jc w:val="both"/>
    </w:pPr>
    <w:rPr>
      <w:rFonts w:cs="Arial"/>
    </w:rPr>
  </w:style>
  <w:style w:type="paragraph" w:styleId="Title">
    <w:name w:val="Title"/>
    <w:basedOn w:val="Normal"/>
    <w:next w:val="Normal"/>
    <w:link w:val="TitleChar"/>
    <w:uiPriority w:val="10"/>
    <w:qFormat/>
    <w:rsid w:val="005169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69B7"/>
    <w:rPr>
      <w:rFonts w:asciiTheme="majorHAnsi" w:eastAsiaTheme="majorEastAsia" w:hAnsiTheme="majorHAnsi" w:cstheme="majorBidi"/>
      <w:spacing w:val="-10"/>
      <w:kern w:val="28"/>
      <w:sz w:val="56"/>
      <w:szCs w:val="56"/>
    </w:rPr>
  </w:style>
  <w:style w:type="table" w:styleId="GridTable4">
    <w:name w:val="Grid Table 4"/>
    <w:basedOn w:val="TableNormal"/>
    <w:uiPriority w:val="49"/>
    <w:rsid w:val="006879B6"/>
    <w:pPr>
      <w:spacing w:after="0" w:line="240" w:lineRule="auto"/>
    </w:pPr>
    <w:rPr>
      <w:rFonts w:eastAsiaTheme="min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headers">
    <w:name w:val="table-headers"/>
    <w:basedOn w:val="Normal"/>
    <w:rsid w:val="008E2A78"/>
    <w:pPr>
      <w:spacing w:before="240" w:after="120" w:line="240" w:lineRule="auto"/>
    </w:pPr>
    <w:rPr>
      <w:rFonts w:ascii="Arial" w:hAnsi="Arial" w:cs="Times New Roman"/>
      <w:bCs/>
      <w:color w:val="C45911" w:themeColor="accent2" w:themeShade="BF"/>
      <w:sz w:val="18"/>
      <w:szCs w:val="18"/>
      <w:lang w:eastAsia="zh-CN"/>
    </w:rPr>
  </w:style>
  <w:style w:type="paragraph" w:customStyle="1" w:styleId="table-text">
    <w:name w:val="table-text"/>
    <w:basedOn w:val="Normal"/>
    <w:link w:val="table-textChar"/>
    <w:uiPriority w:val="99"/>
    <w:rsid w:val="008E2A78"/>
    <w:pPr>
      <w:spacing w:before="60" w:after="60" w:line="240" w:lineRule="auto"/>
    </w:pPr>
    <w:rPr>
      <w:rFonts w:ascii="Arial" w:hAnsi="Arial" w:cs="Times New Roman"/>
      <w:sz w:val="18"/>
      <w:lang w:eastAsia="zh-CN"/>
    </w:rPr>
  </w:style>
  <w:style w:type="character" w:customStyle="1" w:styleId="table-textChar">
    <w:name w:val="table-text Char"/>
    <w:basedOn w:val="DefaultParagraphFont"/>
    <w:link w:val="table-text"/>
    <w:uiPriority w:val="99"/>
    <w:rsid w:val="008E2A78"/>
    <w:rPr>
      <w:rFonts w:ascii="Arial" w:hAnsi="Arial" w:cs="Times New Roman"/>
      <w:sz w:val="18"/>
      <w:lang w:eastAsia="zh-CN"/>
    </w:rPr>
  </w:style>
  <w:style w:type="paragraph" w:customStyle="1" w:styleId="table-first-column">
    <w:name w:val="table-first-column"/>
    <w:basedOn w:val="table-text"/>
    <w:rsid w:val="0074120C"/>
    <w:rPr>
      <w:b/>
      <w:bCs/>
      <w:color w:val="44546A" w:themeColor="text2"/>
    </w:rPr>
  </w:style>
  <w:style w:type="paragraph" w:styleId="Header">
    <w:name w:val="header"/>
    <w:basedOn w:val="Normal"/>
    <w:link w:val="HeaderChar"/>
    <w:uiPriority w:val="99"/>
    <w:unhideWhenUsed/>
    <w:rsid w:val="0074120C"/>
    <w:pPr>
      <w:spacing w:after="0" w:line="240" w:lineRule="auto"/>
      <w:jc w:val="right"/>
    </w:pPr>
    <w:rPr>
      <w:rFonts w:ascii="Arial Narrow" w:hAnsi="Arial Narrow" w:cs="Arial"/>
      <w:iCs/>
      <w:noProof/>
      <w:color w:val="171717" w:themeColor="background2" w:themeShade="1A"/>
      <w:lang w:eastAsia="zh-CN"/>
    </w:rPr>
  </w:style>
  <w:style w:type="character" w:customStyle="1" w:styleId="HeaderChar">
    <w:name w:val="Header Char"/>
    <w:basedOn w:val="DefaultParagraphFont"/>
    <w:link w:val="Header"/>
    <w:uiPriority w:val="99"/>
    <w:rsid w:val="0074120C"/>
    <w:rPr>
      <w:rFonts w:ascii="Arial Narrow" w:hAnsi="Arial Narrow" w:cs="Arial"/>
      <w:iCs/>
      <w:noProof/>
      <w:color w:val="171717" w:themeColor="background2" w:themeShade="1A"/>
      <w:lang w:eastAsia="zh-CN"/>
    </w:rPr>
  </w:style>
  <w:style w:type="paragraph" w:customStyle="1" w:styleId="table-title">
    <w:name w:val="table-title"/>
    <w:basedOn w:val="Normal"/>
    <w:rsid w:val="007163E8"/>
    <w:pPr>
      <w:keepNext/>
      <w:keepLines/>
      <w:spacing w:before="320" w:after="120" w:line="240" w:lineRule="auto"/>
      <w:ind w:left="1440" w:hanging="1440"/>
    </w:pPr>
    <w:rPr>
      <w:rFonts w:ascii="Arial" w:hAnsi="Arial" w:cs="Times New Roman"/>
      <w:bCs/>
      <w:lang w:eastAsia="zh-CN"/>
    </w:rPr>
  </w:style>
  <w:style w:type="paragraph" w:customStyle="1" w:styleId="table-source-note">
    <w:name w:val="table-source-note"/>
    <w:basedOn w:val="Normal"/>
    <w:rsid w:val="007163E8"/>
    <w:pPr>
      <w:keepLines/>
      <w:spacing w:before="60" w:after="360" w:line="240" w:lineRule="auto"/>
      <w:ind w:left="187" w:hanging="187"/>
      <w:contextualSpacing/>
    </w:pPr>
    <w:rPr>
      <w:rFonts w:ascii="Arial" w:hAnsi="Arial" w:cs="Times New Roman"/>
      <w:sz w:val="18"/>
      <w:lang w:eastAsia="zh-CN"/>
    </w:rPr>
  </w:style>
  <w:style w:type="character" w:styleId="SubtleEmphasis">
    <w:name w:val="Subtle Emphasis"/>
    <w:basedOn w:val="DefaultParagraphFont"/>
    <w:uiPriority w:val="19"/>
    <w:qFormat/>
    <w:rsid w:val="00CC070B"/>
    <w:rPr>
      <w:i/>
      <w:iCs/>
      <w:color w:val="404040" w:themeColor="text1" w:themeTint="BF"/>
    </w:rPr>
  </w:style>
  <w:style w:type="character" w:customStyle="1" w:styleId="Heading7Char">
    <w:name w:val="Heading 7 Char"/>
    <w:basedOn w:val="DefaultParagraphFont"/>
    <w:link w:val="Heading7"/>
    <w:uiPriority w:val="9"/>
    <w:semiHidden/>
    <w:rsid w:val="000724B9"/>
    <w:rPr>
      <w:rFonts w:eastAsiaTheme="majorEastAsia" w:cstheme="majorBidi"/>
      <w:color w:val="595959" w:themeColor="text1" w:themeTint="A6"/>
      <w:sz w:val="22"/>
      <w:szCs w:val="22"/>
    </w:rPr>
  </w:style>
  <w:style w:type="character" w:customStyle="1" w:styleId="Heading8Char">
    <w:name w:val="Heading 8 Char"/>
    <w:basedOn w:val="DefaultParagraphFont"/>
    <w:link w:val="Heading8"/>
    <w:uiPriority w:val="9"/>
    <w:semiHidden/>
    <w:rsid w:val="000724B9"/>
    <w:rPr>
      <w:rFonts w:eastAsiaTheme="majorEastAsia" w:cstheme="majorBidi"/>
      <w:i/>
      <w:iCs/>
      <w:color w:val="272727" w:themeColor="text1" w:themeTint="D8"/>
      <w:sz w:val="22"/>
      <w:szCs w:val="22"/>
    </w:rPr>
  </w:style>
  <w:style w:type="character" w:customStyle="1" w:styleId="Heading9Char">
    <w:name w:val="Heading 9 Char"/>
    <w:basedOn w:val="DefaultParagraphFont"/>
    <w:link w:val="Heading9"/>
    <w:uiPriority w:val="9"/>
    <w:semiHidden/>
    <w:rsid w:val="000724B9"/>
    <w:rPr>
      <w:rFonts w:eastAsiaTheme="majorEastAsia" w:cstheme="majorBidi"/>
      <w:color w:val="272727" w:themeColor="text1" w:themeTint="D8"/>
      <w:sz w:val="22"/>
      <w:szCs w:val="22"/>
    </w:rPr>
  </w:style>
  <w:style w:type="paragraph" w:styleId="Subtitle">
    <w:name w:val="Subtitle"/>
    <w:basedOn w:val="Normal"/>
    <w:next w:val="Normal"/>
    <w:link w:val="SubtitleChar"/>
    <w:uiPriority w:val="11"/>
    <w:qFormat/>
    <w:rsid w:val="000724B9"/>
    <w:pPr>
      <w:numPr>
        <w:ilvl w:val="1"/>
      </w:numPr>
      <w:spacing w:line="259"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24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24B9"/>
    <w:pPr>
      <w:spacing w:before="160" w:line="259" w:lineRule="auto"/>
      <w:jc w:val="center"/>
    </w:pPr>
    <w:rPr>
      <w:rFonts w:eastAsiaTheme="minorHAnsi"/>
      <w:i/>
      <w:iCs/>
      <w:color w:val="404040" w:themeColor="text1" w:themeTint="BF"/>
      <w:sz w:val="22"/>
      <w:szCs w:val="22"/>
    </w:rPr>
  </w:style>
  <w:style w:type="character" w:customStyle="1" w:styleId="QuoteChar">
    <w:name w:val="Quote Char"/>
    <w:basedOn w:val="DefaultParagraphFont"/>
    <w:link w:val="Quote"/>
    <w:uiPriority w:val="29"/>
    <w:rsid w:val="000724B9"/>
    <w:rPr>
      <w:rFonts w:eastAsiaTheme="minorHAnsi"/>
      <w:i/>
      <w:iCs/>
      <w:color w:val="404040" w:themeColor="text1" w:themeTint="BF"/>
      <w:sz w:val="22"/>
      <w:szCs w:val="22"/>
    </w:rPr>
  </w:style>
  <w:style w:type="character" w:styleId="IntenseEmphasis">
    <w:name w:val="Intense Emphasis"/>
    <w:basedOn w:val="DefaultParagraphFont"/>
    <w:uiPriority w:val="21"/>
    <w:qFormat/>
    <w:rsid w:val="000724B9"/>
    <w:rPr>
      <w:i/>
      <w:iCs/>
      <w:color w:val="2F5496" w:themeColor="accent1" w:themeShade="BF"/>
    </w:rPr>
  </w:style>
  <w:style w:type="paragraph" w:styleId="IntenseQuote">
    <w:name w:val="Intense Quote"/>
    <w:basedOn w:val="Normal"/>
    <w:next w:val="Normal"/>
    <w:link w:val="IntenseQuoteChar"/>
    <w:uiPriority w:val="30"/>
    <w:qFormat/>
    <w:rsid w:val="000724B9"/>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eastAsiaTheme="minorHAnsi"/>
      <w:i/>
      <w:iCs/>
      <w:color w:val="2F5496" w:themeColor="accent1" w:themeShade="BF"/>
      <w:sz w:val="22"/>
      <w:szCs w:val="22"/>
    </w:rPr>
  </w:style>
  <w:style w:type="character" w:customStyle="1" w:styleId="IntenseQuoteChar">
    <w:name w:val="Intense Quote Char"/>
    <w:basedOn w:val="DefaultParagraphFont"/>
    <w:link w:val="IntenseQuote"/>
    <w:uiPriority w:val="30"/>
    <w:rsid w:val="000724B9"/>
    <w:rPr>
      <w:rFonts w:eastAsiaTheme="minorHAnsi"/>
      <w:i/>
      <w:iCs/>
      <w:color w:val="2F5496" w:themeColor="accent1" w:themeShade="BF"/>
      <w:sz w:val="22"/>
      <w:szCs w:val="22"/>
    </w:rPr>
  </w:style>
  <w:style w:type="character" w:styleId="IntenseReference">
    <w:name w:val="Intense Reference"/>
    <w:basedOn w:val="DefaultParagraphFont"/>
    <w:uiPriority w:val="32"/>
    <w:qFormat/>
    <w:rsid w:val="000724B9"/>
    <w:rPr>
      <w:b/>
      <w:bCs/>
      <w:smallCaps/>
      <w:color w:val="2F5496" w:themeColor="accent1" w:themeShade="BF"/>
      <w:spacing w:val="5"/>
    </w:rPr>
  </w:style>
  <w:style w:type="paragraph" w:customStyle="1" w:styleId="Default">
    <w:name w:val="Default"/>
    <w:rsid w:val="003B63DD"/>
    <w:pPr>
      <w:autoSpaceDE w:val="0"/>
      <w:autoSpaceDN w:val="0"/>
      <w:adjustRightInd w:val="0"/>
      <w:spacing w:after="0" w:line="240" w:lineRule="auto"/>
    </w:pPr>
    <w:rPr>
      <w:rFonts w:ascii="Arial" w:hAnsi="Arial" w:cs="Arial"/>
      <w:color w:val="000000"/>
      <w:kern w:val="0"/>
    </w:rPr>
  </w:style>
  <w:style w:type="paragraph" w:styleId="TOCHeading">
    <w:name w:val="TOC Heading"/>
    <w:basedOn w:val="Heading1"/>
    <w:next w:val="Normal"/>
    <w:uiPriority w:val="39"/>
    <w:unhideWhenUsed/>
    <w:qFormat/>
    <w:rsid w:val="00970FF6"/>
    <w:pPr>
      <w:spacing w:after="0" w:line="259" w:lineRule="auto"/>
      <w:outlineLvl w:val="9"/>
    </w:pPr>
    <w:rPr>
      <w:rFonts w:asciiTheme="majorHAnsi" w:hAnsiTheme="majorHAnsi"/>
      <w:b w:val="0"/>
      <w:kern w:val="0"/>
      <w:sz w:val="32"/>
      <w:szCs w:val="32"/>
      <w14:ligatures w14:val="none"/>
    </w:rPr>
  </w:style>
  <w:style w:type="paragraph" w:styleId="TOC1">
    <w:name w:val="toc 1"/>
    <w:basedOn w:val="Normal"/>
    <w:next w:val="Normal"/>
    <w:autoRedefine/>
    <w:uiPriority w:val="39"/>
    <w:unhideWhenUsed/>
    <w:rsid w:val="00716570"/>
    <w:pPr>
      <w:tabs>
        <w:tab w:val="right" w:leader="dot" w:pos="9350"/>
      </w:tabs>
      <w:spacing w:after="100"/>
    </w:pPr>
  </w:style>
  <w:style w:type="paragraph" w:styleId="TOC2">
    <w:name w:val="toc 2"/>
    <w:basedOn w:val="Normal"/>
    <w:next w:val="Normal"/>
    <w:autoRedefine/>
    <w:uiPriority w:val="39"/>
    <w:unhideWhenUsed/>
    <w:rsid w:val="00970FF6"/>
    <w:pPr>
      <w:spacing w:after="100"/>
      <w:ind w:left="240"/>
    </w:pPr>
  </w:style>
  <w:style w:type="paragraph" w:styleId="TableofFigures">
    <w:name w:val="table of figures"/>
    <w:basedOn w:val="Normal"/>
    <w:next w:val="Normal"/>
    <w:uiPriority w:val="99"/>
    <w:unhideWhenUsed/>
    <w:rsid w:val="00B42CCD"/>
    <w:pPr>
      <w:spacing w:after="0"/>
      <w:ind w:left="480" w:hanging="480"/>
    </w:pPr>
    <w:rPr>
      <w:rFonts w:cstheme="minorHAnsi"/>
      <w:caps/>
      <w:szCs w:val="20"/>
    </w:rPr>
  </w:style>
  <w:style w:type="paragraph" w:styleId="Caption">
    <w:name w:val="caption"/>
    <w:basedOn w:val="Normal"/>
    <w:next w:val="Normal"/>
    <w:uiPriority w:val="35"/>
    <w:unhideWhenUsed/>
    <w:qFormat/>
    <w:rsid w:val="00A3108F"/>
    <w:pPr>
      <w:spacing w:after="200" w:line="240" w:lineRule="auto"/>
    </w:pPr>
    <w:rPr>
      <w:i/>
      <w:iCs/>
      <w:sz w:val="22"/>
      <w:szCs w:val="18"/>
    </w:rPr>
  </w:style>
  <w:style w:type="paragraph" w:styleId="FootnoteText">
    <w:name w:val="footnote text"/>
    <w:basedOn w:val="Normal"/>
    <w:link w:val="FootnoteTextChar"/>
    <w:uiPriority w:val="99"/>
    <w:semiHidden/>
    <w:unhideWhenUsed/>
    <w:rsid w:val="00787C26"/>
    <w:pPr>
      <w:spacing w:after="0" w:line="240" w:lineRule="auto"/>
    </w:pPr>
    <w:rPr>
      <w:rFonts w:asciiTheme="minorHAnsi" w:eastAsiaTheme="minorHAnsi" w:hAnsiTheme="minorHAnsi"/>
      <w:szCs w:val="20"/>
    </w:rPr>
  </w:style>
  <w:style w:type="character" w:customStyle="1" w:styleId="FootnoteTextChar">
    <w:name w:val="Footnote Text Char"/>
    <w:basedOn w:val="DefaultParagraphFont"/>
    <w:link w:val="FootnoteText"/>
    <w:uiPriority w:val="99"/>
    <w:semiHidden/>
    <w:rsid w:val="00787C26"/>
    <w:rPr>
      <w:rFonts w:eastAsiaTheme="minorHAnsi"/>
      <w:sz w:val="20"/>
      <w:szCs w:val="20"/>
    </w:rPr>
  </w:style>
  <w:style w:type="character" w:styleId="FootnoteReference">
    <w:name w:val="footnote reference"/>
    <w:basedOn w:val="DefaultParagraphFont"/>
    <w:uiPriority w:val="99"/>
    <w:semiHidden/>
    <w:unhideWhenUsed/>
    <w:rsid w:val="00787C26"/>
    <w:rPr>
      <w:vertAlign w:val="superscript"/>
    </w:rPr>
  </w:style>
  <w:style w:type="paragraph" w:styleId="NoSpacing">
    <w:name w:val="No Spacing"/>
    <w:uiPriority w:val="1"/>
    <w:qFormat/>
    <w:rsid w:val="003D4931"/>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964">
      <w:bodyDiv w:val="1"/>
      <w:marLeft w:val="0"/>
      <w:marRight w:val="0"/>
      <w:marTop w:val="0"/>
      <w:marBottom w:val="0"/>
      <w:divBdr>
        <w:top w:val="none" w:sz="0" w:space="0" w:color="auto"/>
        <w:left w:val="none" w:sz="0" w:space="0" w:color="auto"/>
        <w:bottom w:val="none" w:sz="0" w:space="0" w:color="auto"/>
        <w:right w:val="none" w:sz="0" w:space="0" w:color="auto"/>
      </w:divBdr>
    </w:div>
    <w:div w:id="8878356">
      <w:bodyDiv w:val="1"/>
      <w:marLeft w:val="0"/>
      <w:marRight w:val="0"/>
      <w:marTop w:val="0"/>
      <w:marBottom w:val="0"/>
      <w:divBdr>
        <w:top w:val="none" w:sz="0" w:space="0" w:color="auto"/>
        <w:left w:val="none" w:sz="0" w:space="0" w:color="auto"/>
        <w:bottom w:val="none" w:sz="0" w:space="0" w:color="auto"/>
        <w:right w:val="none" w:sz="0" w:space="0" w:color="auto"/>
      </w:divBdr>
    </w:div>
    <w:div w:id="121000755">
      <w:bodyDiv w:val="1"/>
      <w:marLeft w:val="0"/>
      <w:marRight w:val="0"/>
      <w:marTop w:val="0"/>
      <w:marBottom w:val="0"/>
      <w:divBdr>
        <w:top w:val="none" w:sz="0" w:space="0" w:color="auto"/>
        <w:left w:val="none" w:sz="0" w:space="0" w:color="auto"/>
        <w:bottom w:val="none" w:sz="0" w:space="0" w:color="auto"/>
        <w:right w:val="none" w:sz="0" w:space="0" w:color="auto"/>
      </w:divBdr>
    </w:div>
    <w:div w:id="491681719">
      <w:bodyDiv w:val="1"/>
      <w:marLeft w:val="0"/>
      <w:marRight w:val="0"/>
      <w:marTop w:val="0"/>
      <w:marBottom w:val="0"/>
      <w:divBdr>
        <w:top w:val="none" w:sz="0" w:space="0" w:color="auto"/>
        <w:left w:val="none" w:sz="0" w:space="0" w:color="auto"/>
        <w:bottom w:val="none" w:sz="0" w:space="0" w:color="auto"/>
        <w:right w:val="none" w:sz="0" w:space="0" w:color="auto"/>
      </w:divBdr>
    </w:div>
    <w:div w:id="558975510">
      <w:bodyDiv w:val="1"/>
      <w:marLeft w:val="0"/>
      <w:marRight w:val="0"/>
      <w:marTop w:val="0"/>
      <w:marBottom w:val="0"/>
      <w:divBdr>
        <w:top w:val="none" w:sz="0" w:space="0" w:color="auto"/>
        <w:left w:val="none" w:sz="0" w:space="0" w:color="auto"/>
        <w:bottom w:val="none" w:sz="0" w:space="0" w:color="auto"/>
        <w:right w:val="none" w:sz="0" w:space="0" w:color="auto"/>
      </w:divBdr>
    </w:div>
    <w:div w:id="652954379">
      <w:bodyDiv w:val="1"/>
      <w:marLeft w:val="0"/>
      <w:marRight w:val="0"/>
      <w:marTop w:val="0"/>
      <w:marBottom w:val="0"/>
      <w:divBdr>
        <w:top w:val="none" w:sz="0" w:space="0" w:color="auto"/>
        <w:left w:val="none" w:sz="0" w:space="0" w:color="auto"/>
        <w:bottom w:val="none" w:sz="0" w:space="0" w:color="auto"/>
        <w:right w:val="none" w:sz="0" w:space="0" w:color="auto"/>
      </w:divBdr>
    </w:div>
    <w:div w:id="816187565">
      <w:bodyDiv w:val="1"/>
      <w:marLeft w:val="0"/>
      <w:marRight w:val="0"/>
      <w:marTop w:val="0"/>
      <w:marBottom w:val="0"/>
      <w:divBdr>
        <w:top w:val="none" w:sz="0" w:space="0" w:color="auto"/>
        <w:left w:val="none" w:sz="0" w:space="0" w:color="auto"/>
        <w:bottom w:val="none" w:sz="0" w:space="0" w:color="auto"/>
        <w:right w:val="none" w:sz="0" w:space="0" w:color="auto"/>
      </w:divBdr>
    </w:div>
    <w:div w:id="918641166">
      <w:bodyDiv w:val="1"/>
      <w:marLeft w:val="0"/>
      <w:marRight w:val="0"/>
      <w:marTop w:val="0"/>
      <w:marBottom w:val="0"/>
      <w:divBdr>
        <w:top w:val="none" w:sz="0" w:space="0" w:color="auto"/>
        <w:left w:val="none" w:sz="0" w:space="0" w:color="auto"/>
        <w:bottom w:val="none" w:sz="0" w:space="0" w:color="auto"/>
        <w:right w:val="none" w:sz="0" w:space="0" w:color="auto"/>
      </w:divBdr>
    </w:div>
    <w:div w:id="1081373554">
      <w:bodyDiv w:val="1"/>
      <w:marLeft w:val="0"/>
      <w:marRight w:val="0"/>
      <w:marTop w:val="0"/>
      <w:marBottom w:val="0"/>
      <w:divBdr>
        <w:top w:val="none" w:sz="0" w:space="0" w:color="auto"/>
        <w:left w:val="none" w:sz="0" w:space="0" w:color="auto"/>
        <w:bottom w:val="none" w:sz="0" w:space="0" w:color="auto"/>
        <w:right w:val="none" w:sz="0" w:space="0" w:color="auto"/>
      </w:divBdr>
    </w:div>
    <w:div w:id="1110008359">
      <w:bodyDiv w:val="1"/>
      <w:marLeft w:val="0"/>
      <w:marRight w:val="0"/>
      <w:marTop w:val="0"/>
      <w:marBottom w:val="0"/>
      <w:divBdr>
        <w:top w:val="none" w:sz="0" w:space="0" w:color="auto"/>
        <w:left w:val="none" w:sz="0" w:space="0" w:color="auto"/>
        <w:bottom w:val="none" w:sz="0" w:space="0" w:color="auto"/>
        <w:right w:val="none" w:sz="0" w:space="0" w:color="auto"/>
      </w:divBdr>
    </w:div>
    <w:div w:id="1145439651">
      <w:bodyDiv w:val="1"/>
      <w:marLeft w:val="0"/>
      <w:marRight w:val="0"/>
      <w:marTop w:val="0"/>
      <w:marBottom w:val="0"/>
      <w:divBdr>
        <w:top w:val="none" w:sz="0" w:space="0" w:color="auto"/>
        <w:left w:val="none" w:sz="0" w:space="0" w:color="auto"/>
        <w:bottom w:val="none" w:sz="0" w:space="0" w:color="auto"/>
        <w:right w:val="none" w:sz="0" w:space="0" w:color="auto"/>
      </w:divBdr>
    </w:div>
    <w:div w:id="1146976136">
      <w:bodyDiv w:val="1"/>
      <w:marLeft w:val="0"/>
      <w:marRight w:val="0"/>
      <w:marTop w:val="0"/>
      <w:marBottom w:val="0"/>
      <w:divBdr>
        <w:top w:val="none" w:sz="0" w:space="0" w:color="auto"/>
        <w:left w:val="none" w:sz="0" w:space="0" w:color="auto"/>
        <w:bottom w:val="none" w:sz="0" w:space="0" w:color="auto"/>
        <w:right w:val="none" w:sz="0" w:space="0" w:color="auto"/>
      </w:divBdr>
    </w:div>
    <w:div w:id="1212159090">
      <w:bodyDiv w:val="1"/>
      <w:marLeft w:val="0"/>
      <w:marRight w:val="0"/>
      <w:marTop w:val="0"/>
      <w:marBottom w:val="0"/>
      <w:divBdr>
        <w:top w:val="none" w:sz="0" w:space="0" w:color="auto"/>
        <w:left w:val="none" w:sz="0" w:space="0" w:color="auto"/>
        <w:bottom w:val="none" w:sz="0" w:space="0" w:color="auto"/>
        <w:right w:val="none" w:sz="0" w:space="0" w:color="auto"/>
      </w:divBdr>
    </w:div>
    <w:div w:id="1268468543">
      <w:bodyDiv w:val="1"/>
      <w:marLeft w:val="0"/>
      <w:marRight w:val="0"/>
      <w:marTop w:val="0"/>
      <w:marBottom w:val="0"/>
      <w:divBdr>
        <w:top w:val="none" w:sz="0" w:space="0" w:color="auto"/>
        <w:left w:val="none" w:sz="0" w:space="0" w:color="auto"/>
        <w:bottom w:val="none" w:sz="0" w:space="0" w:color="auto"/>
        <w:right w:val="none" w:sz="0" w:space="0" w:color="auto"/>
      </w:divBdr>
    </w:div>
    <w:div w:id="1319727622">
      <w:bodyDiv w:val="1"/>
      <w:marLeft w:val="0"/>
      <w:marRight w:val="0"/>
      <w:marTop w:val="0"/>
      <w:marBottom w:val="0"/>
      <w:divBdr>
        <w:top w:val="none" w:sz="0" w:space="0" w:color="auto"/>
        <w:left w:val="none" w:sz="0" w:space="0" w:color="auto"/>
        <w:bottom w:val="none" w:sz="0" w:space="0" w:color="auto"/>
        <w:right w:val="none" w:sz="0" w:space="0" w:color="auto"/>
      </w:divBdr>
    </w:div>
    <w:div w:id="1371226890">
      <w:bodyDiv w:val="1"/>
      <w:marLeft w:val="0"/>
      <w:marRight w:val="0"/>
      <w:marTop w:val="0"/>
      <w:marBottom w:val="0"/>
      <w:divBdr>
        <w:top w:val="none" w:sz="0" w:space="0" w:color="auto"/>
        <w:left w:val="none" w:sz="0" w:space="0" w:color="auto"/>
        <w:bottom w:val="none" w:sz="0" w:space="0" w:color="auto"/>
        <w:right w:val="none" w:sz="0" w:space="0" w:color="auto"/>
      </w:divBdr>
    </w:div>
    <w:div w:id="1421297939">
      <w:bodyDiv w:val="1"/>
      <w:marLeft w:val="0"/>
      <w:marRight w:val="0"/>
      <w:marTop w:val="0"/>
      <w:marBottom w:val="0"/>
      <w:divBdr>
        <w:top w:val="none" w:sz="0" w:space="0" w:color="auto"/>
        <w:left w:val="none" w:sz="0" w:space="0" w:color="auto"/>
        <w:bottom w:val="none" w:sz="0" w:space="0" w:color="auto"/>
        <w:right w:val="none" w:sz="0" w:space="0" w:color="auto"/>
      </w:divBdr>
    </w:div>
    <w:div w:id="1423255573">
      <w:bodyDiv w:val="1"/>
      <w:marLeft w:val="0"/>
      <w:marRight w:val="0"/>
      <w:marTop w:val="0"/>
      <w:marBottom w:val="0"/>
      <w:divBdr>
        <w:top w:val="none" w:sz="0" w:space="0" w:color="auto"/>
        <w:left w:val="none" w:sz="0" w:space="0" w:color="auto"/>
        <w:bottom w:val="none" w:sz="0" w:space="0" w:color="auto"/>
        <w:right w:val="none" w:sz="0" w:space="0" w:color="auto"/>
      </w:divBdr>
    </w:div>
    <w:div w:id="1466849873">
      <w:bodyDiv w:val="1"/>
      <w:marLeft w:val="0"/>
      <w:marRight w:val="0"/>
      <w:marTop w:val="0"/>
      <w:marBottom w:val="0"/>
      <w:divBdr>
        <w:top w:val="none" w:sz="0" w:space="0" w:color="auto"/>
        <w:left w:val="none" w:sz="0" w:space="0" w:color="auto"/>
        <w:bottom w:val="none" w:sz="0" w:space="0" w:color="auto"/>
        <w:right w:val="none" w:sz="0" w:space="0" w:color="auto"/>
      </w:divBdr>
    </w:div>
    <w:div w:id="1516385098">
      <w:bodyDiv w:val="1"/>
      <w:marLeft w:val="0"/>
      <w:marRight w:val="0"/>
      <w:marTop w:val="0"/>
      <w:marBottom w:val="0"/>
      <w:divBdr>
        <w:top w:val="none" w:sz="0" w:space="0" w:color="auto"/>
        <w:left w:val="none" w:sz="0" w:space="0" w:color="auto"/>
        <w:bottom w:val="none" w:sz="0" w:space="0" w:color="auto"/>
        <w:right w:val="none" w:sz="0" w:space="0" w:color="auto"/>
      </w:divBdr>
    </w:div>
    <w:div w:id="1644237011">
      <w:bodyDiv w:val="1"/>
      <w:marLeft w:val="0"/>
      <w:marRight w:val="0"/>
      <w:marTop w:val="0"/>
      <w:marBottom w:val="0"/>
      <w:divBdr>
        <w:top w:val="none" w:sz="0" w:space="0" w:color="auto"/>
        <w:left w:val="none" w:sz="0" w:space="0" w:color="auto"/>
        <w:bottom w:val="none" w:sz="0" w:space="0" w:color="auto"/>
        <w:right w:val="none" w:sz="0" w:space="0" w:color="auto"/>
      </w:divBdr>
    </w:div>
    <w:div w:id="1677272026">
      <w:bodyDiv w:val="1"/>
      <w:marLeft w:val="0"/>
      <w:marRight w:val="0"/>
      <w:marTop w:val="0"/>
      <w:marBottom w:val="0"/>
      <w:divBdr>
        <w:top w:val="none" w:sz="0" w:space="0" w:color="auto"/>
        <w:left w:val="none" w:sz="0" w:space="0" w:color="auto"/>
        <w:bottom w:val="none" w:sz="0" w:space="0" w:color="auto"/>
        <w:right w:val="none" w:sz="0" w:space="0" w:color="auto"/>
      </w:divBdr>
    </w:div>
    <w:div w:id="1750342653">
      <w:bodyDiv w:val="1"/>
      <w:marLeft w:val="0"/>
      <w:marRight w:val="0"/>
      <w:marTop w:val="0"/>
      <w:marBottom w:val="0"/>
      <w:divBdr>
        <w:top w:val="none" w:sz="0" w:space="0" w:color="auto"/>
        <w:left w:val="none" w:sz="0" w:space="0" w:color="auto"/>
        <w:bottom w:val="none" w:sz="0" w:space="0" w:color="auto"/>
        <w:right w:val="none" w:sz="0" w:space="0" w:color="auto"/>
      </w:divBdr>
    </w:div>
    <w:div w:id="1762874166">
      <w:bodyDiv w:val="1"/>
      <w:marLeft w:val="0"/>
      <w:marRight w:val="0"/>
      <w:marTop w:val="0"/>
      <w:marBottom w:val="0"/>
      <w:divBdr>
        <w:top w:val="none" w:sz="0" w:space="0" w:color="auto"/>
        <w:left w:val="none" w:sz="0" w:space="0" w:color="auto"/>
        <w:bottom w:val="none" w:sz="0" w:space="0" w:color="auto"/>
        <w:right w:val="none" w:sz="0" w:space="0" w:color="auto"/>
      </w:divBdr>
    </w:div>
    <w:div w:id="1885631434">
      <w:bodyDiv w:val="1"/>
      <w:marLeft w:val="0"/>
      <w:marRight w:val="0"/>
      <w:marTop w:val="0"/>
      <w:marBottom w:val="0"/>
      <w:divBdr>
        <w:top w:val="none" w:sz="0" w:space="0" w:color="auto"/>
        <w:left w:val="none" w:sz="0" w:space="0" w:color="auto"/>
        <w:bottom w:val="none" w:sz="0" w:space="0" w:color="auto"/>
        <w:right w:val="none" w:sz="0" w:space="0" w:color="auto"/>
      </w:divBdr>
    </w:div>
    <w:div w:id="201464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hyperlink" Target="https://www.samhsa.gov/data/data-we-collect/nsduh-national-survey-drug-use-and-health" TargetMode="External"/><Relationship Id="rId39" Type="http://schemas.openxmlformats.org/officeDocument/2006/relationships/hyperlink" Target="https://hcup-us.ahrq.gov/reports/statbriefs/sb257-ED-Costs-Mental-Substance-Use-Disorders-2017.pdf" TargetMode="External"/><Relationship Id="rId21" Type="http://schemas.openxmlformats.org/officeDocument/2006/relationships/image" Target="media/image7.png"/><Relationship Id="rId34" Type="http://schemas.openxmlformats.org/officeDocument/2006/relationships/hyperlink" Target="https://www.iqvia.com/solutions/real-world-evidence/real-world-data-and-insights"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hyperlink" Target="https://rdas.samhsa.gov/"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amhsa.gov/data/data-we-collect/nsduh-national-survey-drug-use-and-health" TargetMode="External"/><Relationship Id="rId32" Type="http://schemas.openxmlformats.org/officeDocument/2006/relationships/hyperlink" Target="https://www.census.gov/acs/www/data/data-tables-and-tools/data-profiles/" TargetMode="External"/><Relationship Id="rId37" Type="http://schemas.openxmlformats.org/officeDocument/2006/relationships/hyperlink" Target="https://investors.emergentbiosolutions.com/news-releases/news-release-details/emergent-biosolutions-narcanr-nasal-spray-launches-over-counter" TargetMode="Externa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fda.gov/drugs/information-drug-class/information-about-medication-assisted-treatment-mat" TargetMode="External"/><Relationship Id="rId28" Type="http://schemas.openxmlformats.org/officeDocument/2006/relationships/hyperlink" Target="https://rdas.samhsa.gov/" TargetMode="External"/><Relationship Id="rId36" Type="http://schemas.openxmlformats.org/officeDocument/2006/relationships/hyperlink" Target="https://catalog.data.gov/dataset/va-drug-pricing-database"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rdas.samhsa.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samhsa.gov/data/report/2016-2018-nsduh-substate-region-estimates-tables" TargetMode="External"/><Relationship Id="rId30" Type="http://schemas.openxmlformats.org/officeDocument/2006/relationships/hyperlink" Target="https://rdas.samhsa.gov/" TargetMode="External"/><Relationship Id="rId35" Type="http://schemas.openxmlformats.org/officeDocument/2006/relationships/hyperlink" Target="https://www.cms.gov/files/document/cy-2022-national-final-unadjusted-payment-rates-otps.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rdas.samhsa.gov/" TargetMode="External"/><Relationship Id="rId33" Type="http://schemas.openxmlformats.org/officeDocument/2006/relationships/hyperlink" Target="http://wonder.cdc.gov/mcd-icd10.html" TargetMode="External"/><Relationship Id="rId38" Type="http://schemas.openxmlformats.org/officeDocument/2006/relationships/hyperlink" Target="https://www.cms.gov/medicare/payment/fee-schedules/ambulance/ambulance-fee-schedule-public-use-fi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1FE84E41923B49BE076B65B0887398" ma:contentTypeVersion="10" ma:contentTypeDescription="Create a new document." ma:contentTypeScope="" ma:versionID="4af48c1e69d5d9a809c966c5d1ce96ad">
  <xsd:schema xmlns:xsd="http://www.w3.org/2001/XMLSchema" xmlns:xs="http://www.w3.org/2001/XMLSchema" xmlns:p="http://schemas.microsoft.com/office/2006/metadata/properties" xmlns:ns2="76bf6171-70cd-4853-bd95-1c6fdb920dd1" xmlns:ns3="0312d10a-47dd-439b-8e85-1e1acbc42015" targetNamespace="http://schemas.microsoft.com/office/2006/metadata/properties" ma:root="true" ma:fieldsID="c696a54fb5449c3161995822c6788b81" ns2:_="" ns3:_="">
    <xsd:import namespace="76bf6171-70cd-4853-bd95-1c6fdb920dd1"/>
    <xsd:import namespace="0312d10a-47dd-439b-8e85-1e1acbc4201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f6171-70cd-4853-bd95-1c6fdb920d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12d10a-47dd-439b-8e85-1e1acbc4201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60B0A7-1BE9-4391-94F0-CC63AE10D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f6171-70cd-4853-bd95-1c6fdb920dd1"/>
    <ds:schemaRef ds:uri="0312d10a-47dd-439b-8e85-1e1acbc420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13528B-37FE-4655-A73D-C0043D3D507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B80054-D81B-4BE4-A567-03B648037CA0}">
  <ds:schemaRefs>
    <ds:schemaRef ds:uri="http://schemas.openxmlformats.org/officeDocument/2006/bibliography"/>
  </ds:schemaRefs>
</ds:datastoreItem>
</file>

<file path=customXml/itemProps4.xml><?xml version="1.0" encoding="utf-8"?>
<ds:datastoreItem xmlns:ds="http://schemas.openxmlformats.org/officeDocument/2006/customXml" ds:itemID="{3CD1FC4B-E536-4311-A7BD-DE8C01192F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47</Pages>
  <Words>31475</Words>
  <Characters>173746</Characters>
  <Application>Microsoft Office Word</Application>
  <DocSecurity>0</DocSecurity>
  <Lines>8273</Lines>
  <Paragraphs>6840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Mueller</dc:creator>
  <cp:keywords/>
  <dc:description/>
  <cp:lastModifiedBy>Sahinkoc, Hayrullah Mert</cp:lastModifiedBy>
  <cp:revision>7</cp:revision>
  <cp:lastPrinted>2024-07-26T17:57:00Z</cp:lastPrinted>
  <dcterms:created xsi:type="dcterms:W3CDTF">2025-01-10T20:13:00Z</dcterms:created>
  <dcterms:modified xsi:type="dcterms:W3CDTF">2026-04-02T15:11:00Z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71f87b0647addee436f5a59054378d80d04b2e68700a7c56e13d563cf3c80c44</vt:lpwstr>
  </property>
  <property fmtid="{D5CDD505-2E9C-101B-9397-08002B2CF9AE}" pid="3" name="ContentTypeId">
    <vt:lpwstr>0x0101001E1FE84E41923B49BE076B65B0887398</vt:lpwstr>
  </property>
</Properties>
</file>